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20"/>
        <w:jc w:val="start"/>
      </w:pPr>
      <w:r>
        <w:rPr>
          <w:rFonts w:ascii="Arial" w:cs="Arial" w:eastAsia="Arial" w:hAnsi="Arial"/>
          <w:b w:val="false"/>
          <w:bCs w:val="false"/>
          <w:color w:val="666666"/>
          <w:sz w:val="20"/>
          <w:szCs w:val="20"/>
          <w:rtl/>
        </w:rPr>
        <w:t xml:space="preserve">قارئات أفاقي — حج ١٤٤٨هـ</w:t>
      </w:r>
    </w:p>
    <w:p>
      <w:pPr>
        <w:pStyle w:val="Heading1"/>
        <w:bidi/>
        <w:spacing w:after="120"/>
        <w:jc w:val="start"/>
      </w:pPr>
      <w:r>
        <w:rPr>
          <w:rFonts w:ascii="Arial" w:cs="Arial" w:eastAsia="Arial" w:hAnsi="Arial"/>
          <w:b/>
          <w:bCs/>
          <w:sz w:val="32"/>
          <w:szCs w:val="32"/>
          <w:rtl/>
        </w:rPr>
        <w:t xml:space="preserve">دليل المستخدم — محاسب</w:t>
      </w:r>
    </w:p>
    <w:p>
      <w:pPr>
        <w:bidi/>
        <w:spacing w:after="120"/>
        <w:jc w:val="start"/>
      </w:pPr>
      <w:r>
        <w:rPr>
          <w:rFonts w:ascii="Arial" w:cs="Arial" w:eastAsia="Arial" w:hAnsi="Arial"/>
          <w:b w:val="false"/>
          <w:bCs w:val="false"/>
          <w:color w:val="666666"/>
          <w:sz w:val="20"/>
          <w:szCs w:val="20"/>
          <w:rtl/>
        </w:rPr>
        <w:t xml:space="preserve">النسخة V39.22 · يُولَّد من صلاحيات الدور نفسِها — فلا يصف ما لا تملك.</w:t>
      </w:r>
    </w:p>
    <w:p>
      <w:pPr>
        <w:bidi/>
        <w:spacing w:after="120"/>
        <w:jc w:val="start"/>
      </w:pPr>
      <w:r>
        <w:rPr>
          <w:rFonts w:ascii="Arial" w:cs="Arial" w:eastAsia="Arial" w:hAnsi="Arial"/>
          <w:b w:val="false"/>
          <w:bCs w:val="false"/>
          <w:sz w:val="24"/>
          <w:szCs w:val="24"/>
          <w:rtl/>
        </w:rPr>
        <w:t xml:space="preserve">يقرأ المالَ ويصدّره — ولا يسجّل شراءً ولا يعتمده</w:t>
      </w:r>
    </w:p>
    <w:p>
      <w:pPr>
        <w:pStyle w:val="Heading2"/>
        <w:bidi/>
        <w:spacing w:after="120"/>
        <w:jc w:val="start"/>
      </w:pPr>
      <w:r>
        <w:rPr>
          <w:rFonts w:ascii="Arial" w:cs="Arial" w:eastAsia="Arial" w:hAnsi="Arial"/>
          <w:b/>
          <w:bCs/>
          <w:sz w:val="26"/>
          <w:szCs w:val="26"/>
          <w:rtl/>
        </w:rPr>
        <w:t xml:space="preserve">ما تستطيعه</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E8F1FA" w:color="auto" w:val="clear"/>
          </w:tcPr>
          <w:p>
            <w:pPr>
              <w:bidi/>
              <w:jc w:val="start"/>
            </w:pPr>
            <w:r>
              <w:rPr>
                <w:rFonts w:ascii="Arial" w:cs="Arial" w:eastAsia="Arial" w:hAnsi="Arial"/>
                <w:b/>
                <w:bCs/>
                <w:sz w:val="20"/>
                <w:szCs w:val="20"/>
                <w:rtl/>
              </w:rPr>
              <w:t xml:space="preserve">القدرة</w:t>
            </w:r>
          </w:p>
        </w:tc>
        <w:tc>
          <w:tcPr>
            <w:tcW w:type="dxa" w:w="6000"/>
            <w:shd w:fill="E8F1FA" w:color="auto" w:val="clear"/>
          </w:tcPr>
          <w:p>
            <w:pPr>
              <w:bidi/>
              <w:jc w:val="start"/>
            </w:pPr>
            <w:r>
              <w:rPr>
                <w:rFonts w:ascii="Arial" w:cs="Arial" w:eastAsia="Arial" w:hAnsi="Arial"/>
                <w:b/>
                <w:bCs/>
                <w:sz w:val="20"/>
                <w:szCs w:val="20"/>
                <w:rtl/>
              </w:rPr>
              <w:t xml:space="preserve">ما تعنيه</w:t>
            </w:r>
          </w:p>
        </w:tc>
      </w:tr>
      <w:tr>
        <w:tc>
          <w:tcPr>
            <w:tcW w:type="dxa" w:w="3000"/>
          </w:tcPr>
          <w:p>
            <w:pPr>
              <w:bidi/>
              <w:jc w:val="start"/>
            </w:pPr>
            <w:r>
              <w:rPr>
                <w:rFonts w:ascii="Arial" w:cs="Arial" w:eastAsia="Arial" w:hAnsi="Arial"/>
                <w:b w:val="false"/>
                <w:bCs w:val="false"/>
                <w:sz w:val="20"/>
                <w:szCs w:val="20"/>
                <w:rtl/>
              </w:rPr>
              <w:t xml:space="preserve">money</w:t>
            </w:r>
          </w:p>
        </w:tc>
        <w:tc>
          <w:tcPr>
            <w:tcW w:type="dxa" w:w="6000"/>
          </w:tcPr>
          <w:p>
            <w:pPr>
              <w:bidi/>
              <w:jc w:val="start"/>
            </w:pPr>
            <w:r>
              <w:rPr>
                <w:rFonts w:ascii="Arial" w:cs="Arial" w:eastAsia="Arial" w:hAnsi="Arial"/>
                <w:b w:val="false"/>
                <w:bCs w:val="false"/>
                <w:sz w:val="20"/>
                <w:szCs w:val="20"/>
                <w:rtl/>
              </w:rPr>
              <w:t xml:space="preserve">يرى المال</w:t>
            </w:r>
          </w:p>
        </w:tc>
      </w:tr>
      <w:tr>
        <w:tc>
          <w:tcPr>
            <w:tcW w:type="dxa" w:w="3000"/>
          </w:tcPr>
          <w:p>
            <w:pPr>
              <w:bidi/>
              <w:jc w:val="start"/>
            </w:pPr>
            <w:r>
              <w:rPr>
                <w:rFonts w:ascii="Arial" w:cs="Arial" w:eastAsia="Arial" w:hAnsi="Arial"/>
                <w:b w:val="false"/>
                <w:bCs w:val="false"/>
                <w:sz w:val="20"/>
                <w:szCs w:val="20"/>
                <w:rtl/>
              </w:rPr>
              <w:t xml:space="preserve">exportAll</w:t>
            </w:r>
          </w:p>
        </w:tc>
        <w:tc>
          <w:tcPr>
            <w:tcW w:type="dxa" w:w="6000"/>
          </w:tcPr>
          <w:p>
            <w:pPr>
              <w:bidi/>
              <w:jc w:val="start"/>
            </w:pPr>
            <w:r>
              <w:rPr>
                <w:rFonts w:ascii="Arial" w:cs="Arial" w:eastAsia="Arial" w:hAnsi="Arial"/>
                <w:b w:val="false"/>
                <w:bCs w:val="false"/>
                <w:sz w:val="20"/>
                <w:szCs w:val="20"/>
                <w:rtl/>
              </w:rPr>
              <w:t xml:space="preserve">يصدّر الكل</w:t>
            </w:r>
          </w:p>
        </w:tc>
      </w:tr>
    </w:tbl>
    <w:p>
      <w:pPr>
        <w:bidi/>
        <w:spacing w:after="120"/>
        <w:jc w:val="start"/>
      </w:pPr>
      <w:r>
        <w:rPr>
          <w:rFonts w:ascii="Arial" w:cs="Arial" w:eastAsia="Arial" w:hAnsi="Arial"/>
          <w:b w:val="false"/>
          <w:bCs w:val="false"/>
          <w:sz w:val="22"/>
          <w:szCs w:val="22"/>
          <w:rtl/>
        </w:rPr>
        <w:t xml:space="preserve"/>
      </w:r>
    </w:p>
    <w:p>
      <w:pPr>
        <w:pStyle w:val="Heading2"/>
        <w:bidi/>
        <w:spacing w:after="120"/>
        <w:jc w:val="start"/>
      </w:pPr>
      <w:r>
        <w:rPr>
          <w:rFonts w:ascii="Arial" w:cs="Arial" w:eastAsia="Arial" w:hAnsi="Arial"/>
          <w:b/>
          <w:bCs/>
          <w:sz w:val="26"/>
          <w:szCs w:val="26"/>
          <w:rtl/>
        </w:rPr>
        <w:t xml:space="preserve">شاشاتك — 13</w:t>
      </w:r>
    </w:p>
    <w:p>
      <w:pPr>
        <w:bidi/>
        <w:spacing w:after="120"/>
        <w:jc w:val="start"/>
      </w:pPr>
      <w:r>
        <w:rPr>
          <w:rFonts w:ascii="Arial" w:cs="Arial" w:eastAsia="Arial" w:hAnsi="Arial"/>
          <w:b w:val="false"/>
          <w:bCs w:val="false"/>
          <w:color w:val="666666"/>
          <w:sz w:val="20"/>
          <w:szCs w:val="20"/>
          <w:rtl/>
        </w:rPr>
        <w:t xml:space="preserve">كلُّ شاشةٍ تبلغها من القائمة الجانبية، وما تفعله فيها:</w:t>
      </w:r>
    </w:p>
    <w:p>
      <w:pPr>
        <w:bidi/>
        <w:spacing w:after="120"/>
        <w:jc w:val="start"/>
      </w:pPr>
      <w:r>
        <w:rPr>
          <w:rFonts w:ascii="Arial" w:cs="Arial" w:eastAsia="Arial" w:hAnsi="Arial"/>
          <w:b/>
          <w:bCs/>
          <w:sz w:val="24"/>
          <w:szCs w:val="24"/>
          <w:rtl/>
        </w:rPr>
        <w:t xml:space="preserve">القسم المالي</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E8F1FA" w:color="auto" w:val="clear"/>
          </w:tcPr>
          <w:p>
            <w:pPr>
              <w:bidi/>
              <w:jc w:val="start"/>
            </w:pPr>
            <w:r>
              <w:rPr>
                <w:rFonts w:ascii="Arial" w:cs="Arial" w:eastAsia="Arial" w:hAnsi="Arial"/>
                <w:b/>
                <w:bCs/>
                <w:sz w:val="20"/>
                <w:szCs w:val="20"/>
                <w:rtl/>
              </w:rPr>
              <w:t xml:space="preserve">الشاشة</w:t>
            </w:r>
          </w:p>
        </w:tc>
        <w:tc>
          <w:tcPr>
            <w:tcW w:type="dxa" w:w="6400"/>
            <w:shd w:fill="E8F1FA" w:color="auto" w:val="clear"/>
          </w:tcPr>
          <w:p>
            <w:pPr>
              <w:bidi/>
              <w:jc w:val="start"/>
            </w:pPr>
            <w:r>
              <w:rPr>
                <w:rFonts w:ascii="Arial" w:cs="Arial" w:eastAsia="Arial" w:hAnsi="Arial"/>
                <w:b/>
                <w:bCs/>
                <w:sz w:val="20"/>
                <w:szCs w:val="20"/>
                <w:rtl/>
              </w:rPr>
              <w:t xml:space="preserve">ما تفعله فيها</w:t>
            </w:r>
          </w:p>
        </w:tc>
      </w:tr>
      <w:tr>
        <w:tc>
          <w:tcPr>
            <w:tcW w:type="dxa" w:w="2600"/>
          </w:tcPr>
          <w:p>
            <w:pPr>
              <w:bidi/>
              <w:jc w:val="start"/>
            </w:pPr>
            <w:r>
              <w:rPr>
                <w:rFonts w:ascii="Arial" w:cs="Arial" w:eastAsia="Arial" w:hAnsi="Arial"/>
                <w:b w:val="false"/>
                <w:bCs w:val="false"/>
                <w:sz w:val="20"/>
                <w:szCs w:val="20"/>
                <w:rtl/>
              </w:rPr>
              <w:t xml:space="preserve">الشؤون المالية ← دفتر المشتريات</w:t>
            </w:r>
          </w:p>
        </w:tc>
        <w:tc>
          <w:tcPr>
            <w:tcW w:type="dxa" w:w="6400"/>
          </w:tcPr>
          <w:p>
            <w:pPr>
              <w:bidi/>
              <w:jc w:val="start"/>
            </w:pPr>
            <w:r>
              <w:rPr>
                <w:rFonts w:ascii="Arial" w:cs="Arial" w:eastAsia="Arial" w:hAnsi="Arial"/>
                <w:b w:val="false"/>
                <w:bCs w:val="false"/>
                <w:sz w:val="20"/>
                <w:szCs w:val="20"/>
                <w:rtl/>
              </w:rPr>
              <w:t xml:space="preserve">مصروفات السوق المحلي بفواتيرها ومورّديها ومشاعرها.</w:t>
            </w:r>
          </w:p>
        </w:tc>
      </w:tr>
      <w:tr>
        <w:tc>
          <w:tcPr>
            <w:tcW w:type="dxa" w:w="2600"/>
          </w:tcPr>
          <w:p>
            <w:pPr>
              <w:bidi/>
              <w:jc w:val="start"/>
            </w:pPr>
            <w:r>
              <w:rPr>
                <w:rFonts w:ascii="Arial" w:cs="Arial" w:eastAsia="Arial" w:hAnsi="Arial"/>
                <w:b w:val="false"/>
                <w:bCs w:val="false"/>
                <w:sz w:val="20"/>
                <w:szCs w:val="20"/>
                <w:rtl/>
              </w:rPr>
              <w:t xml:space="preserve">الشؤون المالية ← المستخلصات</w:t>
            </w:r>
          </w:p>
        </w:tc>
        <w:tc>
          <w:tcPr>
            <w:tcW w:type="dxa" w:w="6400"/>
          </w:tcPr>
          <w:p>
            <w:pPr>
              <w:bidi/>
              <w:jc w:val="start"/>
            </w:pPr>
            <w:r>
              <w:rPr>
                <w:rFonts w:ascii="Arial" w:cs="Arial" w:eastAsia="Arial" w:hAnsi="Arial"/>
                <w:b w:val="false"/>
                <w:bCs w:val="false"/>
                <w:sz w:val="20"/>
                <w:szCs w:val="20"/>
                <w:rtl/>
              </w:rPr>
              <w:t xml:space="preserve">ما أُنجز واعتُمد — يُقدَّم للعميل ويُتابَع صرفُه.</w:t>
            </w:r>
          </w:p>
        </w:tc>
      </w:tr>
      <w:tr>
        <w:tc>
          <w:tcPr>
            <w:tcW w:type="dxa" w:w="2600"/>
          </w:tcPr>
          <w:p>
            <w:pPr>
              <w:bidi/>
              <w:jc w:val="start"/>
            </w:pPr>
            <w:r>
              <w:rPr>
                <w:rFonts w:ascii="Arial" w:cs="Arial" w:eastAsia="Arial" w:hAnsi="Arial"/>
                <w:b w:val="false"/>
                <w:bCs w:val="false"/>
                <w:sz w:val="20"/>
                <w:szCs w:val="20"/>
                <w:rtl/>
              </w:rPr>
              <w:t xml:space="preserve">الشؤون المالية ← الميزانية والاعتماد</w:t>
            </w:r>
          </w:p>
        </w:tc>
        <w:tc>
          <w:tcPr>
            <w:tcW w:type="dxa" w:w="6400"/>
          </w:tcPr>
          <w:p>
            <w:pPr>
              <w:bidi/>
              <w:jc w:val="start"/>
            </w:pPr>
            <w:r>
              <w:rPr>
                <w:rFonts w:ascii="Arial" w:cs="Arial" w:eastAsia="Arial" w:hAnsi="Arial"/>
                <w:b w:val="false"/>
                <w:bCs w:val="false"/>
                <w:sz w:val="20"/>
                <w:szCs w:val="20"/>
                <w:rtl/>
              </w:rPr>
              <w:t xml:space="preserve">سقف الصرف وحدّ اعتماد المهندس.</w:t>
            </w:r>
          </w:p>
        </w:tc>
      </w:tr>
    </w:tbl>
    <w:p>
      <w:pPr>
        <w:bidi/>
        <w:spacing w:after="120"/>
        <w:jc w:val="start"/>
      </w:pPr>
      <w:r>
        <w:rPr>
          <w:rFonts w:ascii="Arial" w:cs="Arial" w:eastAsia="Arial" w:hAnsi="Arial"/>
          <w:b w:val="false"/>
          <w:bCs w:val="false"/>
          <w:sz w:val="22"/>
          <w:szCs w:val="22"/>
          <w:rtl/>
        </w:rPr>
        <w:t xml:space="preserve"/>
      </w:r>
    </w:p>
    <w:p>
      <w:pPr>
        <w:bidi/>
        <w:spacing w:after="120"/>
        <w:jc w:val="start"/>
      </w:pPr>
      <w:r>
        <w:rPr>
          <w:rFonts w:ascii="Arial" w:cs="Arial" w:eastAsia="Arial" w:hAnsi="Arial"/>
          <w:b/>
          <w:bCs/>
          <w:sz w:val="24"/>
          <w:szCs w:val="24"/>
          <w:rtl/>
        </w:rPr>
        <w:t xml:space="preserve">التخطيط</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E8F1FA" w:color="auto" w:val="clear"/>
          </w:tcPr>
          <w:p>
            <w:pPr>
              <w:bidi/>
              <w:jc w:val="start"/>
            </w:pPr>
            <w:r>
              <w:rPr>
                <w:rFonts w:ascii="Arial" w:cs="Arial" w:eastAsia="Arial" w:hAnsi="Arial"/>
                <w:b/>
                <w:bCs/>
                <w:sz w:val="20"/>
                <w:szCs w:val="20"/>
                <w:rtl/>
              </w:rPr>
              <w:t xml:space="preserve">الشاشة</w:t>
            </w:r>
          </w:p>
        </w:tc>
        <w:tc>
          <w:tcPr>
            <w:tcW w:type="dxa" w:w="6400"/>
            <w:shd w:fill="E8F1FA" w:color="auto" w:val="clear"/>
          </w:tcPr>
          <w:p>
            <w:pPr>
              <w:bidi/>
              <w:jc w:val="start"/>
            </w:pPr>
            <w:r>
              <w:rPr>
                <w:rFonts w:ascii="Arial" w:cs="Arial" w:eastAsia="Arial" w:hAnsi="Arial"/>
                <w:b/>
                <w:bCs/>
                <w:sz w:val="20"/>
                <w:szCs w:val="20"/>
                <w:rtl/>
              </w:rPr>
              <w:t xml:space="preserve">ما تفعله فيها</w:t>
            </w:r>
          </w:p>
        </w:tc>
      </w:tr>
      <w:tr>
        <w:tc>
          <w:tcPr>
            <w:tcW w:type="dxa" w:w="2600"/>
          </w:tcPr>
          <w:p>
            <w:pPr>
              <w:bidi/>
              <w:jc w:val="start"/>
            </w:pPr>
            <w:r>
              <w:rPr>
                <w:rFonts w:ascii="Arial" w:cs="Arial" w:eastAsia="Arial" w:hAnsi="Arial"/>
                <w:b w:val="false"/>
                <w:bCs w:val="false"/>
                <w:sz w:val="20"/>
                <w:szCs w:val="20"/>
                <w:rtl/>
              </w:rPr>
              <w:t xml:space="preserve">التجارب</w:t>
            </w:r>
          </w:p>
        </w:tc>
        <w:tc>
          <w:tcPr>
            <w:tcW w:type="dxa" w:w="6400"/>
          </w:tcPr>
          <w:p>
            <w:pPr>
              <w:bidi/>
              <w:jc w:val="start"/>
            </w:pPr>
            <w:r>
              <w:rPr>
                <w:rFonts w:ascii="Arial" w:cs="Arial" w:eastAsia="Arial" w:hAnsi="Arial"/>
                <w:b w:val="false"/>
                <w:bCs w:val="false"/>
                <w:sz w:val="20"/>
                <w:szCs w:val="20"/>
                <w:rtl/>
              </w:rPr>
              <w:t xml:space="preserve">كلُّ ريالٍ وكلُّ ساعةٍ في التجارب — وقرارُ دخولها في تكاليف المشروع.</w:t>
            </w:r>
          </w:p>
        </w:tc>
      </w:tr>
      <w:tr>
        <w:tc>
          <w:tcPr>
            <w:tcW w:type="dxa" w:w="2600"/>
          </w:tcPr>
          <w:p>
            <w:pPr>
              <w:bidi/>
              <w:jc w:val="start"/>
            </w:pPr>
            <w:r>
              <w:rPr>
                <w:rFonts w:ascii="Arial" w:cs="Arial" w:eastAsia="Arial" w:hAnsi="Arial"/>
                <w:b w:val="false"/>
                <w:bCs w:val="false"/>
                <w:sz w:val="20"/>
                <w:szCs w:val="20"/>
                <w:rtl/>
              </w:rPr>
              <w:t xml:space="preserve">التخطيط والمخاطر ← خط الأساس والقيمة</w:t>
            </w:r>
          </w:p>
        </w:tc>
        <w:tc>
          <w:tcPr>
            <w:tcW w:type="dxa" w:w="6400"/>
          </w:tcPr>
          <w:p>
            <w:pPr>
              <w:bidi/>
              <w:jc w:val="start"/>
            </w:pPr>
            <w:r>
              <w:rPr>
                <w:rFonts w:ascii="Arial" w:cs="Arial" w:eastAsia="Arial" w:hAnsi="Arial"/>
                <w:b w:val="false"/>
                <w:bCs w:val="false"/>
                <w:sz w:val="20"/>
                <w:szCs w:val="20"/>
                <w:rtl/>
              </w:rPr>
              <w:t xml:space="preserve">أين نحن من المخطَّط — بلغةِ التقارير المعتمدة.</w:t>
            </w:r>
          </w:p>
        </w:tc>
      </w:tr>
    </w:tbl>
    <w:p>
      <w:pPr>
        <w:bidi/>
        <w:spacing w:after="120"/>
        <w:jc w:val="start"/>
      </w:pPr>
      <w:r>
        <w:rPr>
          <w:rFonts w:ascii="Arial" w:cs="Arial" w:eastAsia="Arial" w:hAnsi="Arial"/>
          <w:b w:val="false"/>
          <w:bCs w:val="false"/>
          <w:sz w:val="22"/>
          <w:szCs w:val="22"/>
          <w:rtl/>
        </w:rPr>
        <w:t xml:space="preserve"/>
      </w:r>
    </w:p>
    <w:p>
      <w:pPr>
        <w:bidi/>
        <w:spacing w:after="120"/>
        <w:jc w:val="start"/>
      </w:pPr>
      <w:r>
        <w:rPr>
          <w:rFonts w:ascii="Arial" w:cs="Arial" w:eastAsia="Arial" w:hAnsi="Arial"/>
          <w:b/>
          <w:bCs/>
          <w:sz w:val="24"/>
          <w:szCs w:val="24"/>
          <w:rtl/>
        </w:rPr>
        <w:t xml:space="preserve">المتابعة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E8F1FA" w:color="auto" w:val="clear"/>
          </w:tcPr>
          <w:p>
            <w:pPr>
              <w:bidi/>
              <w:jc w:val="start"/>
            </w:pPr>
            <w:r>
              <w:rPr>
                <w:rFonts w:ascii="Arial" w:cs="Arial" w:eastAsia="Arial" w:hAnsi="Arial"/>
                <w:b/>
                <w:bCs/>
                <w:sz w:val="20"/>
                <w:szCs w:val="20"/>
                <w:rtl/>
              </w:rPr>
              <w:t xml:space="preserve">الشاشة</w:t>
            </w:r>
          </w:p>
        </w:tc>
        <w:tc>
          <w:tcPr>
            <w:tcW w:type="dxa" w:w="6400"/>
            <w:shd w:fill="E8F1FA" w:color="auto" w:val="clear"/>
          </w:tcPr>
          <w:p>
            <w:pPr>
              <w:bidi/>
              <w:jc w:val="start"/>
            </w:pPr>
            <w:r>
              <w:rPr>
                <w:rFonts w:ascii="Arial" w:cs="Arial" w:eastAsia="Arial" w:hAnsi="Arial"/>
                <w:b/>
                <w:bCs/>
                <w:sz w:val="20"/>
                <w:szCs w:val="20"/>
                <w:rtl/>
              </w:rPr>
              <w:t xml:space="preserve">ما تفعله فيها</w:t>
            </w:r>
          </w:p>
        </w:tc>
      </w:tr>
      <w:tr>
        <w:tc>
          <w:tcPr>
            <w:tcW w:type="dxa" w:w="2600"/>
          </w:tcPr>
          <w:p>
            <w:pPr>
              <w:bidi/>
              <w:jc w:val="start"/>
            </w:pPr>
            <w:r>
              <w:rPr>
                <w:rFonts w:ascii="Arial" w:cs="Arial" w:eastAsia="Arial" w:hAnsi="Arial"/>
                <w:b w:val="false"/>
                <w:bCs w:val="false"/>
                <w:sz w:val="20"/>
                <w:szCs w:val="20"/>
                <w:rtl/>
              </w:rPr>
              <w:t xml:space="preserve">التقارير التنفيذية ← الملخّص المالي</w:t>
            </w:r>
          </w:p>
        </w:tc>
        <w:tc>
          <w:tcPr>
            <w:tcW w:type="dxa" w:w="6400"/>
          </w:tcPr>
          <w:p>
            <w:pPr>
              <w:bidi/>
              <w:jc w:val="start"/>
            </w:pPr>
            <w:r>
              <w:rPr>
                <w:rFonts w:ascii="Arial" w:cs="Arial" w:eastAsia="Arial" w:hAnsi="Arial"/>
                <w:b w:val="false"/>
                <w:bCs w:val="false"/>
                <w:sz w:val="20"/>
                <w:szCs w:val="20"/>
                <w:rtl/>
              </w:rPr>
              <w:t xml:space="preserve">المنصرفُ من الميزانية بأبوابه — بلا مورّدين ولا فواتير.</w:t>
            </w:r>
          </w:p>
        </w:tc>
      </w:tr>
      <w:tr>
        <w:tc>
          <w:tcPr>
            <w:tcW w:type="dxa" w:w="2600"/>
          </w:tcPr>
          <w:p>
            <w:pPr>
              <w:bidi/>
              <w:jc w:val="start"/>
            </w:pPr>
            <w:r>
              <w:rPr>
                <w:rFonts w:ascii="Arial" w:cs="Arial" w:eastAsia="Arial" w:hAnsi="Arial"/>
                <w:b w:val="false"/>
                <w:bCs w:val="false"/>
                <w:sz w:val="20"/>
                <w:szCs w:val="20"/>
                <w:rtl/>
              </w:rPr>
              <w:t xml:space="preserve">التقارير التنفيذية ← اللوحة التنفيذية</w:t>
            </w:r>
          </w:p>
        </w:tc>
        <w:tc>
          <w:tcPr>
            <w:tcW w:type="dxa" w:w="6400"/>
          </w:tcPr>
          <w:p>
            <w:pPr>
              <w:bidi/>
              <w:jc w:val="start"/>
            </w:pPr>
            <w:r>
              <w:rPr>
                <w:rFonts w:ascii="Arial" w:cs="Arial" w:eastAsia="Arial" w:hAnsi="Arial"/>
                <w:b w:val="false"/>
                <w:bCs w:val="false"/>
                <w:sz w:val="20"/>
                <w:szCs w:val="20"/>
                <w:rtl/>
              </w:rPr>
              <w:t xml:space="preserve">ما يحتاجه القرار في شاشةٍ واحدة.</w:t>
            </w:r>
          </w:p>
        </w:tc>
      </w:tr>
      <w:tr>
        <w:tc>
          <w:tcPr>
            <w:tcW w:type="dxa" w:w="2600"/>
          </w:tcPr>
          <w:p>
            <w:pPr>
              <w:bidi/>
              <w:jc w:val="start"/>
            </w:pPr>
            <w:r>
              <w:rPr>
                <w:rFonts w:ascii="Arial" w:cs="Arial" w:eastAsia="Arial" w:hAnsi="Arial"/>
                <w:b w:val="false"/>
                <w:bCs w:val="false"/>
                <w:sz w:val="20"/>
                <w:szCs w:val="20"/>
                <w:rtl/>
              </w:rPr>
              <w:t xml:space="preserve">نظرة عامة ← الصورة العامة</w:t>
            </w:r>
          </w:p>
        </w:tc>
        <w:tc>
          <w:tcPr>
            <w:tcW w:type="dxa" w:w="6400"/>
          </w:tcPr>
          <w:p>
            <w:pPr>
              <w:bidi/>
              <w:jc w:val="start"/>
            </w:pPr>
            <w:r>
              <w:rPr>
                <w:rFonts w:ascii="Arial" w:cs="Arial" w:eastAsia="Arial" w:hAnsi="Arial"/>
                <w:b w:val="false"/>
                <w:bCs w:val="false"/>
                <w:sz w:val="20"/>
                <w:szCs w:val="20"/>
                <w:rtl/>
              </w:rPr>
              <w:t xml:space="preserve">الصورة التنفيذية لحظيًّا — تُحدَّث مع كل عملية ميدانية.</w:t>
            </w:r>
          </w:p>
        </w:tc>
      </w:tr>
    </w:tbl>
    <w:p>
      <w:pPr>
        <w:bidi/>
        <w:spacing w:after="120"/>
        <w:jc w:val="start"/>
      </w:pPr>
      <w:r>
        <w:rPr>
          <w:rFonts w:ascii="Arial" w:cs="Arial" w:eastAsia="Arial" w:hAnsi="Arial"/>
          <w:b w:val="false"/>
          <w:bCs w:val="false"/>
          <w:sz w:val="22"/>
          <w:szCs w:val="22"/>
          <w:rtl/>
        </w:rPr>
        <w:t xml:space="preserve"/>
      </w:r>
    </w:p>
    <w:p>
      <w:pPr>
        <w:bidi/>
        <w:spacing w:after="120"/>
        <w:jc w:val="start"/>
      </w:pPr>
      <w:r>
        <w:rPr>
          <w:rFonts w:ascii="Arial" w:cs="Arial" w:eastAsia="Arial" w:hAnsi="Arial"/>
          <w:b/>
          <w:bCs/>
          <w:sz w:val="24"/>
          <w:szCs w:val="24"/>
          <w:rtl/>
        </w:rPr>
        <w:t xml:space="preserve">الميدان</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E8F1FA" w:color="auto" w:val="clear"/>
          </w:tcPr>
          <w:p>
            <w:pPr>
              <w:bidi/>
              <w:jc w:val="start"/>
            </w:pPr>
            <w:r>
              <w:rPr>
                <w:rFonts w:ascii="Arial" w:cs="Arial" w:eastAsia="Arial" w:hAnsi="Arial"/>
                <w:b/>
                <w:bCs/>
                <w:sz w:val="20"/>
                <w:szCs w:val="20"/>
                <w:rtl/>
              </w:rPr>
              <w:t xml:space="preserve">الشاشة</w:t>
            </w:r>
          </w:p>
        </w:tc>
        <w:tc>
          <w:tcPr>
            <w:tcW w:type="dxa" w:w="6400"/>
            <w:shd w:fill="E8F1FA" w:color="auto" w:val="clear"/>
          </w:tcPr>
          <w:p>
            <w:pPr>
              <w:bidi/>
              <w:jc w:val="start"/>
            </w:pPr>
            <w:r>
              <w:rPr>
                <w:rFonts w:ascii="Arial" w:cs="Arial" w:eastAsia="Arial" w:hAnsi="Arial"/>
                <w:b/>
                <w:bCs/>
                <w:sz w:val="20"/>
                <w:szCs w:val="20"/>
                <w:rtl/>
              </w:rPr>
              <w:t xml:space="preserve">ما تفعله فيها</w:t>
            </w:r>
          </w:p>
        </w:tc>
      </w:tr>
      <w:tr>
        <w:tc>
          <w:tcPr>
            <w:tcW w:type="dxa" w:w="2600"/>
          </w:tcPr>
          <w:p>
            <w:pPr>
              <w:bidi/>
              <w:jc w:val="start"/>
            </w:pPr>
            <w:r>
              <w:rPr>
                <w:rFonts w:ascii="Arial" w:cs="Arial" w:eastAsia="Arial" w:hAnsi="Arial"/>
                <w:b w:val="false"/>
                <w:bCs w:val="false"/>
                <w:sz w:val="20"/>
                <w:szCs w:val="20"/>
                <w:rtl/>
              </w:rPr>
              <w:t xml:space="preserve">السيارات ← التكلفة</w:t>
            </w:r>
          </w:p>
        </w:tc>
        <w:tc>
          <w:tcPr>
            <w:tcW w:type="dxa" w:w="6400"/>
          </w:tcPr>
          <w:p>
            <w:pPr>
              <w:bidi/>
              <w:jc w:val="start"/>
            </w:pPr>
            <w:r>
              <w:rPr>
                <w:rFonts w:ascii="Arial" w:cs="Arial" w:eastAsia="Arial" w:hAnsi="Arial"/>
                <w:b w:val="false"/>
                <w:bCs w:val="false"/>
                <w:sz w:val="20"/>
                <w:szCs w:val="20"/>
                <w:rtl/>
              </w:rPr>
              <w:t xml:space="preserve">ما تكلّفه السياراتُ شهريًّا ومنذ متى تعمل.</w:t>
            </w:r>
          </w:p>
        </w:tc>
      </w:tr>
    </w:tbl>
    <w:p>
      <w:pPr>
        <w:bidi/>
        <w:spacing w:after="120"/>
        <w:jc w:val="start"/>
      </w:pPr>
      <w:r>
        <w:rPr>
          <w:rFonts w:ascii="Arial" w:cs="Arial" w:eastAsia="Arial" w:hAnsi="Arial"/>
          <w:b w:val="false"/>
          <w:bCs w:val="false"/>
          <w:sz w:val="22"/>
          <w:szCs w:val="22"/>
          <w:rtl/>
        </w:rPr>
        <w:t xml:space="preserve"/>
      </w:r>
    </w:p>
    <w:p>
      <w:pPr>
        <w:bidi/>
        <w:spacing w:after="120"/>
        <w:jc w:val="start"/>
      </w:pPr>
      <w:r>
        <w:rPr>
          <w:rFonts w:ascii="Arial" w:cs="Arial" w:eastAsia="Arial" w:hAnsi="Arial"/>
          <w:b/>
          <w:bCs/>
          <w:sz w:val="24"/>
          <w:szCs w:val="24"/>
          <w:rtl/>
        </w:rPr>
        <w:t xml:space="preserve">المساعدة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E8F1FA" w:color="auto" w:val="clear"/>
          </w:tcPr>
          <w:p>
            <w:pPr>
              <w:bidi/>
              <w:jc w:val="start"/>
            </w:pPr>
            <w:r>
              <w:rPr>
                <w:rFonts w:ascii="Arial" w:cs="Arial" w:eastAsia="Arial" w:hAnsi="Arial"/>
                <w:b/>
                <w:bCs/>
                <w:sz w:val="20"/>
                <w:szCs w:val="20"/>
                <w:rtl/>
              </w:rPr>
              <w:t xml:space="preserve">الشاشة</w:t>
            </w:r>
          </w:p>
        </w:tc>
        <w:tc>
          <w:tcPr>
            <w:tcW w:type="dxa" w:w="6400"/>
            <w:shd w:fill="E8F1FA" w:color="auto" w:val="clear"/>
          </w:tcPr>
          <w:p>
            <w:pPr>
              <w:bidi/>
              <w:jc w:val="start"/>
            </w:pPr>
            <w:r>
              <w:rPr>
                <w:rFonts w:ascii="Arial" w:cs="Arial" w:eastAsia="Arial" w:hAnsi="Arial"/>
                <w:b/>
                <w:bCs/>
                <w:sz w:val="20"/>
                <w:szCs w:val="20"/>
                <w:rtl/>
              </w:rPr>
              <w:t xml:space="preserve">ما تفعله فيها</w:t>
            </w:r>
          </w:p>
        </w:tc>
      </w:tr>
      <w:tr>
        <w:tc>
          <w:tcPr>
            <w:tcW w:type="dxa" w:w="2600"/>
          </w:tcPr>
          <w:p>
            <w:pPr>
              <w:bidi/>
              <w:jc w:val="start"/>
            </w:pPr>
            <w:r>
              <w:rPr>
                <w:rFonts w:ascii="Arial" w:cs="Arial" w:eastAsia="Arial" w:hAnsi="Arial"/>
                <w:b w:val="false"/>
                <w:bCs w:val="false"/>
                <w:sz w:val="20"/>
                <w:szCs w:val="20"/>
                <w:rtl/>
              </w:rPr>
              <w:t xml:space="preserve">الأدلة ← دليل الاستخدام</w:t>
            </w:r>
          </w:p>
        </w:tc>
        <w:tc>
          <w:tcPr>
            <w:tcW w:type="dxa" w:w="6400"/>
          </w:tcPr>
          <w:p>
            <w:pPr>
              <w:bidi/>
              <w:jc w:val="start"/>
            </w:pPr>
            <w:r>
              <w:rPr>
                <w:rFonts w:ascii="Arial" w:cs="Arial" w:eastAsia="Arial" w:hAnsi="Arial"/>
                <w:b w:val="false"/>
                <w:bCs w:val="false"/>
                <w:sz w:val="20"/>
                <w:szCs w:val="20"/>
                <w:rtl/>
              </w:rPr>
              <w:t xml:space="preserve">دليلك أنت — بما تملكه من شاشات لا بما لا تملك.</w:t>
            </w:r>
          </w:p>
        </w:tc>
      </w:tr>
      <w:tr>
        <w:tc>
          <w:tcPr>
            <w:tcW w:type="dxa" w:w="2600"/>
          </w:tcPr>
          <w:p>
            <w:pPr>
              <w:bidi/>
              <w:jc w:val="start"/>
            </w:pPr>
            <w:r>
              <w:rPr>
                <w:rFonts w:ascii="Arial" w:cs="Arial" w:eastAsia="Arial" w:hAnsi="Arial"/>
                <w:b w:val="false"/>
                <w:bCs w:val="false"/>
                <w:sz w:val="20"/>
                <w:szCs w:val="20"/>
                <w:rtl/>
              </w:rPr>
              <w:t xml:space="preserve">حسابي</w:t>
            </w:r>
          </w:p>
        </w:tc>
        <w:tc>
          <w:tcPr>
            <w:tcW w:type="dxa" w:w="6400"/>
          </w:tcPr>
          <w:p>
            <w:pPr>
              <w:bidi/>
              <w:jc w:val="start"/>
            </w:pPr>
            <w:r>
              <w:rPr>
                <w:rFonts w:ascii="Arial" w:cs="Arial" w:eastAsia="Arial" w:hAnsi="Arial"/>
                <w:b w:val="false"/>
                <w:bCs w:val="false"/>
                <w:sz w:val="20"/>
                <w:szCs w:val="20"/>
                <w:rtl/>
              </w:rPr>
              <w:t xml:space="preserve">دورك وصلاحياتك ونسختك — وإعداداتُ هذا الجهاز.</w:t>
            </w:r>
          </w:p>
        </w:tc>
      </w:tr>
      <w:tr>
        <w:tc>
          <w:tcPr>
            <w:tcW w:type="dxa" w:w="2600"/>
          </w:tcPr>
          <w:p>
            <w:pPr>
              <w:bidi/>
              <w:jc w:val="start"/>
            </w:pPr>
            <w:r>
              <w:rPr>
                <w:rFonts w:ascii="Arial" w:cs="Arial" w:eastAsia="Arial" w:hAnsi="Arial"/>
                <w:b w:val="false"/>
                <w:bCs w:val="false"/>
                <w:sz w:val="20"/>
                <w:szCs w:val="20"/>
                <w:rtl/>
              </w:rPr>
              <w:t xml:space="preserve">الأدلة ← دورة العمل</w:t>
            </w:r>
          </w:p>
        </w:tc>
        <w:tc>
          <w:tcPr>
            <w:tcW w:type="dxa" w:w="6400"/>
          </w:tcPr>
          <w:p>
            <w:pPr>
              <w:bidi/>
              <w:jc w:val="start"/>
            </w:pPr>
            <w:r>
              <w:rPr>
                <w:rFonts w:ascii="Arial" w:cs="Arial" w:eastAsia="Arial" w:hAnsi="Arial"/>
                <w:b w:val="false"/>
                <w:bCs w:val="false"/>
                <w:sz w:val="20"/>
                <w:szCs w:val="20"/>
                <w:rtl/>
              </w:rPr>
              <w:t xml:space="preserve">كلُّ دورةٍ خطوةً خطوة — من يفعل ماذا وأين، حتى الاعتماد.</w:t>
            </w:r>
          </w:p>
        </w:tc>
      </w:tr>
    </w:tbl>
    <w:p>
      <w:pPr>
        <w:bidi/>
        <w:spacing w:after="120"/>
        <w:jc w:val="start"/>
      </w:pPr>
      <w:r>
        <w:rPr>
          <w:rFonts w:ascii="Arial" w:cs="Arial" w:eastAsia="Arial" w:hAnsi="Arial"/>
          <w:b w:val="false"/>
          <w:bCs w:val="false"/>
          <w:sz w:val="22"/>
          <w:szCs w:val="22"/>
          <w:rtl/>
        </w:rPr>
        <w:t xml:space="preserve"/>
      </w:r>
    </w:p>
    <w:p>
      <w:pPr>
        <w:bidi/>
        <w:spacing w:after="120"/>
        <w:jc w:val="start"/>
      </w:pPr>
      <w:r>
        <w:rPr>
          <w:rFonts w:ascii="Arial" w:cs="Arial" w:eastAsia="Arial" w:hAnsi="Arial"/>
          <w:b/>
          <w:bCs/>
          <w:sz w:val="24"/>
          <w:szCs w:val="24"/>
          <w:rtl/>
        </w:rPr>
        <w:t xml:space="preserve">النظام</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E8F1FA" w:color="auto" w:val="clear"/>
          </w:tcPr>
          <w:p>
            <w:pPr>
              <w:bidi/>
              <w:jc w:val="start"/>
            </w:pPr>
            <w:r>
              <w:rPr>
                <w:rFonts w:ascii="Arial" w:cs="Arial" w:eastAsia="Arial" w:hAnsi="Arial"/>
                <w:b/>
                <w:bCs/>
                <w:sz w:val="20"/>
                <w:szCs w:val="20"/>
                <w:rtl/>
              </w:rPr>
              <w:t xml:space="preserve">الشاشة</w:t>
            </w:r>
          </w:p>
        </w:tc>
        <w:tc>
          <w:tcPr>
            <w:tcW w:type="dxa" w:w="6400"/>
            <w:shd w:fill="E8F1FA" w:color="auto" w:val="clear"/>
          </w:tcPr>
          <w:p>
            <w:pPr>
              <w:bidi/>
              <w:jc w:val="start"/>
            </w:pPr>
            <w:r>
              <w:rPr>
                <w:rFonts w:ascii="Arial" w:cs="Arial" w:eastAsia="Arial" w:hAnsi="Arial"/>
                <w:b/>
                <w:bCs/>
                <w:sz w:val="20"/>
                <w:szCs w:val="20"/>
                <w:rtl/>
              </w:rPr>
              <w:t xml:space="preserve">ما تفعله فيها</w:t>
            </w:r>
          </w:p>
        </w:tc>
      </w:tr>
      <w:tr>
        <w:tc>
          <w:tcPr>
            <w:tcW w:type="dxa" w:w="2600"/>
          </w:tcPr>
          <w:p>
            <w:pPr>
              <w:bidi/>
              <w:jc w:val="start"/>
            </w:pPr>
            <w:r>
              <w:rPr>
                <w:rFonts w:ascii="Arial" w:cs="Arial" w:eastAsia="Arial" w:hAnsi="Arial"/>
                <w:b w:val="false"/>
                <w:bCs w:val="false"/>
                <w:sz w:val="20"/>
                <w:szCs w:val="20"/>
                <w:rtl/>
              </w:rPr>
              <w:t xml:space="preserve">السجلات والإشعارات ← الإشعارات</w:t>
            </w:r>
          </w:p>
        </w:tc>
        <w:tc>
          <w:tcPr>
            <w:tcW w:type="dxa" w:w="6400"/>
          </w:tcPr>
          <w:p>
            <w:pPr>
              <w:bidi/>
              <w:jc w:val="start"/>
            </w:pPr>
            <w:r>
              <w:rPr>
                <w:rFonts w:ascii="Arial" w:cs="Arial" w:eastAsia="Arial" w:hAnsi="Arial"/>
                <w:b w:val="false"/>
                <w:bCs w:val="false"/>
                <w:sz w:val="20"/>
                <w:szCs w:val="20"/>
                <w:rtl/>
              </w:rPr>
              <w:t xml:space="preserve">ما يجب أن يعرفه أحدٌ الآن — وبأيِّ قناةٍ يصله.</w:t>
            </w:r>
          </w:p>
        </w:tc>
      </w:tr>
    </w:tbl>
    <w:p>
      <w:pPr>
        <w:bidi/>
        <w:spacing w:after="120"/>
        <w:jc w:val="start"/>
      </w:pPr>
      <w:r>
        <w:rPr>
          <w:rFonts w:ascii="Arial" w:cs="Arial" w:eastAsia="Arial" w:hAnsi="Arial"/>
          <w:b w:val="false"/>
          <w:bCs w:val="false"/>
          <w:sz w:val="22"/>
          <w:szCs w:val="22"/>
          <w:rtl/>
        </w:rPr>
        <w:t xml:space="preserve"/>
      </w:r>
    </w:p>
    <w:p>
      <w:pPr>
        <w:pStyle w:val="Heading2"/>
        <w:bidi/>
        <w:spacing w:after="120"/>
        <w:jc w:val="start"/>
      </w:pPr>
      <w:r>
        <w:rPr>
          <w:rFonts w:ascii="Arial" w:cs="Arial" w:eastAsia="Arial" w:hAnsi="Arial"/>
          <w:b/>
          <w:bCs/>
          <w:sz w:val="26"/>
          <w:szCs w:val="26"/>
          <w:rtl/>
        </w:rPr>
        <w:t xml:space="preserve">المصطلحات</w:t>
      </w:r>
    </w:p>
    <w:p>
      <w:pPr>
        <w:bidi/>
        <w:spacing w:after="120"/>
        <w:jc w:val="start"/>
      </w:pPr>
      <w:r>
        <w:rPr>
          <w:rFonts w:ascii="Arial" w:cs="Arial" w:eastAsia="Arial" w:hAnsi="Arial"/>
          <w:b/>
          <w:bCs/>
          <w:sz w:val="22"/>
          <w:szCs w:val="22"/>
          <w:rtl/>
        </w:rPr>
        <w:t xml:space="preserve">تمت الزيارة</w:t>
      </w:r>
    </w:p>
    <w:p>
      <w:pPr>
        <w:bidi/>
        <w:spacing w:after="120"/>
        <w:jc w:val="start"/>
      </w:pPr>
      <w:r>
        <w:rPr>
          <w:rFonts w:ascii="Arial" w:cs="Arial" w:eastAsia="Arial" w:hAnsi="Arial"/>
          <w:b w:val="false"/>
          <w:bCs w:val="false"/>
          <w:sz w:val="20"/>
          <w:szCs w:val="20"/>
          <w:rtl/>
        </w:rPr>
        <w:t xml:space="preserve">كلُّ نقطةٍ زارها الميدانُ بأيِّ نتيجة — وُصل إليها أو لم يُوصَل. هي رقمُ التقدّم في كلِّ الشاشات والتقارير وملفات الوزارة، والمتبقي ما لم يُزَر أصلًا.</w:t>
      </w:r>
    </w:p>
    <w:p>
      <w:pPr>
        <w:bidi/>
        <w:spacing w:after="120"/>
        <w:jc w:val="start"/>
      </w:pPr>
      <w:r>
        <w:rPr>
          <w:rFonts w:ascii="Arial" w:cs="Arial" w:eastAsia="Arial" w:hAnsi="Arial"/>
          <w:b/>
          <w:bCs/>
          <w:sz w:val="22"/>
          <w:szCs w:val="22"/>
          <w:rtl/>
        </w:rPr>
        <w:t xml:space="preserve">تم الوصول</w:t>
      </w:r>
    </w:p>
    <w:p>
      <w:pPr>
        <w:bidi/>
        <w:spacing w:after="120"/>
        <w:jc w:val="start"/>
      </w:pPr>
      <w:r>
        <w:rPr>
          <w:rFonts w:ascii="Arial" w:cs="Arial" w:eastAsia="Arial" w:hAnsi="Arial"/>
          <w:b w:val="false"/>
          <w:bCs w:val="false"/>
          <w:sz w:val="20"/>
          <w:szCs w:val="20"/>
          <w:rtl/>
        </w:rPr>
        <w:t xml:space="preserve">زيارةٌ وصل فيها الفريقُ إلى النقطة وأكمل نموذجَها. تقسيمٌ داخل «تمت الزيارة» في شاشة المسح.</w:t>
      </w:r>
    </w:p>
    <w:p>
      <w:pPr>
        <w:bidi/>
        <w:spacing w:after="120"/>
        <w:jc w:val="start"/>
      </w:pPr>
      <w:r>
        <w:rPr>
          <w:rFonts w:ascii="Arial" w:cs="Arial" w:eastAsia="Arial" w:hAnsi="Arial"/>
          <w:b/>
          <w:bCs/>
          <w:sz w:val="22"/>
          <w:szCs w:val="22"/>
          <w:rtl/>
        </w:rPr>
        <w:t xml:space="preserve">تحتاج زيارة أخرى</w:t>
      </w:r>
    </w:p>
    <w:p>
      <w:pPr>
        <w:bidi/>
        <w:spacing w:after="120"/>
        <w:jc w:val="start"/>
      </w:pPr>
      <w:r>
        <w:rPr>
          <w:rFonts w:ascii="Arial" w:cs="Arial" w:eastAsia="Arial" w:hAnsi="Arial"/>
          <w:b w:val="false"/>
          <w:bCs w:val="false"/>
          <w:sz w:val="20"/>
          <w:szCs w:val="20"/>
          <w:rtl/>
        </w:rPr>
        <w:t xml:space="preserve">نقطةٌ تمت زيارتُها ولم يُستكمَل مسحُها (لم يُوصَل إليها أو رُدَّت لزيارةٍ أخرى). تظهر هكذا للوزارة؛ وسببُها التفصيليُّ في سجلّ النقطة لسير العمل.</w:t>
      </w:r>
    </w:p>
    <w:p>
      <w:pPr>
        <w:bidi/>
        <w:spacing w:after="120"/>
        <w:jc w:val="start"/>
      </w:pPr>
      <w:r>
        <w:rPr>
          <w:rFonts w:ascii="Arial" w:cs="Arial" w:eastAsia="Arial" w:hAnsi="Arial"/>
          <w:b/>
          <w:bCs/>
          <w:sz w:val="22"/>
          <w:szCs w:val="22"/>
          <w:rtl/>
        </w:rPr>
        <w:t xml:space="preserve">بدون عوائق</w:t>
      </w:r>
    </w:p>
    <w:p>
      <w:pPr>
        <w:bidi/>
        <w:spacing w:after="120"/>
        <w:jc w:val="start"/>
      </w:pPr>
      <w:r>
        <w:rPr>
          <w:rFonts w:ascii="Arial" w:cs="Arial" w:eastAsia="Arial" w:hAnsi="Arial"/>
          <w:b w:val="false"/>
          <w:bCs w:val="false"/>
          <w:sz w:val="20"/>
          <w:szCs w:val="20"/>
          <w:rtl/>
        </w:rPr>
        <w:t xml:space="preserve">تمت الزيارة وتم الوصول ولا تحدّيَ مسجّلًا — الأخضر في شاشة القاعة وبطاقة «نقاط بلا عوائق».</w:t>
      </w:r>
    </w:p>
    <w:p>
      <w:pPr>
        <w:bidi/>
        <w:spacing w:after="120"/>
        <w:jc w:val="start"/>
      </w:pPr>
      <w:r>
        <w:rPr>
          <w:rFonts w:ascii="Arial" w:cs="Arial" w:eastAsia="Arial" w:hAnsi="Arial"/>
          <w:b/>
          <w:bCs/>
          <w:sz w:val="22"/>
          <w:szCs w:val="22"/>
          <w:rtl/>
        </w:rPr>
        <w:t xml:space="preserve">بعوائق</w:t>
      </w:r>
    </w:p>
    <w:p>
      <w:pPr>
        <w:bidi/>
        <w:spacing w:after="120"/>
        <w:jc w:val="start"/>
      </w:pPr>
      <w:r>
        <w:rPr>
          <w:rFonts w:ascii="Arial" w:cs="Arial" w:eastAsia="Arial" w:hAnsi="Arial"/>
          <w:b w:val="false"/>
          <w:bCs w:val="false"/>
          <w:sz w:val="20"/>
          <w:szCs w:val="20"/>
          <w:rtl/>
        </w:rPr>
        <w:t xml:space="preserve">ما تمت زيارتُه وفيه تحدٍّ أو تحتاج زيارةً أخرى تقنيًا — الأحمر في شاشة القاعة وبطاقة «نقاط بعوائق». بدون عوائق + بعوائق = تمت الزيارة.</w:t>
      </w:r>
    </w:p>
    <w:p>
      <w:pPr>
        <w:bidi/>
        <w:spacing w:after="120"/>
        <w:jc w:val="start"/>
      </w:pPr>
      <w:r>
        <w:rPr>
          <w:rFonts w:ascii="Arial" w:cs="Arial" w:eastAsia="Arial" w:hAnsi="Arial"/>
          <w:b/>
          <w:bCs/>
          <w:sz w:val="22"/>
          <w:szCs w:val="22"/>
          <w:rtl/>
        </w:rPr>
        <w:t xml:space="preserve">شاشة القاعة</w:t>
      </w:r>
    </w:p>
    <w:p>
      <w:pPr>
        <w:bidi/>
        <w:spacing w:after="120"/>
        <w:jc w:val="start"/>
      </w:pPr>
      <w:r>
        <w:rPr>
          <w:rFonts w:ascii="Arial" w:cs="Arial" w:eastAsia="Arial" w:hAnsi="Arial"/>
          <w:b w:val="false"/>
          <w:bCs w:val="false"/>
          <w:sz w:val="20"/>
          <w:szCs w:val="20"/>
          <w:rtl/>
        </w:rPr>
        <w:t xml:space="preserve">عرضٌ كبيرٌ للاجتماعات يتجدّد كلَّ دقيقة: نسبةُ الزيارة والتركيب، والمشاعر، والنقاطُ بعوائق وبدونها للإجمالي ولكلِّ نوع. من «متابعة الوزارة» ← «شاشة القاعة» ← «عرضٌ كامل».</w:t>
      </w:r>
    </w:p>
    <w:p>
      <w:pPr>
        <w:bidi/>
        <w:spacing w:after="120"/>
        <w:jc w:val="start"/>
      </w:pPr>
      <w:r>
        <w:rPr>
          <w:rFonts w:ascii="Arial" w:cs="Arial" w:eastAsia="Arial" w:hAnsi="Arial"/>
          <w:b/>
          <w:bCs/>
          <w:sz w:val="22"/>
          <w:szCs w:val="22"/>
          <w:rtl/>
        </w:rPr>
        <w:t xml:space="preserve">رقم الشاخص</w:t>
      </w:r>
    </w:p>
    <w:p>
      <w:pPr>
        <w:bidi/>
        <w:spacing w:after="120"/>
        <w:jc w:val="start"/>
      </w:pPr>
      <w:r>
        <w:rPr>
          <w:rFonts w:ascii="Arial" w:cs="Arial" w:eastAsia="Arial" w:hAnsi="Arial"/>
          <w:b w:val="false"/>
          <w:bCs w:val="false"/>
          <w:sz w:val="20"/>
          <w:szCs w:val="20"/>
          <w:rtl/>
        </w:rPr>
        <w:t xml:space="preserve">المعرّفُ الأوّلُ لكلِّ مخيمٍ في منى وعرفات: رقمُ المخيم/رقمُ الشارع — مثل 25/56 = المخيمُ ٢٥ في الشارع ٥٦. يظهر أوّلًا في كلِّ نافذةٍ وجدولٍ وتصدير، ومعرّفُ النظام (NSK-…) تحته ثانيًا، وكلاهما يُبحَث به. وقد يكون في المخيم الواحد أكثرُ من شركة، فيظهر الشاخصُ نفسُه بسطرٍ لكلِّ شركةٍ واسمُها تحته.</w:t>
      </w:r>
    </w:p>
    <w:p>
      <w:pPr>
        <w:bidi/>
        <w:spacing w:after="120"/>
        <w:jc w:val="start"/>
      </w:pPr>
      <w:r>
        <w:rPr>
          <w:rFonts w:ascii="Arial" w:cs="Arial" w:eastAsia="Arial" w:hAnsi="Arial"/>
          <w:b/>
          <w:bCs/>
          <w:sz w:val="22"/>
          <w:szCs w:val="22"/>
          <w:rtl/>
        </w:rPr>
        <w:t xml:space="preserve">اسم الممر في ١٤٤٧</w:t>
      </w:r>
    </w:p>
    <w:p>
      <w:pPr>
        <w:bidi/>
        <w:spacing w:after="120"/>
        <w:jc w:val="start"/>
      </w:pPr>
      <w:r>
        <w:rPr>
          <w:rFonts w:ascii="Arial" w:cs="Arial" w:eastAsia="Arial" w:hAnsi="Arial"/>
          <w:b w:val="false"/>
          <w:bCs w:val="false"/>
          <w:sz w:val="20"/>
          <w:szCs w:val="20"/>
          <w:rtl/>
        </w:rPr>
        <w:t xml:space="preserve">المعرّفُ الأوّلُ للممرات المركّبة في الموسم الماضي — اسمُها المعروف مثل Path-Shaded-3R. والممراتُ الجديدةُ معرّفُها الأوّلُ المقترح (NSK-MIN-RDR-…) حتى تُسمّى.</w:t>
      </w:r>
    </w:p>
    <w:p>
      <w:pPr>
        <w:bidi/>
        <w:spacing w:after="120"/>
        <w:jc w:val="start"/>
      </w:pPr>
      <w:r>
        <w:rPr>
          <w:rFonts w:ascii="Arial" w:cs="Arial" w:eastAsia="Arial" w:hAnsi="Arial"/>
          <w:b/>
          <w:bCs/>
          <w:sz w:val="22"/>
          <w:szCs w:val="22"/>
          <w:rtl/>
        </w:rPr>
        <w:t xml:space="preserve">حذف نقطة</w:t>
      </w:r>
    </w:p>
    <w:p>
      <w:pPr>
        <w:bidi/>
        <w:spacing w:after="120"/>
        <w:jc w:val="start"/>
      </w:pPr>
      <w:r>
        <w:rPr>
          <w:rFonts w:ascii="Arial" w:cs="Arial" w:eastAsia="Arial" w:hAnsi="Arial"/>
          <w:b w:val="false"/>
          <w:bCs w:val="false"/>
          <w:sz w:val="20"/>
          <w:szCs w:val="20"/>
          <w:rtl/>
        </w:rPr>
        <w:t xml:space="preserve">للمهندس فما فوق: افتح النقطةَ على الخريطة ثم «🗑 حذف النقطة» وأكّد — أو من «تعديل بيانات النقطة» في تفاصيلها. تُحذَف ولو تمت زيارتُها: تختفي من كلِّ الأرقام وتبقى سجلّاتُها، وتُستعاد من «نقاطٌ مخفية» أسفل قائمة المواقع. أما ما رُكّب أو سُلّم أو فُكّ فلا يُحذَف (قرارُ المالك) ويظهر عليه قفل.</w:t>
      </w:r>
    </w:p>
    <w:p>
      <w:pPr>
        <w:bidi/>
        <w:spacing w:after="120"/>
        <w:jc w:val="start"/>
      </w:pPr>
      <w:r>
        <w:rPr>
          <w:rFonts w:ascii="Arial" w:cs="Arial" w:eastAsia="Arial" w:hAnsi="Arial"/>
          <w:b/>
          <w:bCs/>
          <w:sz w:val="22"/>
          <w:szCs w:val="22"/>
          <w:rtl/>
        </w:rPr>
        <w:t xml:space="preserve">الحفظ المحلي</w:t>
      </w:r>
    </w:p>
    <w:p>
      <w:pPr>
        <w:bidi/>
        <w:spacing w:after="120"/>
        <w:jc w:val="start"/>
      </w:pPr>
      <w:r>
        <w:rPr>
          <w:rFonts w:ascii="Arial" w:cs="Arial" w:eastAsia="Arial" w:hAnsi="Arial"/>
          <w:b w:val="false"/>
          <w:bCs w:val="false"/>
          <w:sz w:val="20"/>
          <w:szCs w:val="20"/>
          <w:rtl/>
        </w:rPr>
        <w:t xml:space="preserve">كلُّ ما تُدخله يُحفَظ على جهازك فورًا ويُرفَع حين تتوفر الشبكة. إن ظهرت لافتةٌ حمراء «الحفظ المحلي لا يعمل» فزامِن الآن ولا تُغلق التطبيقَ حتى يُرفَع عملُك — والتطبيقُ يعيد فتحَ المخزن وحدَه.</w:t>
      </w:r>
    </w:p>
    <w:p>
      <w:pPr>
        <w:bidi/>
        <w:spacing w:after="120"/>
        <w:jc w:val="start"/>
      </w:pPr>
      <w:r>
        <w:rPr>
          <w:rFonts w:ascii="Arial" w:cs="Arial" w:eastAsia="Arial" w:hAnsi="Arial"/>
          <w:b w:val="false"/>
          <w:bCs w:val="false"/>
          <w:sz w:val="22"/>
          <w:szCs w:val="22"/>
          <w:rtl/>
        </w:rPr>
        <w:t xml:space="preserve"/>
      </w:r>
    </w:p>
    <w:p>
      <w:pPr>
        <w:pStyle w:val="Heading2"/>
        <w:bidi/>
        <w:spacing w:after="120"/>
        <w:jc w:val="start"/>
      </w:pPr>
      <w:r>
        <w:rPr>
          <w:rFonts w:ascii="Arial" w:cs="Arial" w:eastAsia="Arial" w:hAnsi="Arial"/>
          <w:b/>
          <w:bCs/>
          <w:sz w:val="26"/>
          <w:szCs w:val="26"/>
          <w:rtl/>
        </w:rPr>
        <w:t xml:space="preserve">ما الجديد في آخر النسخ</w:t>
      </w:r>
    </w:p>
    <w:p>
      <w:pPr>
        <w:bidi/>
        <w:spacing w:after="120"/>
        <w:jc w:val="start"/>
      </w:pPr>
      <w:r>
        <w:rPr>
          <w:rFonts w:ascii="Arial" w:cs="Arial" w:eastAsia="Arial" w:hAnsi="Arial"/>
          <w:b/>
          <w:bCs/>
          <w:sz w:val="22"/>
          <w:szCs w:val="22"/>
          <w:rtl/>
        </w:rPr>
        <w:t xml:space="preserve">V39.22  ·  2026-10-24</w:t>
      </w:r>
    </w:p>
    <w:p>
      <w:pPr>
        <w:bidi/>
        <w:spacing w:after="120"/>
        <w:jc w:val="start"/>
      </w:pPr>
      <w:r>
        <w:rPr>
          <w:rFonts w:ascii="Arial" w:cs="Arial" w:eastAsia="Arial" w:hAnsi="Arial"/>
          <w:b w:val="false"/>
          <w:bCs w:val="false"/>
          <w:sz w:val="20"/>
          <w:szCs w:val="20"/>
          <w:rtl/>
        </w:rPr>
        <w:t xml:space="preserve">•  الأجهزة الفعلية في مخيم العرض (منى ٧٤B — شاخص 38/56): أربع مواقع من صور فريق البحث والتطوير، في كل موقع EM320 مرقّم وجنبه EM300 بعلامته — في محرّر حساسات المخيم زرّ «طبّق المواقع الفعلية» ثم «احفظ»، وبعدها تضيف وتمسح وتعدّل براحتك؛ وللجهاز حقلان جداد: الطراز والعلامة المكتوبة عليه</w:t>
      </w:r>
    </w:p>
    <w:p>
      <w:pPr>
        <w:bidi/>
        <w:spacing w:after="120"/>
        <w:jc w:val="start"/>
      </w:pPr>
      <w:r>
        <w:rPr>
          <w:rFonts w:ascii="Arial" w:cs="Arial" w:eastAsia="Arial" w:hAnsi="Arial"/>
          <w:b/>
          <w:bCs/>
          <w:sz w:val="22"/>
          <w:szCs w:val="22"/>
          <w:rtl/>
        </w:rPr>
        <w:t xml:space="preserve">V39.21  ·  2026-10-24</w:t>
      </w:r>
    </w:p>
    <w:p>
      <w:pPr>
        <w:bidi/>
        <w:spacing w:after="120"/>
        <w:jc w:val="start"/>
      </w:pPr>
      <w:r>
        <w:rPr>
          <w:rFonts w:ascii="Arial" w:cs="Arial" w:eastAsia="Arial" w:hAnsi="Arial"/>
          <w:b w:val="false"/>
          <w:bCs w:val="false"/>
          <w:sz w:val="20"/>
          <w:szCs w:val="20"/>
          <w:rtl/>
        </w:rPr>
        <w:t xml:space="preserve">•  من لقطة المالك: الحساسات والجيت واي كانت مستخبية جوّه الخيام — لكل جهاز منارة فوق سقف الخيمة بلونه والجيت واي أطول من الأسقف والخيام شفافة، وبطاقة الحساس في الوضع الداكن ما بقتش نافذة بيضا، وزرّ «ادخل المخيم» (أو لمستين على المخيم) يدخّل الكاميرا من البوابة</w:t>
      </w:r>
    </w:p>
    <w:p>
      <w:pPr>
        <w:bidi/>
        <w:spacing w:after="120"/>
        <w:jc w:val="start"/>
      </w:pPr>
      <w:r>
        <w:rPr>
          <w:rFonts w:ascii="Arial" w:cs="Arial" w:eastAsia="Arial" w:hAnsi="Arial"/>
          <w:b/>
          <w:bCs/>
          <w:sz w:val="22"/>
          <w:szCs w:val="22"/>
          <w:rtl/>
        </w:rPr>
        <w:t xml:space="preserve">V39.20  ·  2026-10-24</w:t>
      </w:r>
    </w:p>
    <w:p>
      <w:pPr>
        <w:bidi/>
        <w:spacing w:after="120"/>
        <w:jc w:val="start"/>
      </w:pPr>
      <w:r>
        <w:rPr>
          <w:rFonts w:ascii="Arial" w:cs="Arial" w:eastAsia="Arial" w:hAnsi="Arial"/>
          <w:b w:val="false"/>
          <w:bCs w:val="false"/>
          <w:sz w:val="20"/>
          <w:szCs w:val="20"/>
          <w:rtl/>
        </w:rPr>
        <w:t xml:space="preserve">•  التوأم الحي: زرّ «الحي» على الخريطتين يلوّن كل نقطة بنبض قارئها من نظام البطاقات (أخضر متصل، أحمر صامت، رمادي غير مربوط) وكل مخيم بإشغاله (أخضر، كهرماني، أحمر من ٩٠٪)، وأسقف الخيام وعمود القارئ والتلميح بيقولوا القيمة — ونبض الحساسات بنيته جاهزة لما يوصل مصدره</w:t>
      </w:r>
    </w:p>
    <w:p>
      <w:pPr>
        <w:bidi/>
        <w:spacing w:after="120"/>
        <w:jc w:val="start"/>
      </w:pPr>
      <w:r>
        <w:rPr>
          <w:rFonts w:ascii="Arial" w:cs="Arial" w:eastAsia="Arial" w:hAnsi="Arial"/>
          <w:b/>
          <w:bCs/>
          <w:sz w:val="22"/>
          <w:szCs w:val="22"/>
          <w:rtl/>
        </w:rPr>
        <w:t xml:space="preserve">V39.19  ·  2026-10-24</w:t>
      </w:r>
    </w:p>
    <w:p>
      <w:pPr>
        <w:bidi/>
        <w:spacing w:after="120"/>
        <w:jc w:val="start"/>
      </w:pPr>
      <w:r>
        <w:rPr>
          <w:rFonts w:ascii="Arial" w:cs="Arial" w:eastAsia="Arial" w:hAnsi="Arial"/>
          <w:b w:val="false"/>
          <w:bCs w:val="false"/>
          <w:sz w:val="20"/>
          <w:szCs w:val="20"/>
          <w:rtl/>
        </w:rPr>
        <w:t xml:space="preserve">•  صور التركيب على المجسّم: كل نقطة ليها صور بيظهر عندها دبّوس بأحدث صورة، ولمسة عليه تفتح النقطة — ستين دبّوس على الأكثر حوالين مركز الشاشة، وزرّ «الصور» مع المجسّم</w:t>
      </w:r>
    </w:p>
    <w:p>
      <w:pPr>
        <w:bidi/>
        <w:spacing w:after="120"/>
        <w:jc w:val="start"/>
      </w:pPr>
      <w:r>
        <w:rPr>
          <w:rFonts w:ascii="Arial" w:cs="Arial" w:eastAsia="Arial" w:hAnsi="Arial"/>
          <w:b/>
          <w:bCs/>
          <w:sz w:val="22"/>
          <w:szCs w:val="22"/>
          <w:rtl/>
        </w:rPr>
        <w:t xml:space="preserve">V39.18  ·  2026-10-24</w:t>
      </w:r>
    </w:p>
    <w:p>
      <w:pPr>
        <w:bidi/>
        <w:spacing w:after="120"/>
        <w:jc w:val="start"/>
      </w:pPr>
      <w:r>
        <w:rPr>
          <w:rFonts w:ascii="Arial" w:cs="Arial" w:eastAsia="Arial" w:hAnsi="Arial"/>
          <w:b w:val="false"/>
          <w:bCs w:val="false"/>
          <w:sz w:val="20"/>
          <w:szCs w:val="20"/>
          <w:rtl/>
        </w:rPr>
        <w:t xml:space="preserve">•  مخيمات منى واقعية في المجسّم: كل مخيم له حدود يتملي بصفوف خيام ٨ م بيضا بسقف هرمي وممرات بينها وسور حواليه، وحالة المخيم تفضل باينة كقاعدة ملوّنة تحت الخيام — زرّ «الخيام» مع المجسّم</w:t>
      </w:r>
    </w:p>
    <w:p>
      <w:pPr>
        <w:bidi/>
        <w:spacing w:after="120"/>
        <w:jc w:val="start"/>
      </w:pPr>
      <w:r>
        <w:rPr>
          <w:rFonts w:ascii="Arial" w:cs="Arial" w:eastAsia="Arial" w:hAnsi="Arial"/>
          <w:b w:val="false"/>
          <w:bCs w:val="false"/>
          <w:sz w:val="22"/>
          <w:szCs w:val="22"/>
          <w:rtl/>
        </w:rPr>
        <w:t xml:space="preserve"/>
      </w:r>
    </w:p>
    <w:p>
      <w:pPr>
        <w:bidi/>
        <w:spacing w:after="120"/>
        <w:jc w:val="start"/>
      </w:pPr>
      <w:r>
        <w:rPr>
          <w:rFonts w:ascii="Arial" w:cs="Arial" w:eastAsia="Arial" w:hAnsi="Arial"/>
          <w:b w:val="false"/>
          <w:bCs w:val="false"/>
          <w:color w:val="888888"/>
          <w:sz w:val="18"/>
          <w:szCs w:val="18"/>
          <w:rtl/>
        </w:rPr>
        <w:t xml:space="preserve">هذا الدليل مُولَّدٌ آليًّا من تعريف الدور في النظام — من غيّر صلاحيةً ثم أعاد التوليدَ غيّر الدليلَ معها.</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