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مشرف</w:t>
      </w:r>
    </w:p>
    <w:p>
      <w:pPr>
        <w:bidi/>
        <w:spacing w:after="120"/>
        <w:jc w:val="start"/>
      </w:pPr>
      <w:r>
        <w:rPr>
          <w:rFonts w:ascii="Arial" w:cs="Arial" w:eastAsia="Arial" w:hAnsi="Arial"/>
          <w:b w:val="false"/>
          <w:bCs w:val="false"/>
          <w:color w:val="666666"/>
          <w:sz w:val="20"/>
          <w:szCs w:val="20"/>
          <w:rtl/>
        </w:rPr>
        <w:t xml:space="preserve">النسخة V37.54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الميدان ولوحة المتابعة — يسجّل الزيارةَ على أيِّ نقطة، ويعدّل بياناتِ النقطة الأساسية، ويردّ زيارةَ فريقه للتصحيح، ويُنشئ فنيّيه — والاعتمادُ والتصنيفُ للمهندس</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provision</w:t>
            </w:r>
          </w:p>
        </w:tc>
        <w:tc>
          <w:tcPr>
            <w:tcW w:type="dxa" w:w="6000"/>
          </w:tcPr>
          <w:p>
            <w:pPr>
              <w:bidi/>
              <w:jc w:val="start"/>
            </w:pPr>
            <w:r>
              <w:rPr>
                <w:rFonts w:ascii="Arial" w:cs="Arial" w:eastAsia="Arial" w:hAnsi="Arial"/>
                <w:b w:val="false"/>
                <w:bCs w:val="false"/>
                <w:sz w:val="20"/>
                <w:szCs w:val="20"/>
                <w:rtl/>
              </w:rPr>
              <w:t xml:space="preserve">provision</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30</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شغلي ← مهامي</w:t>
            </w:r>
          </w:p>
        </w:tc>
        <w:tc>
          <w:tcPr>
            <w:tcW w:type="dxa" w:w="6400"/>
          </w:tcPr>
          <w:p>
            <w:pPr>
              <w:bidi/>
              <w:jc w:val="start"/>
            </w:pPr>
            <w:r>
              <w:rPr>
                <w:rFonts w:ascii="Arial" w:cs="Arial" w:eastAsia="Arial" w:hAnsi="Arial"/>
                <w:b w:val="false"/>
                <w:bCs w:val="false"/>
                <w:sz w:val="20"/>
                <w:szCs w:val="20"/>
                <w:rtl/>
              </w:rPr>
              <w:t xml:space="preserve">ما أُسند إليك — وحالةُ كلِّ زيارةٍ منها.</w:t>
            </w:r>
          </w:p>
        </w:tc>
      </w:tr>
      <w:tr>
        <w:tc>
          <w:tcPr>
            <w:tcW w:type="dxa" w:w="2600"/>
          </w:tcPr>
          <w:p>
            <w:pPr>
              <w:bidi/>
              <w:jc w:val="start"/>
            </w:pPr>
            <w:r>
              <w:rPr>
                <w:rFonts w:ascii="Arial" w:cs="Arial" w:eastAsia="Arial" w:hAnsi="Arial"/>
                <w:b w:val="false"/>
                <w:bCs w:val="false"/>
                <w:sz w:val="20"/>
                <w:szCs w:val="20"/>
                <w:rtl/>
              </w:rPr>
              <w:t xml:space="preserve">المواقع</w:t>
            </w:r>
          </w:p>
        </w:tc>
        <w:tc>
          <w:tcPr>
            <w:tcW w:type="dxa" w:w="6400"/>
          </w:tcPr>
          <w:p>
            <w:pPr>
              <w:bidi/>
              <w:jc w:val="start"/>
            </w:pPr>
            <w:r>
              <w:rPr>
                <w:rFonts w:ascii="Arial" w:cs="Arial" w:eastAsia="Arial" w:hAnsi="Arial"/>
                <w:b w:val="false"/>
                <w:bCs w:val="false"/>
                <w:sz w:val="20"/>
                <w:szCs w:val="20"/>
                <w:rtl/>
              </w:rPr>
              <w:t xml:space="preserve">الأقرب أولًا — وبحث بالشاخص.</w:t>
            </w:r>
          </w:p>
        </w:tc>
      </w:tr>
      <w:tr>
        <w:tc>
          <w:tcPr>
            <w:tcW w:type="dxa" w:w="2600"/>
          </w:tcPr>
          <w:p>
            <w:pPr>
              <w:bidi/>
              <w:jc w:val="start"/>
            </w:pPr>
            <w:r>
              <w:rPr>
                <w:rFonts w:ascii="Arial" w:cs="Arial" w:eastAsia="Arial" w:hAnsi="Arial"/>
                <w:b w:val="false"/>
                <w:bCs w:val="false"/>
                <w:sz w:val="20"/>
                <w:szCs w:val="20"/>
                <w:rtl/>
              </w:rPr>
              <w:t xml:space="preserve">الطبقات والمحدَّد ← المحدَّد</w:t>
            </w:r>
          </w:p>
        </w:tc>
        <w:tc>
          <w:tcPr>
            <w:tcW w:type="dxa" w:w="6400"/>
          </w:tcPr>
          <w:p>
            <w:pPr>
              <w:bidi/>
              <w:jc w:val="start"/>
            </w:pPr>
            <w:r>
              <w:rPr>
                <w:rFonts w:ascii="Arial" w:cs="Arial" w:eastAsia="Arial" w:hAnsi="Arial"/>
                <w:b w:val="false"/>
                <w:bCs w:val="false"/>
                <w:sz w:val="20"/>
                <w:szCs w:val="20"/>
                <w:rtl/>
              </w:rPr>
              <w:t xml:space="preserve">ما حدّدته من الخريطة — لعملٍ جماعي عليه.</w:t>
            </w:r>
          </w:p>
        </w:tc>
      </w:tr>
      <w:tr>
        <w:tc>
          <w:tcPr>
            <w:tcW w:type="dxa" w:w="2600"/>
          </w:tcPr>
          <w:p>
            <w:pPr>
              <w:bidi/>
              <w:jc w:val="start"/>
            </w:pPr>
            <w:r>
              <w:rPr>
                <w:rFonts w:ascii="Arial" w:cs="Arial" w:eastAsia="Arial" w:hAnsi="Arial"/>
                <w:b w:val="false"/>
                <w:bCs w:val="false"/>
                <w:sz w:val="20"/>
                <w:szCs w:val="20"/>
                <w:rtl/>
              </w:rPr>
              <w:t xml:space="preserve">النماذج الميدانية ← المسح</w:t>
            </w:r>
          </w:p>
        </w:tc>
        <w:tc>
          <w:tcPr>
            <w:tcW w:type="dxa" w:w="6400"/>
          </w:tcPr>
          <w:p>
            <w:pPr>
              <w:bidi/>
              <w:jc w:val="start"/>
            </w:pPr>
            <w:r>
              <w:rPr>
                <w:rFonts w:ascii="Arial" w:cs="Arial" w:eastAsia="Arial" w:hAnsi="Arial"/>
                <w:b w:val="false"/>
                <w:bCs w:val="false"/>
                <w:sz w:val="20"/>
                <w:szCs w:val="20"/>
                <w:rtl/>
              </w:rPr>
              <w:t xml:space="preserve">البياناتُ المسجَّلة تُراجَع فقط ولا تُكتَب من جديد — اكتب ما لا نعرفه عن الموقع.</w:t>
            </w:r>
          </w:p>
        </w:tc>
      </w:tr>
      <w:tr>
        <w:tc>
          <w:tcPr>
            <w:tcW w:type="dxa" w:w="2600"/>
          </w:tcPr>
          <w:p>
            <w:pPr>
              <w:bidi/>
              <w:jc w:val="start"/>
            </w:pPr>
            <w:r>
              <w:rPr>
                <w:rFonts w:ascii="Arial" w:cs="Arial" w:eastAsia="Arial" w:hAnsi="Arial"/>
                <w:b w:val="false"/>
                <w:bCs w:val="false"/>
                <w:sz w:val="20"/>
                <w:szCs w:val="20"/>
                <w:rtl/>
              </w:rPr>
              <w:t xml:space="preserve">النماذج الميدانية ← التركيب</w:t>
            </w:r>
          </w:p>
        </w:tc>
        <w:tc>
          <w:tcPr>
            <w:tcW w:type="dxa" w:w="6400"/>
          </w:tcPr>
          <w:p>
            <w:pPr>
              <w:bidi/>
              <w:jc w:val="start"/>
            </w:pPr>
            <w:r>
              <w:rPr>
                <w:rFonts w:ascii="Arial" w:cs="Arial" w:eastAsia="Arial" w:hAnsi="Arial"/>
                <w:b w:val="false"/>
                <w:bCs w:val="false"/>
                <w:sz w:val="20"/>
                <w:szCs w:val="20"/>
                <w:rtl/>
              </w:rPr>
              <w:t xml:space="preserve">ما يُوثَّق عند إتمام التركيب — بصوره وسيرياته.</w:t>
            </w:r>
          </w:p>
        </w:tc>
      </w:tr>
      <w:tr>
        <w:tc>
          <w:tcPr>
            <w:tcW w:type="dxa" w:w="2600"/>
          </w:tcPr>
          <w:p>
            <w:pPr>
              <w:bidi/>
              <w:jc w:val="start"/>
            </w:pPr>
            <w:r>
              <w:rPr>
                <w:rFonts w:ascii="Arial" w:cs="Arial" w:eastAsia="Arial" w:hAnsi="Arial"/>
                <w:b w:val="false"/>
                <w:bCs w:val="false"/>
                <w:sz w:val="20"/>
                <w:szCs w:val="20"/>
                <w:rtl/>
              </w:rPr>
              <w:t xml:space="preserve">النماذج الميدانية ← موقع جديد</w:t>
            </w:r>
          </w:p>
        </w:tc>
        <w:tc>
          <w:tcPr>
            <w:tcW w:type="dxa" w:w="6400"/>
          </w:tcPr>
          <w:p>
            <w:pPr>
              <w:bidi/>
              <w:jc w:val="start"/>
            </w:pPr>
            <w:r>
              <w:rPr>
                <w:rFonts w:ascii="Arial" w:cs="Arial" w:eastAsia="Arial" w:hAnsi="Arial"/>
                <w:b w:val="false"/>
                <w:bCs w:val="false"/>
                <w:sz w:val="20"/>
                <w:szCs w:val="20"/>
                <w:rtl/>
              </w:rPr>
              <w:t xml:space="preserve">ما لم يكن في القاعدة — يُسجَّل بموضعك ويُعتمَد لاحقًا.</w:t>
            </w:r>
          </w:p>
        </w:tc>
      </w:tr>
      <w:tr>
        <w:tc>
          <w:tcPr>
            <w:tcW w:type="dxa" w:w="2600"/>
          </w:tcPr>
          <w:p>
            <w:pPr>
              <w:bidi/>
              <w:jc w:val="start"/>
            </w:pPr>
            <w:r>
              <w:rPr>
                <w:rFonts w:ascii="Arial" w:cs="Arial" w:eastAsia="Arial" w:hAnsi="Arial"/>
                <w:b w:val="false"/>
                <w:bCs w:val="false"/>
                <w:sz w:val="20"/>
                <w:szCs w:val="20"/>
                <w:rtl/>
              </w:rPr>
              <w:t xml:space="preserve">السجلات</w:t>
            </w:r>
          </w:p>
        </w:tc>
        <w:tc>
          <w:tcPr>
            <w:tcW w:type="dxa" w:w="6400"/>
          </w:tcPr>
          <w:p>
            <w:pPr>
              <w:bidi/>
              <w:jc w:val="start"/>
            </w:pPr>
            <w:r>
              <w:rPr>
                <w:rFonts w:ascii="Arial" w:cs="Arial" w:eastAsia="Arial" w:hAnsi="Arial"/>
                <w:b w:val="false"/>
                <w:bCs w:val="false"/>
                <w:sz w:val="20"/>
                <w:szCs w:val="20"/>
                <w:rtl/>
              </w:rPr>
              <w:t xml:space="preserve">ما جرى في الميدان بالترتيب.</w:t>
            </w:r>
          </w:p>
        </w:tc>
      </w:tr>
      <w:tr>
        <w:tc>
          <w:tcPr>
            <w:tcW w:type="dxa" w:w="2600"/>
          </w:tcPr>
          <w:p>
            <w:pPr>
              <w:bidi/>
              <w:jc w:val="start"/>
            </w:pPr>
            <w:r>
              <w:rPr>
                <w:rFonts w:ascii="Arial" w:cs="Arial" w:eastAsia="Arial" w:hAnsi="Arial"/>
                <w:b w:val="false"/>
                <w:bCs w:val="false"/>
                <w:sz w:val="20"/>
                <w:szCs w:val="20"/>
                <w:rtl/>
              </w:rPr>
              <w:t xml:space="preserve">الأدوات</w:t>
            </w:r>
          </w:p>
        </w:tc>
        <w:tc>
          <w:tcPr>
            <w:tcW w:type="dxa" w:w="6400"/>
          </w:tcPr>
          <w:p>
            <w:pPr>
              <w:bidi/>
              <w:jc w:val="start"/>
            </w:pPr>
            <w:r>
              <w:rPr>
                <w:rFonts w:ascii="Arial" w:cs="Arial" w:eastAsia="Arial" w:hAnsi="Arial"/>
                <w:b w:val="false"/>
                <w:bCs w:val="false"/>
                <w:sz w:val="20"/>
                <w:szCs w:val="20"/>
                <w:rtl/>
              </w:rPr>
              <w:t xml:space="preserve">التصديرات والمزامنة.</w:t>
            </w:r>
          </w:p>
        </w:tc>
      </w:tr>
      <w:tr>
        <w:tc>
          <w:tcPr>
            <w:tcW w:type="dxa" w:w="2600"/>
          </w:tcPr>
          <w:p>
            <w:pPr>
              <w:bidi/>
              <w:jc w:val="start"/>
            </w:pPr>
            <w:r>
              <w:rPr>
                <w:rFonts w:ascii="Arial" w:cs="Arial" w:eastAsia="Arial" w:hAnsi="Arial"/>
                <w:b w:val="false"/>
                <w:bCs w:val="false"/>
                <w:sz w:val="20"/>
                <w:szCs w:val="20"/>
                <w:rtl/>
              </w:rPr>
              <w:t xml:space="preserve">شغلي ← جدولي</w:t>
            </w:r>
          </w:p>
        </w:tc>
        <w:tc>
          <w:tcPr>
            <w:tcW w:type="dxa" w:w="6400"/>
          </w:tcPr>
          <w:p>
            <w:pPr>
              <w:bidi/>
              <w:jc w:val="start"/>
            </w:pPr>
            <w:r>
              <w:rPr>
                <w:rFonts w:ascii="Arial" w:cs="Arial" w:eastAsia="Arial" w:hAnsi="Arial"/>
                <w:b w:val="false"/>
                <w:bCs w:val="false"/>
                <w:sz w:val="20"/>
                <w:szCs w:val="20"/>
                <w:rtl/>
              </w:rPr>
              <w:t xml:space="preserve">ما أُسند إليك — وترتيبك بلا أرقام زملائك.</w:t>
            </w:r>
          </w:p>
        </w:tc>
      </w:tr>
      <w:tr>
        <w:tc>
          <w:tcPr>
            <w:tcW w:type="dxa" w:w="2600"/>
          </w:tcPr>
          <w:p>
            <w:pPr>
              <w:bidi/>
              <w:jc w:val="start"/>
            </w:pPr>
            <w:r>
              <w:rPr>
                <w:rFonts w:ascii="Arial" w:cs="Arial" w:eastAsia="Arial" w:hAnsi="Arial"/>
                <w:b w:val="false"/>
                <w:bCs w:val="false"/>
                <w:sz w:val="20"/>
                <w:szCs w:val="20"/>
                <w:rtl/>
              </w:rPr>
              <w:t xml:space="preserve">متابعة العمل الميداني ← التحديات والمعوقات</w:t>
            </w:r>
          </w:p>
        </w:tc>
        <w:tc>
          <w:tcPr>
            <w:tcW w:type="dxa" w:w="6400"/>
          </w:tcPr>
          <w:p>
            <w:pPr>
              <w:bidi/>
              <w:jc w:val="start"/>
            </w:pPr>
            <w:r>
              <w:rPr>
                <w:rFonts w:ascii="Arial" w:cs="Arial" w:eastAsia="Arial" w:hAnsi="Arial"/>
                <w:b w:val="false"/>
                <w:bCs w:val="false"/>
                <w:sz w:val="20"/>
                <w:szCs w:val="20"/>
                <w:rtl/>
              </w:rPr>
              <w:t xml:space="preserve">كلُّ معوقٍ بفلتر المشعر والنوع — واضغط التحدي ترى نقاطه. تُغلق تلقائيًّا عند التركيب.</w:t>
            </w:r>
          </w:p>
        </w:tc>
      </w:tr>
      <w:tr>
        <w:tc>
          <w:tcPr>
            <w:tcW w:type="dxa" w:w="2600"/>
          </w:tcPr>
          <w:p>
            <w:pPr>
              <w:bidi/>
              <w:jc w:val="start"/>
            </w:pPr>
            <w:r>
              <w:rPr>
                <w:rFonts w:ascii="Arial" w:cs="Arial" w:eastAsia="Arial" w:hAnsi="Arial"/>
                <w:b w:val="false"/>
                <w:bCs w:val="false"/>
                <w:sz w:val="20"/>
                <w:szCs w:val="20"/>
                <w:rtl/>
              </w:rPr>
              <w:t xml:space="preserve">الطلبات والتوزيع ← طلبات الزيارة</w:t>
            </w:r>
          </w:p>
        </w:tc>
        <w:tc>
          <w:tcPr>
            <w:tcW w:type="dxa" w:w="6400"/>
          </w:tcPr>
          <w:p>
            <w:pPr>
              <w:bidi/>
              <w:jc w:val="start"/>
            </w:pPr>
            <w:r>
              <w:rPr>
                <w:rFonts w:ascii="Arial" w:cs="Arial" w:eastAsia="Arial" w:hAnsi="Arial"/>
                <w:b w:val="false"/>
                <w:bCs w:val="false"/>
                <w:sz w:val="20"/>
                <w:szCs w:val="20"/>
                <w:rtl/>
              </w:rPr>
              <w:t xml:space="preserve">إسناد زيارات المسح للفنيين واعتمادها.</w:t>
            </w:r>
          </w:p>
        </w:tc>
      </w:tr>
      <w:tr>
        <w:tc>
          <w:tcPr>
            <w:tcW w:type="dxa" w:w="2600"/>
          </w:tcPr>
          <w:p>
            <w:pPr>
              <w:bidi/>
              <w:jc w:val="start"/>
            </w:pPr>
            <w:r>
              <w:rPr>
                <w:rFonts w:ascii="Arial" w:cs="Arial" w:eastAsia="Arial" w:hAnsi="Arial"/>
                <w:b w:val="false"/>
                <w:bCs w:val="false"/>
                <w:sz w:val="20"/>
                <w:szCs w:val="20"/>
                <w:rtl/>
              </w:rPr>
              <w:t xml:space="preserve">الطلبات والتوزيع ← سجل الإسنادات</w:t>
            </w:r>
          </w:p>
        </w:tc>
        <w:tc>
          <w:tcPr>
            <w:tcW w:type="dxa" w:w="6400"/>
          </w:tcPr>
          <w:p>
            <w:pPr>
              <w:bidi/>
              <w:jc w:val="start"/>
            </w:pPr>
            <w:r>
              <w:rPr>
                <w:rFonts w:ascii="Arial" w:cs="Arial" w:eastAsia="Arial" w:hAnsi="Arial"/>
                <w:b w:val="false"/>
                <w:bCs w:val="false"/>
                <w:sz w:val="20"/>
                <w:szCs w:val="20"/>
                <w:rtl/>
              </w:rPr>
              <w:t xml:space="preserve">كلُّ طلبٍ من كلِّ نوع — يُتابَع ويُعدَّل ويُحذَف.</w:t>
            </w:r>
          </w:p>
        </w:tc>
      </w:tr>
      <w:tr>
        <w:tc>
          <w:tcPr>
            <w:tcW w:type="dxa" w:w="2600"/>
          </w:tcPr>
          <w:p>
            <w:pPr>
              <w:bidi/>
              <w:jc w:val="start"/>
            </w:pPr>
            <w:r>
              <w:rPr>
                <w:rFonts w:ascii="Arial" w:cs="Arial" w:eastAsia="Arial" w:hAnsi="Arial"/>
                <w:b w:val="false"/>
                <w:bCs w:val="false"/>
                <w:sz w:val="20"/>
                <w:szCs w:val="20"/>
                <w:rtl/>
              </w:rPr>
              <w:t xml:space="preserve">الطلبات والتوزيع ← توزيع الفرق</w:t>
            </w:r>
          </w:p>
        </w:tc>
        <w:tc>
          <w:tcPr>
            <w:tcW w:type="dxa" w:w="6400"/>
          </w:tcPr>
          <w:p>
            <w:pPr>
              <w:bidi/>
              <w:jc w:val="start"/>
            </w:pPr>
            <w:r>
              <w:rPr>
                <w:rFonts w:ascii="Arial" w:cs="Arial" w:eastAsia="Arial" w:hAnsi="Arial"/>
                <w:b w:val="false"/>
                <w:bCs w:val="false"/>
                <w:sz w:val="20"/>
                <w:szCs w:val="20"/>
                <w:rtl/>
              </w:rPr>
              <w:t xml:space="preserve">ما أُسند وما بقي — لكل مشعرٍ ونوع.</w:t>
            </w:r>
          </w:p>
        </w:tc>
      </w:tr>
      <w:tr>
        <w:tc>
          <w:tcPr>
            <w:tcW w:type="dxa" w:w="2600"/>
          </w:tcPr>
          <w:p>
            <w:pPr>
              <w:bidi/>
              <w:jc w:val="start"/>
            </w:pPr>
            <w:r>
              <w:rPr>
                <w:rFonts w:ascii="Arial" w:cs="Arial" w:eastAsia="Arial" w:hAnsi="Arial"/>
                <w:b w:val="false"/>
                <w:bCs w:val="false"/>
                <w:sz w:val="20"/>
                <w:szCs w:val="20"/>
                <w:rtl/>
              </w:rPr>
              <w:t xml:space="preserve">شغلي ← أدائي</w:t>
            </w:r>
          </w:p>
        </w:tc>
        <w:tc>
          <w:tcPr>
            <w:tcW w:type="dxa" w:w="6400"/>
          </w:tcPr>
          <w:p>
            <w:pPr>
              <w:bidi/>
              <w:jc w:val="start"/>
            </w:pPr>
            <w:r>
              <w:rPr>
                <w:rFonts w:ascii="Arial" w:cs="Arial" w:eastAsia="Arial" w:hAnsi="Arial"/>
                <w:b w:val="false"/>
                <w:bCs w:val="false"/>
                <w:sz w:val="20"/>
                <w:szCs w:val="20"/>
                <w:rtl/>
              </w:rPr>
              <w:t xml:space="preserve">نقاطُك وترتيبُك ومستحقُّك.</w:t>
            </w:r>
          </w:p>
        </w:tc>
      </w:tr>
      <w:tr>
        <w:tc>
          <w:tcPr>
            <w:tcW w:type="dxa" w:w="2600"/>
          </w:tcPr>
          <w:p>
            <w:pPr>
              <w:bidi/>
              <w:jc w:val="start"/>
            </w:pPr>
            <w:r>
              <w:rPr>
                <w:rFonts w:ascii="Arial" w:cs="Arial" w:eastAsia="Arial" w:hAnsi="Arial"/>
                <w:b w:val="false"/>
                <w:bCs w:val="false"/>
                <w:sz w:val="20"/>
                <w:szCs w:val="20"/>
                <w:rtl/>
              </w:rPr>
              <w:t xml:space="preserve">شغلي ← فريقي</w:t>
            </w:r>
          </w:p>
        </w:tc>
        <w:tc>
          <w:tcPr>
            <w:tcW w:type="dxa" w:w="6400"/>
          </w:tcPr>
          <w:p>
            <w:pPr>
              <w:bidi/>
              <w:jc w:val="start"/>
            </w:pPr>
            <w:r>
              <w:rPr>
                <w:rFonts w:ascii="Arial" w:cs="Arial" w:eastAsia="Arial" w:hAnsi="Arial"/>
                <w:b w:val="false"/>
                <w:bCs w:val="false"/>
                <w:sz w:val="20"/>
                <w:szCs w:val="20"/>
                <w:rtl/>
              </w:rPr>
              <w:t xml:space="preserve">من تحتك ونقاطُهم.</w:t>
            </w:r>
          </w:p>
        </w:tc>
      </w:tr>
      <w:tr>
        <w:tc>
          <w:tcPr>
            <w:tcW w:type="dxa" w:w="2600"/>
          </w:tcPr>
          <w:p>
            <w:pPr>
              <w:bidi/>
              <w:jc w:val="start"/>
            </w:pPr>
            <w:r>
              <w:rPr>
                <w:rFonts w:ascii="Arial" w:cs="Arial" w:eastAsia="Arial" w:hAnsi="Arial"/>
                <w:b w:val="false"/>
                <w:bCs w:val="false"/>
                <w:sz w:val="20"/>
                <w:szCs w:val="20"/>
                <w:rtl/>
              </w:rPr>
              <w:t xml:space="preserve">شغلي ← لوحة الفريق</w:t>
            </w:r>
          </w:p>
        </w:tc>
        <w:tc>
          <w:tcPr>
            <w:tcW w:type="dxa" w:w="6400"/>
          </w:tcPr>
          <w:p>
            <w:pPr>
              <w:bidi/>
              <w:jc w:val="start"/>
            </w:pPr>
            <w:r>
              <w:rPr>
                <w:rFonts w:ascii="Arial" w:cs="Arial" w:eastAsia="Arial" w:hAnsi="Arial"/>
                <w:b w:val="false"/>
                <w:bCs w:val="false"/>
                <w:sz w:val="20"/>
                <w:szCs w:val="20"/>
                <w:rtl/>
              </w:rPr>
              <w:t xml:space="preserve">من تحتك في شاشةٍ واحدة: ما أُسند لكلٍّ، وما أنجزه اليوم، وما ينتظر اعتمادك، وآخر ظهور.</w:t>
            </w:r>
          </w:p>
        </w:tc>
      </w:tr>
      <w:tr>
        <w:tc>
          <w:tcPr>
            <w:tcW w:type="dxa" w:w="2600"/>
          </w:tcPr>
          <w:p>
            <w:pPr>
              <w:bidi/>
              <w:jc w:val="start"/>
            </w:pPr>
            <w:r>
              <w:rPr>
                <w:rFonts w:ascii="Arial" w:cs="Arial" w:eastAsia="Arial" w:hAnsi="Arial"/>
                <w:b w:val="false"/>
                <w:bCs w:val="false"/>
                <w:sz w:val="20"/>
                <w:szCs w:val="20"/>
                <w:rtl/>
              </w:rPr>
              <w:t xml:space="preserve">شغلي ← شغل فريقي</w:t>
            </w:r>
          </w:p>
        </w:tc>
        <w:tc>
          <w:tcPr>
            <w:tcW w:type="dxa" w:w="6400"/>
          </w:tcPr>
          <w:p>
            <w:pPr>
              <w:bidi/>
              <w:jc w:val="start"/>
            </w:pPr>
            <w:r>
              <w:rPr>
                <w:rFonts w:ascii="Arial" w:cs="Arial" w:eastAsia="Arial" w:hAnsi="Arial"/>
                <w:b w:val="false"/>
                <w:bCs w:val="false"/>
                <w:sz w:val="20"/>
                <w:szCs w:val="20"/>
                <w:rtl/>
              </w:rPr>
              <w:t xml:space="preserve">ما على فريقك الميداني من 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الشركات ← حسب شركة الخدمة</w:t>
            </w:r>
          </w:p>
        </w:tc>
        <w:tc>
          <w:tcPr>
            <w:tcW w:type="dxa" w:w="6400"/>
          </w:tcPr>
          <w:p>
            <w:pPr>
              <w:bidi/>
              <w:jc w:val="start"/>
            </w:pPr>
            <w:r>
              <w:rPr>
                <w:rFonts w:ascii="Arial" w:cs="Arial" w:eastAsia="Arial" w:hAnsi="Arial"/>
                <w:b w:val="false"/>
                <w:bCs w:val="false"/>
                <w:sz w:val="20"/>
                <w:szCs w:val="20"/>
                <w:rtl/>
              </w:rPr>
              <w:t xml:space="preserve">لكلِّ شركةٍ مخيّماتُها — تُضاف وتُعدَّل وتُحذَف.</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r>
        <w:tc>
          <w:tcPr>
            <w:tcW w:type="dxa" w:w="2600"/>
          </w:tcPr>
          <w:p>
            <w:pPr>
              <w:bidi/>
              <w:jc w:val="start"/>
            </w:pPr>
            <w:r>
              <w:rPr>
                <w:rFonts w:ascii="Arial" w:cs="Arial" w:eastAsia="Arial" w:hAnsi="Arial"/>
                <w:b w:val="false"/>
                <w:bCs w:val="false"/>
                <w:sz w:val="20"/>
                <w:szCs w:val="20"/>
                <w:rtl/>
              </w:rPr>
              <w:t xml:space="preserve">متابعة المهام الأسبوعية</w:t>
            </w:r>
          </w:p>
        </w:tc>
        <w:tc>
          <w:tcPr>
            <w:tcW w:type="dxa" w:w="6400"/>
          </w:tcPr>
          <w:p>
            <w:pPr>
              <w:bidi/>
              <w:jc w:val="start"/>
            </w:pPr>
            <w:r>
              <w:rPr>
                <w:rFonts w:ascii="Arial" w:cs="Arial" w:eastAsia="Arial" w:hAnsi="Arial"/>
                <w:b w:val="false"/>
                <w:bCs w:val="false"/>
                <w:sz w:val="20"/>
                <w:szCs w:val="20"/>
                <w:rtl/>
              </w:rPr>
              <w:t xml:space="preserve">مهامُّ الاجتماع — كلُّ مهمةٍ بطاقةٌ تقول ماذا ومن ومتى وأين وقفت؛ اضغطها لتحدّث حالتَها أو تكتب ما الجديد. يعدّلها المهندسُ فما فوق والوزارة.</w:t>
            </w:r>
          </w:p>
        </w:tc>
      </w:tr>
      <w:tr>
        <w:tc>
          <w:tcPr>
            <w:tcW w:type="dxa" w:w="2600"/>
          </w:tcPr>
          <w:p>
            <w:pPr>
              <w:bidi/>
              <w:jc w:val="start"/>
            </w:pPr>
            <w:r>
              <w:rPr>
                <w:rFonts w:ascii="Arial" w:cs="Arial" w:eastAsia="Arial" w:hAnsi="Arial"/>
                <w:b w:val="false"/>
                <w:bCs w:val="false"/>
                <w:sz w:val="20"/>
                <w:szCs w:val="20"/>
                <w:rtl/>
              </w:rPr>
              <w:t xml:space="preserve">نظرة عامة ← أمس · الآن · غدًا</w:t>
            </w:r>
          </w:p>
        </w:tc>
        <w:tc>
          <w:tcPr>
            <w:tcW w:type="dxa" w:w="6400"/>
          </w:tcPr>
          <w:p>
            <w:pPr>
              <w:bidi/>
              <w:jc w:val="start"/>
            </w:pPr>
            <w:r>
              <w:rPr>
                <w:rFonts w:ascii="Arial" w:cs="Arial" w:eastAsia="Arial" w:hAnsi="Arial"/>
                <w:b w:val="false"/>
                <w:bCs w:val="false"/>
                <w:sz w:val="20"/>
                <w:szCs w:val="20"/>
                <w:rtl/>
              </w:rPr>
              <w:t xml:space="preserve">ما انتهى، وما يجري الآن ومن يفعله وأين، وما هو مجدولٌ لغد.</w:t>
            </w:r>
          </w:p>
        </w:tc>
      </w:tr>
      <w:tr>
        <w:tc>
          <w:tcPr>
            <w:tcW w:type="dxa" w:w="2600"/>
          </w:tcPr>
          <w:p>
            <w:pPr>
              <w:bidi/>
              <w:jc w:val="start"/>
            </w:pPr>
            <w:r>
              <w:rPr>
                <w:rFonts w:ascii="Arial" w:cs="Arial" w:eastAsia="Arial" w:hAnsi="Arial"/>
                <w:b w:val="false"/>
                <w:bCs w:val="false"/>
                <w:sz w:val="20"/>
                <w:szCs w:val="20"/>
                <w:rtl/>
              </w:rPr>
              <w:t xml:space="preserve">نظرة عامة ← الوتيرة والهدف</w:t>
            </w:r>
          </w:p>
        </w:tc>
        <w:tc>
          <w:tcPr>
            <w:tcW w:type="dxa" w:w="6400"/>
          </w:tcPr>
          <w:p>
            <w:pPr>
              <w:bidi/>
              <w:jc w:val="start"/>
            </w:pPr>
            <w:r>
              <w:rPr>
                <w:rFonts w:ascii="Arial" w:cs="Arial" w:eastAsia="Arial" w:hAnsi="Arial"/>
                <w:b w:val="false"/>
                <w:bCs w:val="false"/>
                <w:sz w:val="20"/>
                <w:szCs w:val="20"/>
                <w:rtl/>
              </w:rPr>
              <w:t xml:space="preserve">المطلوب يوميًّا لبلوغ الموعد، وتاريخ الانتهاء المتوقع.</w:t>
            </w:r>
          </w:p>
        </w:tc>
      </w:tr>
      <w:tr>
        <w:tc>
          <w:tcPr>
            <w:tcW w:type="dxa" w:w="2600"/>
          </w:tcPr>
          <w:p>
            <w:pPr>
              <w:bidi/>
              <w:jc w:val="start"/>
            </w:pPr>
            <w:r>
              <w:rPr>
                <w:rFonts w:ascii="Arial" w:cs="Arial" w:eastAsia="Arial" w:hAnsi="Arial"/>
                <w:b w:val="false"/>
                <w:bCs w:val="false"/>
                <w:sz w:val="20"/>
                <w:szCs w:val="20"/>
                <w:rtl/>
              </w:rPr>
              <w:t xml:space="preserve">نظرة عامة ← التركيب والجدولة</w:t>
            </w:r>
          </w:p>
        </w:tc>
        <w:tc>
          <w:tcPr>
            <w:tcW w:type="dxa" w:w="6400"/>
          </w:tcPr>
          <w:p>
            <w:pPr>
              <w:bidi/>
              <w:jc w:val="start"/>
            </w:pPr>
            <w:r>
              <w:rPr>
                <w:rFonts w:ascii="Arial" w:cs="Arial" w:eastAsia="Arial" w:hAnsi="Arial"/>
                <w:b w:val="false"/>
                <w:bCs w:val="false"/>
                <w:sz w:val="20"/>
                <w:szCs w:val="20"/>
                <w:rtl/>
              </w:rPr>
              <w:t xml:space="preserve">ما جُدول وما نُفّذ وما تعذّر — بحالته ونوعه.</w:t>
            </w:r>
          </w:p>
        </w:tc>
      </w:tr>
      <w:tr>
        <w:tc>
          <w:tcPr>
            <w:tcW w:type="dxa" w:w="2600"/>
          </w:tcPr>
          <w:p>
            <w:pPr>
              <w:bidi/>
              <w:jc w:val="start"/>
            </w:pPr>
            <w:r>
              <w:rPr>
                <w:rFonts w:ascii="Arial" w:cs="Arial" w:eastAsia="Arial" w:hAnsi="Arial"/>
                <w:b w:val="false"/>
                <w:bCs w:val="false"/>
                <w:sz w:val="20"/>
                <w:szCs w:val="20"/>
                <w:rtl/>
              </w:rPr>
              <w:t xml:space="preserve">نظرة عامة ← حسب المشعر والنوع</w:t>
            </w:r>
          </w:p>
        </w:tc>
        <w:tc>
          <w:tcPr>
            <w:tcW w:type="dxa" w:w="6400"/>
          </w:tcPr>
          <w:p>
            <w:pPr>
              <w:bidi/>
              <w:jc w:val="start"/>
            </w:pPr>
            <w:r>
              <w:rPr>
                <w:rFonts w:ascii="Arial" w:cs="Arial" w:eastAsia="Arial" w:hAnsi="Arial"/>
                <w:b w:val="false"/>
                <w:bCs w:val="false"/>
                <w:sz w:val="20"/>
                <w:szCs w:val="20"/>
                <w:rtl/>
              </w:rPr>
              <w:t xml:space="preserve">التوزيع الكامل بالنسب.</w:t>
            </w:r>
          </w:p>
        </w:tc>
      </w:tr>
      <w:tr>
        <w:tc>
          <w:tcPr>
            <w:tcW w:type="dxa" w:w="2600"/>
          </w:tcPr>
          <w:p>
            <w:pPr>
              <w:bidi/>
              <w:jc w:val="start"/>
            </w:pPr>
            <w:r>
              <w:rPr>
                <w:rFonts w:ascii="Arial" w:cs="Arial" w:eastAsia="Arial" w:hAnsi="Arial"/>
                <w:b w:val="false"/>
                <w:bCs w:val="false"/>
                <w:sz w:val="20"/>
                <w:szCs w:val="20"/>
                <w:rtl/>
              </w:rPr>
              <w:t xml:space="preserve">الفك والمراحل ← الفك بعد الموسم</w:t>
            </w:r>
          </w:p>
        </w:tc>
        <w:tc>
          <w:tcPr>
            <w:tcW w:type="dxa" w:w="6400"/>
          </w:tcPr>
          <w:p>
            <w:pPr>
              <w:bidi/>
              <w:jc w:val="start"/>
            </w:pPr>
            <w:r>
              <w:rPr>
                <w:rFonts w:ascii="Arial" w:cs="Arial" w:eastAsia="Arial" w:hAnsi="Arial"/>
                <w:b w:val="false"/>
                <w:bCs w:val="false"/>
                <w:sz w:val="20"/>
                <w:szCs w:val="20"/>
                <w:rtl/>
              </w:rPr>
              <w:t xml:space="preserve">جدولة الفك وإرجاع العُهدة بحالة كل صنف.</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متابعة الخطة التفصيلية</w:t>
            </w:r>
          </w:p>
        </w:tc>
        <w:tc>
          <w:tcPr>
            <w:tcW w:type="dxa" w:w="6400"/>
          </w:tcPr>
          <w:p>
            <w:pPr>
              <w:bidi/>
              <w:jc w:val="start"/>
            </w:pPr>
            <w:r>
              <w:rPr>
                <w:rFonts w:ascii="Arial" w:cs="Arial" w:eastAsia="Arial" w:hAnsi="Arial"/>
                <w:b w:val="false"/>
                <w:bCs w:val="false"/>
                <w:sz w:val="20"/>
                <w:szCs w:val="20"/>
                <w:rtl/>
              </w:rPr>
              <w:t xml:space="preserve">بنودُ المشروع كلُّها — من يعمل عليها ومتى تنتهي وأين وقفت؛ تُحدَّث من المكتب ويراها الجميع.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الإعدادات</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المستخدمون والأدوار ← الحسابات</w:t>
            </w:r>
          </w:p>
        </w:tc>
        <w:tc>
          <w:tcPr>
            <w:tcW w:type="dxa" w:w="6400"/>
          </w:tcPr>
          <w:p>
            <w:pPr>
              <w:bidi/>
              <w:jc w:val="start"/>
            </w:pPr>
            <w:r>
              <w:rPr>
                <w:rFonts w:ascii="Arial" w:cs="Arial" w:eastAsia="Arial" w:hAnsi="Arial"/>
                <w:b w:val="false"/>
                <w:bCs w:val="false"/>
                <w:sz w:val="20"/>
                <w:szCs w:val="20"/>
                <w:rtl/>
              </w:rPr>
              <w:t xml:space="preserve">كل حساب ودوره في مكانٍ واحد — إنشاءً وبحثًا وتصفيةً بالنوع.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دوراتُ عملك — 2</w:t>
      </w:r>
    </w:p>
    <w:p>
      <w:pPr>
        <w:bidi/>
        <w:spacing w:after="120"/>
        <w:jc w:val="start"/>
      </w:pPr>
      <w:r>
        <w:rPr>
          <w:rFonts w:ascii="Arial" w:cs="Arial" w:eastAsia="Arial" w:hAnsi="Arial"/>
          <w:b/>
          <w:bCs/>
          <w:sz w:val="24"/>
          <w:szCs w:val="24"/>
          <w:rtl/>
        </w:rPr>
        <w:t xml:space="preserve">دورة المسح الميداني</w:t>
      </w:r>
    </w:p>
    <w:p>
      <w:pPr>
        <w:bidi/>
        <w:spacing w:after="120"/>
        <w:jc w:val="start"/>
      </w:pPr>
      <w:r>
        <w:rPr>
          <w:rFonts w:ascii="Arial" w:cs="Arial" w:eastAsia="Arial" w:hAnsi="Arial"/>
          <w:b w:val="false"/>
          <w:bCs w:val="false"/>
          <w:color w:val="666666"/>
          <w:sz w:val="20"/>
          <w:szCs w:val="20"/>
          <w:rtl/>
        </w:rPr>
        <w:t xml:space="preserve">ما يبدؤها: إسنادُ زيارةٍ لفنيٍّ من طلبات الزيارة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النقاطَ من الخريطة أو القائمة ويُسندها لفنيٍّ بموعد</w:t>
            </w:r>
          </w:p>
        </w:tc>
        <w:tc>
          <w:tcPr>
            <w:tcW w:type="dxa" w:w="2400"/>
          </w:tcPr>
          <w:p>
            <w:pPr>
              <w:bidi/>
              <w:jc w:val="start"/>
            </w:pPr>
            <w:r>
              <w:rPr>
                <w:rFonts w:ascii="Arial" w:cs="Arial" w:eastAsia="Arial" w:hAnsi="Arial"/>
                <w:b w:val="false"/>
                <w:bCs w:val="false"/>
                <w:sz w:val="20"/>
                <w:szCs w:val="20"/>
                <w:rtl/>
              </w:rPr>
              <w:t xml:space="preserve">طلبات الزيارة</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المهمّةَ في «مهامي» ويتوجّه بالأقرب أولًا</w:t>
            </w:r>
          </w:p>
        </w:tc>
        <w:tc>
          <w:tcPr>
            <w:tcW w:type="dxa" w:w="2400"/>
          </w:tcPr>
          <w:p>
            <w:pPr>
              <w:bidi/>
              <w:jc w:val="start"/>
            </w:pPr>
            <w:r>
              <w:rPr>
                <w:rFonts w:ascii="Arial" w:cs="Arial" w:eastAsia="Arial" w:hAnsi="Arial"/>
                <w:b w:val="false"/>
                <w:bCs w:val="false"/>
                <w:sz w:val="20"/>
                <w:szCs w:val="20"/>
                <w:rtl/>
              </w:rPr>
              <w:t xml:space="preserve">مهامي</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يفتح نموذج المسح فيرى المعلومَ ويجمع المجهول</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يلتقط صورةَ الموقع وصورةَ نقطة التركيب — إلزامٌ لا يُتجاوَز</w:t>
            </w:r>
          </w:p>
        </w:tc>
        <w:tc>
          <w:tcPr>
            <w:tcW w:type="dxa" w:w="2400"/>
          </w:tcPr>
          <w:p>
            <w:pPr>
              <w:bidi/>
              <w:jc w:val="start"/>
            </w:pPr>
            <w:r>
              <w:rPr>
                <w:rFonts w:ascii="Arial" w:cs="Arial" w:eastAsia="Arial" w:hAnsi="Arial"/>
                <w:b w:val="false"/>
                <w:bCs w:val="false"/>
                <w:sz w:val="20"/>
                <w:szCs w:val="20"/>
                <w:rtl/>
              </w:rPr>
              <w:t xml:space="preserve">نموذج المسح</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يضغط الصورَ على الجهاز ويحفظ محليًّا ثم يرفع</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المهندس</w:t>
            </w:r>
          </w:p>
        </w:tc>
        <w:tc>
          <w:tcPr>
            <w:tcW w:type="dxa" w:w="4400"/>
          </w:tcPr>
          <w:p>
            <w:pPr>
              <w:bidi/>
              <w:jc w:val="start"/>
            </w:pPr>
            <w:r>
              <w:rPr>
                <w:rFonts w:ascii="Arial" w:cs="Arial" w:eastAsia="Arial" w:hAnsi="Arial"/>
                <w:b w:val="false"/>
                <w:bCs w:val="false"/>
                <w:sz w:val="20"/>
                <w:szCs w:val="20"/>
                <w:rtl/>
              </w:rPr>
              <w:t xml:space="preserve">يراجع ما جُمع فيعتمده أو يردّه بسبب</w:t>
            </w:r>
          </w:p>
        </w:tc>
        <w:tc>
          <w:tcPr>
            <w:tcW w:type="dxa" w:w="2400"/>
          </w:tcPr>
          <w:p>
            <w:pPr>
              <w:bidi/>
              <w:jc w:val="start"/>
            </w:pPr>
            <w:r>
              <w:rPr>
                <w:rFonts w:ascii="Arial" w:cs="Arial" w:eastAsia="Arial" w:hAnsi="Arial"/>
                <w:b w:val="false"/>
                <w:bCs w:val="false"/>
                <w:sz w:val="20"/>
                <w:szCs w:val="20"/>
                <w:rtl/>
              </w:rPr>
              <w:t xml:space="preserve">التدقيق الهندسي</w:t>
            </w:r>
          </w:p>
        </w:tc>
      </w:tr>
      <w:tr>
        <w:tc>
          <w:tcPr>
            <w:tcW w:type="dxa" w:w="600"/>
          </w:tcPr>
          <w:p>
            <w:pPr>
              <w:bidi/>
              <w:jc w:val="start"/>
            </w:pPr>
            <w:r>
              <w:rPr>
                <w:rFonts w:ascii="Arial" w:cs="Arial" w:eastAsia="Arial" w:hAnsi="Arial"/>
                <w:b w:val="false"/>
                <w:bCs w:val="false"/>
                <w:sz w:val="20"/>
                <w:szCs w:val="20"/>
                <w:rtl/>
              </w:rPr>
              <w:t xml:space="preserve">7</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يحتسب نقاطَ الزيارة للفني بوزنها من الإعدادات</w:t>
            </w:r>
          </w:p>
        </w:tc>
        <w:tc>
          <w:tcPr>
            <w:tcW w:type="dxa" w:w="2400"/>
          </w:tcPr>
          <w:p>
            <w:pPr>
              <w:bidi/>
              <w:jc w:val="start"/>
            </w:pPr>
            <w:r>
              <w:rPr>
                <w:rFonts w:ascii="Arial" w:cs="Arial" w:eastAsia="Arial" w:hAnsi="Arial"/>
                <w:b w:val="false"/>
                <w:bCs w:val="false"/>
                <w:sz w:val="20"/>
                <w:szCs w:val="20"/>
                <w:rtl/>
              </w:rPr>
              <w:t xml:space="preserve">أدائي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لا حفظَ بلا صورتين</w:t>
      </w:r>
    </w:p>
    <w:p>
      <w:pPr>
        <w:bidi/>
        <w:spacing w:after="120"/>
        <w:jc w:val="start"/>
      </w:pPr>
      <w:r>
        <w:rPr>
          <w:rFonts w:ascii="Arial" w:cs="Arial" w:eastAsia="Arial" w:hAnsi="Arial"/>
          <w:b w:val="false"/>
          <w:bCs w:val="false"/>
          <w:sz w:val="20"/>
          <w:szCs w:val="20"/>
          <w:rtl/>
        </w:rPr>
        <w:t xml:space="preserve">⚠ الموقعُ المعدَّلُ يُوثَّق بأصله ومسافةِ نقلته</w:t>
      </w:r>
    </w:p>
    <w:p>
      <w:pPr>
        <w:bidi/>
        <w:spacing w:after="120"/>
        <w:jc w:val="start"/>
      </w:pPr>
      <w:r>
        <w:rPr>
          <w:rFonts w:ascii="Arial" w:cs="Arial" w:eastAsia="Arial" w:hAnsi="Arial"/>
          <w:b w:val="false"/>
          <w:bCs w:val="false"/>
          <w:sz w:val="20"/>
          <w:szCs w:val="20"/>
          <w:rtl/>
        </w:rPr>
        <w:t xml:space="preserve">⚠ لا تُحتسب النقاطُ قبل الاعتماد</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دورة الإسناد</w:t>
      </w:r>
    </w:p>
    <w:p>
      <w:pPr>
        <w:bidi/>
        <w:spacing w:after="120"/>
        <w:jc w:val="start"/>
      </w:pPr>
      <w:r>
        <w:rPr>
          <w:rFonts w:ascii="Arial" w:cs="Arial" w:eastAsia="Arial" w:hAnsi="Arial"/>
          <w:b w:val="false"/>
          <w:bCs w:val="false"/>
          <w:color w:val="666666"/>
          <w:sz w:val="20"/>
          <w:szCs w:val="20"/>
          <w:rtl/>
        </w:rPr>
        <w:t xml:space="preserve">ما يبدؤها: وجودُ نقاطٍ جاهزةٍ في طبقةٍ وفنيٍّ متاح</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600"/>
        <w:gridCol w:w="1600"/>
        <w:gridCol w:w="4400"/>
        <w:gridCol w:w="2400"/>
      </w:tblGrid>
      <w:tr>
        <w:trPr>
          <w:tblHeader/>
        </w:trPr>
        <w:tc>
          <w:tcPr>
            <w:tcW w:type="dxa" w:w="600"/>
            <w:shd w:fill="E8F1FA" w:color="auto" w:val="clear"/>
          </w:tcPr>
          <w:p>
            <w:pPr>
              <w:bidi/>
              <w:jc w:val="start"/>
            </w:pPr>
            <w:r>
              <w:rPr>
                <w:rFonts w:ascii="Arial" w:cs="Arial" w:eastAsia="Arial" w:hAnsi="Arial"/>
                <w:b/>
                <w:bCs/>
                <w:sz w:val="20"/>
                <w:szCs w:val="20"/>
                <w:rtl/>
              </w:rPr>
              <w:t xml:space="preserve">#</w:t>
            </w:r>
          </w:p>
        </w:tc>
        <w:tc>
          <w:tcPr>
            <w:tcW w:type="dxa" w:w="1600"/>
            <w:shd w:fill="E8F1FA" w:color="auto" w:val="clear"/>
          </w:tcPr>
          <w:p>
            <w:pPr>
              <w:bidi/>
              <w:jc w:val="start"/>
            </w:pPr>
            <w:r>
              <w:rPr>
                <w:rFonts w:ascii="Arial" w:cs="Arial" w:eastAsia="Arial" w:hAnsi="Arial"/>
                <w:b/>
                <w:bCs/>
                <w:sz w:val="20"/>
                <w:szCs w:val="20"/>
                <w:rtl/>
              </w:rPr>
              <w:t xml:space="preserve">من</w:t>
            </w:r>
          </w:p>
        </w:tc>
        <w:tc>
          <w:tcPr>
            <w:tcW w:type="dxa" w:w="4400"/>
            <w:shd w:fill="E8F1FA" w:color="auto" w:val="clear"/>
          </w:tcPr>
          <w:p>
            <w:pPr>
              <w:bidi/>
              <w:jc w:val="start"/>
            </w:pPr>
            <w:r>
              <w:rPr>
                <w:rFonts w:ascii="Arial" w:cs="Arial" w:eastAsia="Arial" w:hAnsi="Arial"/>
                <w:b/>
                <w:bCs/>
                <w:sz w:val="20"/>
                <w:szCs w:val="20"/>
                <w:rtl/>
              </w:rPr>
              <w:t xml:space="preserve">ما يفعل</w:t>
            </w:r>
          </w:p>
        </w:tc>
        <w:tc>
          <w:tcPr>
            <w:tcW w:type="dxa" w:w="2400"/>
            <w:shd w:fill="E8F1FA" w:color="auto" w:val="clear"/>
          </w:tcPr>
          <w:p>
            <w:pPr>
              <w:bidi/>
              <w:jc w:val="start"/>
            </w:pPr>
            <w:r>
              <w:rPr>
                <w:rFonts w:ascii="Arial" w:cs="Arial" w:eastAsia="Arial" w:hAnsi="Arial"/>
                <w:b/>
                <w:bCs/>
                <w:sz w:val="20"/>
                <w:szCs w:val="20"/>
                <w:rtl/>
              </w:rPr>
              <w:t xml:space="preserve">أين</w:t>
            </w:r>
          </w:p>
        </w:tc>
      </w:tr>
      <w:tr>
        <w:tc>
          <w:tcPr>
            <w:tcW w:type="dxa" w:w="600"/>
          </w:tcPr>
          <w:p>
            <w:pPr>
              <w:bidi/>
              <w:jc w:val="start"/>
            </w:pPr>
            <w:r>
              <w:rPr>
                <w:rFonts w:ascii="Arial" w:cs="Arial" w:eastAsia="Arial" w:hAnsi="Arial"/>
                <w:b w:val="false"/>
                <w:bCs w:val="false"/>
                <w:sz w:val="20"/>
                <w:szCs w:val="20"/>
                <w:rtl/>
              </w:rPr>
              <w:t xml:space="preserve">1</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الطبقةَ — فلا يُسند تركيبًا لما لم يُمسح</w:t>
            </w:r>
          </w:p>
        </w:tc>
        <w:tc>
          <w:tcPr>
            <w:tcW w:type="dxa" w:w="2400"/>
          </w:tcPr>
          <w:p>
            <w:pPr>
              <w:bidi/>
              <w:jc w:val="start"/>
            </w:pPr>
            <w:r>
              <w:rPr>
                <w:rFonts w:ascii="Arial" w:cs="Arial" w:eastAsia="Arial" w:hAnsi="Arial"/>
                <w:b w:val="false"/>
                <w:bCs w:val="false"/>
                <w:sz w:val="20"/>
                <w:szCs w:val="20"/>
                <w:rtl/>
              </w:rPr>
              <w:t xml:space="preserve">الطبقات الثلاث</w:t>
            </w:r>
          </w:p>
        </w:tc>
      </w:tr>
      <w:tr>
        <w:tc>
          <w:tcPr>
            <w:tcW w:type="dxa" w:w="600"/>
          </w:tcPr>
          <w:p>
            <w:pPr>
              <w:bidi/>
              <w:jc w:val="start"/>
            </w:pPr>
            <w:r>
              <w:rPr>
                <w:rFonts w:ascii="Arial" w:cs="Arial" w:eastAsia="Arial" w:hAnsi="Arial"/>
                <w:b w:val="false"/>
                <w:bCs w:val="false"/>
                <w:sz w:val="20"/>
                <w:szCs w:val="20"/>
                <w:rtl/>
              </w:rPr>
              <w:t xml:space="preserve">2</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يحدّد من القائمة بالفئة أو من الخريطة بالضغط</w:t>
            </w:r>
          </w:p>
        </w:tc>
        <w:tc>
          <w:tcPr>
            <w:tcW w:type="dxa" w:w="2400"/>
          </w:tcPr>
          <w:p>
            <w:pPr>
              <w:bidi/>
              <w:jc w:val="start"/>
            </w:pPr>
            <w:r>
              <w:rPr>
                <w:rFonts w:ascii="Arial" w:cs="Arial" w:eastAsia="Arial" w:hAnsi="Arial"/>
                <w:b w:val="false"/>
                <w:bCs w:val="false"/>
                <w:sz w:val="20"/>
                <w:szCs w:val="20"/>
                <w:rtl/>
              </w:rPr>
              <w:t xml:space="preserve">طلبات الزيارة / الخريطة</w:t>
            </w:r>
          </w:p>
        </w:tc>
      </w:tr>
      <w:tr>
        <w:tc>
          <w:tcPr>
            <w:tcW w:type="dxa" w:w="600"/>
          </w:tcPr>
          <w:p>
            <w:pPr>
              <w:bidi/>
              <w:jc w:val="start"/>
            </w:pPr>
            <w:r>
              <w:rPr>
                <w:rFonts w:ascii="Arial" w:cs="Arial" w:eastAsia="Arial" w:hAnsi="Arial"/>
                <w:b w:val="false"/>
                <w:bCs w:val="false"/>
                <w:sz w:val="20"/>
                <w:szCs w:val="20"/>
                <w:rtl/>
              </w:rPr>
              <w:t xml:space="preserve">3</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يعرض وزنَ ما حُدِّد بالنقاط قبل الإسناد</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4</w:t>
            </w:r>
          </w:p>
        </w:tc>
        <w:tc>
          <w:tcPr>
            <w:tcW w:type="dxa" w:w="1600"/>
          </w:tcPr>
          <w:p>
            <w:pPr>
              <w:bidi/>
              <w:jc w:val="start"/>
            </w:pPr>
            <w:r>
              <w:rPr>
                <w:rFonts w:ascii="Arial" w:cs="Arial" w:eastAsia="Arial" w:hAnsi="Arial"/>
                <w:b w:val="false"/>
                <w:bCs w:val="false"/>
                <w:sz w:val="20"/>
                <w:szCs w:val="20"/>
                <w:rtl/>
              </w:rPr>
              <w:t xml:space="preserve">المشرف</w:t>
            </w:r>
          </w:p>
        </w:tc>
        <w:tc>
          <w:tcPr>
            <w:tcW w:type="dxa" w:w="4400"/>
          </w:tcPr>
          <w:p>
            <w:pPr>
              <w:bidi/>
              <w:jc w:val="start"/>
            </w:pPr>
            <w:r>
              <w:rPr>
                <w:rFonts w:ascii="Arial" w:cs="Arial" w:eastAsia="Arial" w:hAnsi="Arial"/>
                <w:b w:val="false"/>
                <w:bCs w:val="false"/>
                <w:sz w:val="20"/>
                <w:szCs w:val="20"/>
                <w:rtl/>
              </w:rPr>
              <w:t xml:space="preserve">يختار الفنيَّ فيرى ما لديه، فيزيد أو ينقص</w:t>
            </w:r>
          </w:p>
        </w:tc>
        <w:tc>
          <w:tcPr>
            <w:tcW w:type="dxa" w:w="2400"/>
          </w:tcPr>
          <w:p>
            <w:pPr>
              <w:bidi/>
              <w:jc w:val="start"/>
            </w:pPr>
            <w:r>
              <w:rPr>
                <w:rFonts w:ascii="Arial" w:cs="Arial" w:eastAsia="Arial" w:hAnsi="Arial"/>
                <w:b w:val="false"/>
                <w:bCs w:val="false"/>
                <w:sz w:val="20"/>
                <w:szCs w:val="20"/>
                <w:rtl/>
              </w:rPr>
              <w:t xml:space="preserve">لوح الإسناد</w:t>
            </w:r>
          </w:p>
        </w:tc>
      </w:tr>
      <w:tr>
        <w:tc>
          <w:tcPr>
            <w:tcW w:type="dxa" w:w="600"/>
          </w:tcPr>
          <w:p>
            <w:pPr>
              <w:bidi/>
              <w:jc w:val="start"/>
            </w:pPr>
            <w:r>
              <w:rPr>
                <w:rFonts w:ascii="Arial" w:cs="Arial" w:eastAsia="Arial" w:hAnsi="Arial"/>
                <w:b w:val="false"/>
                <w:bCs w:val="false"/>
                <w:sz w:val="20"/>
                <w:szCs w:val="20"/>
                <w:rtl/>
              </w:rPr>
              <w:t xml:space="preserve">5</w:t>
            </w:r>
          </w:p>
        </w:tc>
        <w:tc>
          <w:tcPr>
            <w:tcW w:type="dxa" w:w="1600"/>
          </w:tcPr>
          <w:p>
            <w:pPr>
              <w:bidi/>
              <w:jc w:val="start"/>
            </w:pPr>
            <w:r>
              <w:rPr>
                <w:rFonts w:ascii="Arial" w:cs="Arial" w:eastAsia="Arial" w:hAnsi="Arial"/>
                <w:b w:val="false"/>
                <w:bCs w:val="false"/>
                <w:sz w:val="20"/>
                <w:szCs w:val="20"/>
                <w:rtl/>
              </w:rPr>
              <w:t xml:space="preserve">النظام</w:t>
            </w:r>
          </w:p>
        </w:tc>
        <w:tc>
          <w:tcPr>
            <w:tcW w:type="dxa" w:w="4400"/>
          </w:tcPr>
          <w:p>
            <w:pPr>
              <w:bidi/>
              <w:jc w:val="start"/>
            </w:pPr>
            <w:r>
              <w:rPr>
                <w:rFonts w:ascii="Arial" w:cs="Arial" w:eastAsia="Arial" w:hAnsi="Arial"/>
                <w:b w:val="false"/>
                <w:bCs w:val="false"/>
                <w:sz w:val="20"/>
                <w:szCs w:val="20"/>
                <w:rtl/>
              </w:rPr>
              <w:t xml:space="preserve">يوفّق: ما زِيد يُنشأ وما نُقص يُلغى</w:t>
            </w:r>
          </w:p>
        </w:tc>
        <w:tc>
          <w:tcPr>
            <w:tcW w:type="dxa" w:w="2400"/>
          </w:tcPr>
          <w:p>
            <w:pPr>
              <w:bidi/>
              <w:jc w:val="start"/>
            </w:pPr>
            <w:r>
              <w:rPr>
                <w:rFonts w:ascii="Arial" w:cs="Arial" w:eastAsia="Arial" w:hAnsi="Arial"/>
                <w:b w:val="false"/>
                <w:bCs w:val="false"/>
                <w:sz w:val="20"/>
                <w:szCs w:val="20"/>
                <w:rtl/>
              </w:rPr>
              <w:t xml:space="preserve">تلقائي</w:t>
            </w:r>
          </w:p>
        </w:tc>
      </w:tr>
      <w:tr>
        <w:tc>
          <w:tcPr>
            <w:tcW w:type="dxa" w:w="600"/>
          </w:tcPr>
          <w:p>
            <w:pPr>
              <w:bidi/>
              <w:jc w:val="start"/>
            </w:pPr>
            <w:r>
              <w:rPr>
                <w:rFonts w:ascii="Arial" w:cs="Arial" w:eastAsia="Arial" w:hAnsi="Arial"/>
                <w:b w:val="false"/>
                <w:bCs w:val="false"/>
                <w:sz w:val="20"/>
                <w:szCs w:val="20"/>
                <w:rtl/>
              </w:rPr>
              <w:t xml:space="preserve">6</w:t>
            </w:r>
          </w:p>
        </w:tc>
        <w:tc>
          <w:tcPr>
            <w:tcW w:type="dxa" w:w="1600"/>
          </w:tcPr>
          <w:p>
            <w:pPr>
              <w:bidi/>
              <w:jc w:val="start"/>
            </w:pPr>
            <w:r>
              <w:rPr>
                <w:rFonts w:ascii="Arial" w:cs="Arial" w:eastAsia="Arial" w:hAnsi="Arial"/>
                <w:b w:val="false"/>
                <w:bCs w:val="false"/>
                <w:sz w:val="20"/>
                <w:szCs w:val="20"/>
                <w:rtl/>
              </w:rPr>
              <w:t xml:space="preserve">الفني</w:t>
            </w:r>
          </w:p>
        </w:tc>
        <w:tc>
          <w:tcPr>
            <w:tcW w:type="dxa" w:w="4400"/>
          </w:tcPr>
          <w:p>
            <w:pPr>
              <w:bidi/>
              <w:jc w:val="start"/>
            </w:pPr>
            <w:r>
              <w:rPr>
                <w:rFonts w:ascii="Arial" w:cs="Arial" w:eastAsia="Arial" w:hAnsi="Arial"/>
                <w:b w:val="false"/>
                <w:bCs w:val="false"/>
                <w:sz w:val="20"/>
                <w:szCs w:val="20"/>
                <w:rtl/>
              </w:rPr>
              <w:t xml:space="preserve">يرى الجديدَ في «مهامي» وخريطتِه</w:t>
            </w:r>
          </w:p>
        </w:tc>
        <w:tc>
          <w:tcPr>
            <w:tcW w:type="dxa" w:w="2400"/>
          </w:tcPr>
          <w:p>
            <w:pPr>
              <w:bidi/>
              <w:jc w:val="start"/>
            </w:pPr>
            <w:r>
              <w:rPr>
                <w:rFonts w:ascii="Arial" w:cs="Arial" w:eastAsia="Arial" w:hAnsi="Arial"/>
                <w:b w:val="false"/>
                <w:bCs w:val="false"/>
                <w:sz w:val="20"/>
                <w:szCs w:val="20"/>
                <w:rtl/>
              </w:rPr>
              <w:t xml:space="preserve">مهامي</w:t>
            </w:r>
          </w:p>
        </w:tc>
      </w:tr>
    </w:tbl>
    <w:p>
      <w:pPr>
        <w:bidi/>
        <w:spacing w:after="120"/>
        <w:jc w:val="start"/>
      </w:pPr>
      <w:r>
        <w:rPr>
          <w:rFonts w:ascii="Arial" w:cs="Arial" w:eastAsia="Arial" w:hAnsi="Arial"/>
          <w:b/>
          <w:bCs/>
          <w:sz w:val="20"/>
          <w:szCs w:val="20"/>
          <w:rtl/>
        </w:rPr>
        <w:t xml:space="preserve">قواعدُ لا تُخرَق:</w:t>
      </w:r>
    </w:p>
    <w:p>
      <w:pPr>
        <w:bidi/>
        <w:spacing w:after="120"/>
        <w:jc w:val="start"/>
      </w:pPr>
      <w:r>
        <w:rPr>
          <w:rFonts w:ascii="Arial" w:cs="Arial" w:eastAsia="Arial" w:hAnsi="Arial"/>
          <w:b w:val="false"/>
          <w:bCs w:val="false"/>
          <w:sz w:val="20"/>
          <w:szCs w:val="20"/>
          <w:rtl/>
        </w:rPr>
        <w:t xml:space="preserve">⚠ المُسنَدُ لغيره لا يُحدَّد</w:t>
      </w:r>
    </w:p>
    <w:p>
      <w:pPr>
        <w:bidi/>
        <w:spacing w:after="120"/>
        <w:jc w:val="start"/>
      </w:pPr>
      <w:r>
        <w:rPr>
          <w:rFonts w:ascii="Arial" w:cs="Arial" w:eastAsia="Arial" w:hAnsi="Arial"/>
          <w:b w:val="false"/>
          <w:bCs w:val="false"/>
          <w:sz w:val="20"/>
          <w:szCs w:val="20"/>
          <w:rtl/>
        </w:rPr>
        <w:t xml:space="preserve">⚠ تبديلُ الطبقة يُفرغ التحديد</w:t>
      </w:r>
    </w:p>
    <w:p>
      <w:pPr>
        <w:bidi/>
        <w:spacing w:after="120"/>
        <w:jc w:val="start"/>
      </w:pPr>
      <w:r>
        <w:rPr>
          <w:rFonts w:ascii="Arial" w:cs="Arial" w:eastAsia="Arial" w:hAnsi="Arial"/>
          <w:b w:val="false"/>
          <w:bCs w:val="false"/>
          <w:sz w:val="20"/>
          <w:szCs w:val="20"/>
          <w:rtl/>
        </w:rPr>
        <w:t xml:space="preserve">⚠ الإسنادُ تراكميٌّ لا يُعاد من الصفر</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V37.54  ·  ١٢ أكتوبر ٢٠٢٦</w:t>
      </w:r>
    </w:p>
    <w:p>
      <w:pPr>
        <w:bidi/>
        <w:spacing w:after="120"/>
        <w:jc w:val="start"/>
      </w:pPr>
      <w:r>
        <w:rPr>
          <w:rFonts w:ascii="Arial" w:cs="Arial" w:eastAsia="Arial" w:hAnsi="Arial"/>
          <w:b w:val="false"/>
          <w:bCs w:val="false"/>
          <w:sz w:val="20"/>
          <w:szCs w:val="20"/>
          <w:rtl/>
        </w:rPr>
        <w:t xml:space="preserve">•  قائمة التصفية بقت أقصر وأسهل: شريط «المختار» فوق بيعرض اللي مفلتر عليه وعدد النقاط، وتشيل أي فلتر بضغطة أو «امسح الكل». المشعر مفتوح دايمًا، والنوع والحالة والتقرير التنفيذي والمجموعات والأدوار والمسارات ووجه العمل أقسام مطوية بتفتح في مكانها وبتفتكر اللي فتحته. ولما تختار مشعر، الأقسام بتعرض اللي يخصه بس.</w:t>
      </w:r>
    </w:p>
    <w:p>
      <w:pPr>
        <w:bidi/>
        <w:spacing w:after="120"/>
        <w:jc w:val="start"/>
      </w:pPr>
      <w:r>
        <w:rPr>
          <w:rFonts w:ascii="Arial" w:cs="Arial" w:eastAsia="Arial" w:hAnsi="Arial"/>
          <w:b/>
          <w:bCs/>
          <w:sz w:val="22"/>
          <w:szCs w:val="22"/>
          <w:rtl/>
        </w:rPr>
        <w:t xml:space="preserve">V37.53  ·  ١٢ أكتوبر ٢٠٢٦</w:t>
      </w:r>
    </w:p>
    <w:p>
      <w:pPr>
        <w:bidi/>
        <w:spacing w:after="120"/>
        <w:jc w:val="start"/>
      </w:pPr>
      <w:r>
        <w:rPr>
          <w:rFonts w:ascii="Arial" w:cs="Arial" w:eastAsia="Arial" w:hAnsi="Arial"/>
          <w:b w:val="false"/>
          <w:bCs w:val="false"/>
          <w:sz w:val="20"/>
          <w:szCs w:val="20"/>
          <w:rtl/>
        </w:rPr>
        <w:t xml:space="preserve">•  فلتر «التقرير التنفيذي» على الخريطة: كل تسمية شريحة واحدة بمجموعها («لا يوجد سطح تثبيت» واحدة بدل ٣، و«لا توجد تحديات» واحدة بدل ٢).</w:t>
      </w:r>
    </w:p>
    <w:p>
      <w:pPr>
        <w:bidi/>
        <w:spacing w:after="120"/>
        <w:jc w:val="start"/>
      </w:pPr>
      <w:r>
        <w:rPr>
          <w:rFonts w:ascii="Arial" w:cs="Arial" w:eastAsia="Arial" w:hAnsi="Arial"/>
          <w:b/>
          <w:bCs/>
          <w:sz w:val="22"/>
          <w:szCs w:val="22"/>
          <w:rtl/>
        </w:rPr>
        <w:t xml:space="preserve">V37.52  ·  ١٢ أكتوبر ٢٠٢٦</w:t>
      </w:r>
    </w:p>
    <w:p>
      <w:pPr>
        <w:bidi/>
        <w:spacing w:after="120"/>
        <w:jc w:val="start"/>
      </w:pPr>
      <w:r>
        <w:rPr>
          <w:rFonts w:ascii="Arial" w:cs="Arial" w:eastAsia="Arial" w:hAnsi="Arial"/>
          <w:b w:val="false"/>
          <w:bCs w:val="false"/>
          <w:sz w:val="20"/>
          <w:szCs w:val="20"/>
          <w:rtl/>
        </w:rPr>
        <w:t xml:space="preserve">•  الخريطة: فلتر «تحتاج زيارة تقنية» بقى موجود بعدده (كان بيتلوّن ومش بيتصفّى)، وفلترين جداد: «التقرير التنفيذي» بتصنيفاته و«المجموعات الأربع» بأعدادها.</w:t>
      </w:r>
    </w:p>
    <w:p>
      <w:pPr>
        <w:bidi/>
        <w:spacing w:after="120"/>
        <w:jc w:val="start"/>
      </w:pPr>
      <w:r>
        <w:rPr>
          <w:rFonts w:ascii="Arial" w:cs="Arial" w:eastAsia="Arial" w:hAnsi="Arial"/>
          <w:b w:val="false"/>
          <w:bCs w:val="false"/>
          <w:sz w:val="20"/>
          <w:szCs w:val="20"/>
          <w:rtl/>
        </w:rPr>
        <w:t xml:space="preserve">•  نافذة النقطة (للمهندس): «تصنيف التقرير التنفيذي» تلقائي أو بيد المهندس، بيتحفظ في السحابة ويوصل كل الأجهزة ويظهر في الملف. وزرار «تمت الزيارة التقنية» بيحوّل النقطة من برتقالي لأزرق، ويرجّعها لو احتجت.</w:t>
      </w:r>
    </w:p>
    <w:p>
      <w:pPr>
        <w:bidi/>
        <w:spacing w:after="120"/>
        <w:jc w:val="start"/>
      </w:pPr>
      <w:r>
        <w:rPr>
          <w:rFonts w:ascii="Arial" w:cs="Arial" w:eastAsia="Arial" w:hAnsi="Arial"/>
          <w:b w:val="false"/>
          <w:bCs w:val="false"/>
          <w:sz w:val="20"/>
          <w:szCs w:val="20"/>
          <w:rtl/>
        </w:rPr>
        <w:t xml:space="preserve">•  من ورقة التحديد: «تمت الزيارة التقنية» للمحدَّد كله دفعة واحدة، و«صنّف» المحدَّد في التقرير التنفيذي. والنقاط اللي اتركّبت بتنتقل لوحدها لصف «تم التركيب» في التقرير.</w:t>
      </w:r>
    </w:p>
    <w:p>
      <w:pPr>
        <w:bidi/>
        <w:spacing w:after="120"/>
        <w:jc w:val="start"/>
      </w:pPr>
      <w:r>
        <w:rPr>
          <w:rFonts w:ascii="Arial" w:cs="Arial" w:eastAsia="Arial" w:hAnsi="Arial"/>
          <w:b/>
          <w:bCs/>
          <w:sz w:val="22"/>
          <w:szCs w:val="22"/>
          <w:rtl/>
        </w:rPr>
        <w:t xml:space="preserve">V37.51  ·  ١١ أكتوبر ٢٠٢٦</w:t>
      </w:r>
    </w:p>
    <w:p>
      <w:pPr>
        <w:bidi/>
        <w:spacing w:after="120"/>
        <w:jc w:val="start"/>
      </w:pPr>
      <w:r>
        <w:rPr>
          <w:rFonts w:ascii="Arial" w:cs="Arial" w:eastAsia="Arial" w:hAnsi="Arial"/>
          <w:b w:val="false"/>
          <w:bCs w:val="false"/>
          <w:sz w:val="20"/>
          <w:szCs w:val="20"/>
          <w:rtl/>
        </w:rPr>
        <w:t xml:space="preserve">•  تصحيح لفحص التوثيق على الأصل: علامة إخفاء التبويبات كانت في خانة قاعدة الرؤية فوقّعت جرد الشرائح — اتنقلت لخانتها.</w:t>
      </w:r>
    </w:p>
    <w:p>
      <w:pPr>
        <w:bidi/>
        <w:spacing w:after="120"/>
        <w:jc w:val="start"/>
      </w:pPr>
      <w:r>
        <w:rPr>
          <w:rFonts w:ascii="Arial" w:cs="Arial" w:eastAsia="Arial" w:hAnsi="Arial"/>
          <w:b/>
          <w:bCs/>
          <w:sz w:val="22"/>
          <w:szCs w:val="22"/>
          <w:rtl/>
        </w:rPr>
        <w:t xml:space="preserve">V37.50  ·  ١١ أكتوبر ٢٠٢٦</w:t>
      </w:r>
    </w:p>
    <w:p>
      <w:pPr>
        <w:bidi/>
        <w:spacing w:after="120"/>
        <w:jc w:val="start"/>
      </w:pPr>
      <w:r>
        <w:rPr>
          <w:rFonts w:ascii="Arial" w:cs="Arial" w:eastAsia="Arial" w:hAnsi="Arial"/>
          <w:b w:val="false"/>
          <w:bCs w:val="false"/>
          <w:sz w:val="20"/>
          <w:szCs w:val="20"/>
          <w:rtl/>
        </w:rPr>
        <w:t xml:space="preserve">•  متابعة الوزارة: تبويبا «المسح الميداني» و«طلبات الوزارة» اتشالوا من الشريط، وشاشة «النقاط بعوائق وبدونها» بكل نوع (الإجمالي والمخيمات والممرات والمحطات والكاميرات…) بقت في الملخص نفسه، وكل رقم فيها بيفتح لوحته.</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