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قطع الصيانة تصل دفتر المخزن في المكتب، وحارس يمنع أي حركة مخزن محلية بلا كتابتها في الدفتر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التركيب بإملاء واحد: «مركب» و«مُركّب» تُعدّ واحدًا في كل الشاشات (الوزارة والمتابعة واللوحة)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نقل زيارة حُفظت على نقطة خطأ إلى نقطتها الصحيحة (بصورها)، وصور التركيب الملغى لا تُعرض صورًا للنقطة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دفتر المخزن يصل المكتب فعلًا (كل حركة تركيب وفك وثيقتها) + تسوية بضغطة، ولا «أول نقطة» بديلًا في النافذة وصفحة النقطة والفرق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