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  ·  ٨ أكتوبر ٢٠٢٦</w:t>
      </w:r>
    </w:p>
    <w:p>
      <w:pPr>
        <w:bidi/>
        <w:spacing w:after="120"/>
        <w:jc w:val="start"/>
      </w:pPr>
      <w:r>
        <w:rPr>
          <w:rFonts w:ascii="Arial" w:cs="Arial" w:eastAsia="Arial" w:hAnsi="Arial"/>
          <w:b w:val="false"/>
          <w:bCs w:val="false"/>
          <w:sz w:val="20"/>
          <w:szCs w:val="20"/>
          <w:rtl/>
        </w:rPr>
        <w:t xml:space="preserve">•  بطاقة «نسبة المسح» في ملخص الوزارة بقت بتحسب المسح الفعلي (كانت بتعرض الزيارات تحت اسم المسح)، والزيارات مكتوبة جنبها. واتضافت بطاقة «زيارة بلا مسح» وبتفتح أسبابها.</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