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V38.35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V38.35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موزّعة على سياج كل محطة كما في مخطط سار — لا فوق بعضها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V38.34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قطار المشاعر: ٦٢ بوابة إلكترونية نقاطًا في السجل عند مرجع محطتها (قرار المالك ق-٠٢٣)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V38.33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الملف المنشور بلا تعليقات: التحميل أخف بربع (١٠٤٠ ← ٧٨٤ ك.ب مضغوطًا) والمصدر كامل التعليقات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V38.32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تسليم الكود: رأس إنجليزي لكل ملف، ودليل مطوّر بالإنجليزية، والتعليقات الجديدة بالإنجليزية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V38.31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قطار المشاعر: ٩ محطات بإحداثيات مرجعية و٦٢ بوابة إلكترونية أولية بلا إحداثيات حتى تُحقَّق — ومهلة ما ينتظر الرفع ٧ أيام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