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V35.2  ·  ٧ أكتوبر ٢٠٢٦</w:t>
      </w:r>
    </w:p>
    <w:p>
      <w:pPr>
        <w:bidi/>
        <w:spacing w:after="120"/>
        <w:jc w:val="start"/>
      </w:pPr>
      <w:r>
        <w:rPr>
          <w:rFonts w:ascii="Arial" w:cs="Arial" w:eastAsia="Arial" w:hAnsi="Arial"/>
          <w:b w:val="false"/>
          <w:bCs w:val="false"/>
          <w:sz w:val="20"/>
          <w:szCs w:val="20"/>
          <w:rtl/>
        </w:rPr>
        <w:t xml:space="preserve">•  رقم الشاخص (واسم ممرات ١٤٤٧) بقى أول حاجة في باقي الشاشات كمان: النقاط المخفية، وتفاصيل النقطة، وتعديل المسح، والقوائم المنسدلة، و«الأقرب»، والإسناد، وقوائم الحقل، وتنبيه التوأم، وملخص العمل اليومي، وجدول التجريبي.</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