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bidi/>
        <w:spacing w:after="160" w:before="2100"/>
        <w:jc w:val="center"/>
      </w:pPr>
      <w:r>
        <w:rPr>
          <w:rFonts w:ascii="Tahoma" w:cs="Tahoma" w:eastAsia="Tahoma" w:hAnsi="Tahoma"/>
          <w:b/>
          <w:bCs/>
          <w:color w:val="8C6D1F"/>
          <w:sz w:val="52"/>
          <w:szCs w:val="52"/>
          <w:rtl/>
        </w:rPr>
        <w:t xml:space="preserve">نُسُك Survey</w:t>
      </w:r>
    </w:p>
    <w:p>
      <w:pPr>
        <w:bidi/>
        <w:spacing w:after="120"/>
        <w:jc w:val="center"/>
      </w:pPr>
      <w:r>
        <w:rPr>
          <w:rFonts w:ascii="Tahoma" w:cs="Tahoma" w:eastAsia="Tahoma" w:hAnsi="Tahoma"/>
          <w:b/>
          <w:bCs/>
          <w:color w:val="1F2328"/>
          <w:sz w:val="30"/>
          <w:szCs w:val="30"/>
          <w:rtl/>
        </w:rPr>
        <w:t>وثيقة النظام الكاملة — V16.41</w:t>
      </w:r>
    </w:p>
    <w:p>
      <w:pPr>
        <w:bidi/>
        <w:spacing w:after="110"/>
        <w:jc w:val="center"/>
      </w:pPr>
      <w:r>
        <w:rPr>
          <w:rFonts w:ascii="Tahoma" w:cs="Tahoma" w:eastAsia="Tahoma" w:hAnsi="Tahoma"/>
          <w:b w:val="false"/>
          <w:bCs w:val="false"/>
          <w:color w:val="5A6068"/>
          <w:sz w:val="20"/>
          <w:szCs w:val="20"/>
          <w:rtl/>
        </w:rPr>
        <w:t xml:space="preserve">المرجع التقني الشامل: المعمارية، البيانات، المزامنة، الأمن، الأنظمة الفرعية، الملفات، والحوكمة</w:t>
      </w:r>
    </w:p>
    <w:p>
      <w:pPr>
        <w:bidi/>
        <w:spacing w:after="2300"/>
        <w:jc w:val="center"/>
      </w:pPr>
      <w:r>
        <w:rPr>
          <w:rFonts w:ascii="Tahoma" w:cs="Tahoma" w:eastAsia="Tahoma" w:hAnsi="Tahoma"/>
          <w:b w:val="false"/>
          <w:bCs w:val="false"/>
          <w:color w:val="5A6068"/>
          <w:sz w:val="18"/>
          <w:szCs w:val="18"/>
          <w:rtl/>
        </w:rPr>
        <w:t xml:space="preserve">متابعة المشروع ١٤٤٨هـ · أفاقي · أغسطس ٢٠٢٦ · إعداد: محمد صفوت</w:t>
      </w:r>
    </w:p>
    <w:p>
      <w:r>
        <w:br w:type="page"/>
      </w:r>
    </w:p>
    <w:p>
      <w:pPr>
        <w:pStyle w:val="Heading1"/>
        <w:bidi/>
        <w:spacing w:after="130" w:before="260"/>
        <w:jc w:val="start"/>
      </w:pPr>
      <w:r>
        <w:rPr>
          <w:rFonts w:ascii="Tahoma" w:cs="Tahoma" w:eastAsia="Tahoma" w:hAnsi="Tahoma"/>
          <w:b/>
          <w:bCs/>
          <w:color w:val="8C6D1F"/>
          <w:sz w:val="27"/>
          <w:szCs w:val="27"/>
          <w:rtl/>
        </w:rPr>
        <w:t xml:space="preserve">المحتويات</w:t>
      </w:r>
    </w:p>
    <w:p>
      <w:pPr>
        <w:bidi/>
        <w:spacing w:after="60" w:line="285"/>
        <w:jc w:val="start"/>
      </w:pPr>
      <w:r>
        <w:rPr>
          <w:rFonts w:ascii="Tahoma" w:cs="Tahoma" w:eastAsia="Tahoma" w:hAnsi="Tahoma"/>
          <w:b/>
          <w:bCs/>
          <w:color w:val="8C6D1F"/>
          <w:sz w:val="20"/>
          <w:szCs w:val="20"/>
          <w:rtl/>
        </w:rPr>
        <w:t xml:space="preserve">١.  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الهوية والمهمة</w:t>
      </w:r>
    </w:p>
    <w:p>
      <w:pPr>
        <w:bidi/>
        <w:spacing w:after="60" w:line="285"/>
        <w:jc w:val="start"/>
      </w:pPr>
      <w:r>
        <w:rPr>
          <w:rFonts w:ascii="Tahoma" w:cs="Tahoma" w:eastAsia="Tahoma" w:hAnsi="Tahoma"/>
          <w:b/>
          <w:bCs/>
          <w:color w:val="8C6D1F"/>
          <w:sz w:val="20"/>
          <w:szCs w:val="20"/>
          <w:rtl/>
        </w:rPr>
        <w:t xml:space="preserve">٢.  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المعمارية العامة</w:t>
      </w:r>
    </w:p>
    <w:p>
      <w:pPr>
        <w:bidi/>
        <w:spacing w:after="60" w:line="285"/>
        <w:jc w:val="start"/>
      </w:pPr>
      <w:r>
        <w:rPr>
          <w:rFonts w:ascii="Tahoma" w:cs="Tahoma" w:eastAsia="Tahoma" w:hAnsi="Tahoma"/>
          <w:b/>
          <w:bCs/>
          <w:color w:val="8C6D1F"/>
          <w:sz w:val="20"/>
          <w:szCs w:val="20"/>
          <w:rtl/>
        </w:rPr>
        <w:t xml:space="preserve">٣.  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نموذج البيانات — المجموعات الثماني</w:t>
      </w:r>
    </w:p>
    <w:p>
      <w:pPr>
        <w:bidi/>
        <w:spacing w:after="60" w:line="285"/>
        <w:jc w:val="start"/>
      </w:pPr>
      <w:r>
        <w:rPr>
          <w:rFonts w:ascii="Tahoma" w:cs="Tahoma" w:eastAsia="Tahoma" w:hAnsi="Tahoma"/>
          <w:b/>
          <w:bCs/>
          <w:color w:val="8C6D1F"/>
          <w:sz w:val="20"/>
          <w:szCs w:val="20"/>
          <w:rtl/>
        </w:rPr>
        <w:t xml:space="preserve">٤.  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محرك المزامنة — محلي أولًا</w:t>
      </w:r>
    </w:p>
    <w:p>
      <w:pPr>
        <w:bidi/>
        <w:spacing w:after="60" w:line="285"/>
        <w:jc w:val="start"/>
      </w:pPr>
      <w:r>
        <w:rPr>
          <w:rFonts w:ascii="Tahoma" w:cs="Tahoma" w:eastAsia="Tahoma" w:hAnsi="Tahoma"/>
          <w:b/>
          <w:bCs/>
          <w:color w:val="8C6D1F"/>
          <w:sz w:val="20"/>
          <w:szCs w:val="20"/>
          <w:rtl/>
        </w:rPr>
        <w:t xml:space="preserve">٥.  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مسار الإسناد والجدولة — من قرار المهندس إلى تنفيذ الفني</w:t>
      </w:r>
    </w:p>
    <w:p>
      <w:pPr>
        <w:bidi/>
        <w:spacing w:after="60" w:line="285"/>
        <w:jc w:val="start"/>
      </w:pPr>
      <w:r>
        <w:rPr>
          <w:rFonts w:ascii="Tahoma" w:cs="Tahoma" w:eastAsia="Tahoma" w:hAnsi="Tahoma"/>
          <w:b/>
          <w:bCs/>
          <w:color w:val="8C6D1F"/>
          <w:sz w:val="20"/>
          <w:szCs w:val="20"/>
          <w:rtl/>
        </w:rPr>
        <w:t xml:space="preserve">٦.  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نموذج الأمن</w:t>
      </w:r>
    </w:p>
    <w:p>
      <w:pPr>
        <w:bidi/>
        <w:spacing w:after="60" w:line="285"/>
        <w:jc w:val="start"/>
      </w:pPr>
      <w:r>
        <w:rPr>
          <w:rFonts w:ascii="Tahoma" w:cs="Tahoma" w:eastAsia="Tahoma" w:hAnsi="Tahoma"/>
          <w:b/>
          <w:bCs/>
          <w:color w:val="8C6D1F"/>
          <w:sz w:val="20"/>
          <w:szCs w:val="20"/>
          <w:rtl/>
        </w:rPr>
        <w:t xml:space="preserve">٧.  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محرك اللغات الثلاث</w:t>
      </w:r>
    </w:p>
    <w:p>
      <w:pPr>
        <w:bidi/>
        <w:spacing w:after="60" w:line="285"/>
        <w:jc w:val="start"/>
      </w:pPr>
      <w:r>
        <w:rPr>
          <w:rFonts w:ascii="Tahoma" w:cs="Tahoma" w:eastAsia="Tahoma" w:hAnsi="Tahoma"/>
          <w:b/>
          <w:bCs/>
          <w:color w:val="8C6D1F"/>
          <w:sz w:val="20"/>
          <w:szCs w:val="20"/>
          <w:rtl/>
        </w:rPr>
        <w:t xml:space="preserve">٨.  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الرسم والأداء</w:t>
      </w:r>
    </w:p>
    <w:p>
      <w:pPr>
        <w:bidi/>
        <w:spacing w:after="60" w:line="285"/>
        <w:jc w:val="start"/>
      </w:pPr>
      <w:r>
        <w:rPr>
          <w:rFonts w:ascii="Tahoma" w:cs="Tahoma" w:eastAsia="Tahoma" w:hAnsi="Tahoma"/>
          <w:b/>
          <w:bCs/>
          <w:color w:val="8C6D1F"/>
          <w:sz w:val="20"/>
          <w:szCs w:val="20"/>
          <w:rtl/>
        </w:rPr>
        <w:t xml:space="preserve">٩.  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النظام الفرعي: صحة الأجهزة</w:t>
      </w:r>
    </w:p>
    <w:p>
      <w:pPr>
        <w:bidi/>
        <w:spacing w:after="60" w:line="285"/>
        <w:jc w:val="start"/>
      </w:pPr>
      <w:r>
        <w:rPr>
          <w:rFonts w:ascii="Tahoma" w:cs="Tahoma" w:eastAsia="Tahoma" w:hAnsi="Tahoma"/>
          <w:b/>
          <w:bCs/>
          <w:color w:val="8C6D1F"/>
          <w:sz w:val="20"/>
          <w:szCs w:val="20"/>
          <w:rtl/>
        </w:rPr>
        <w:t xml:space="preserve">١٠.  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النظام الفرعي: الفك بعد الموسم</w:t>
      </w:r>
    </w:p>
    <w:p>
      <w:pPr>
        <w:bidi/>
        <w:spacing w:after="60" w:line="285"/>
        <w:jc w:val="start"/>
      </w:pPr>
      <w:r>
        <w:rPr>
          <w:rFonts w:ascii="Tahoma" w:cs="Tahoma" w:eastAsia="Tahoma" w:hAnsi="Tahoma"/>
          <w:b/>
          <w:bCs/>
          <w:color w:val="8C6D1F"/>
          <w:sz w:val="20"/>
          <w:szCs w:val="20"/>
          <w:rtl/>
        </w:rPr>
        <w:t xml:space="preserve">١١.  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اللوحة والتصديرات</w:t>
      </w:r>
    </w:p>
    <w:p>
      <w:pPr>
        <w:bidi/>
        <w:spacing w:after="60" w:line="285"/>
        <w:jc w:val="start"/>
      </w:pPr>
      <w:r>
        <w:rPr>
          <w:rFonts w:ascii="Tahoma" w:cs="Tahoma" w:eastAsia="Tahoma" w:hAnsi="Tahoma"/>
          <w:b/>
          <w:bCs/>
          <w:color w:val="8C6D1F"/>
          <w:sz w:val="20"/>
          <w:szCs w:val="20"/>
          <w:rtl/>
        </w:rPr>
        <w:t xml:space="preserve">١٢.  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ملفات المستودع — خريطة كاملة</w:t>
      </w:r>
    </w:p>
    <w:p>
      <w:pPr>
        <w:bidi/>
        <w:spacing w:after="60" w:line="285"/>
        <w:jc w:val="start"/>
      </w:pPr>
      <w:r>
        <w:rPr>
          <w:rFonts w:ascii="Tahoma" w:cs="Tahoma" w:eastAsia="Tahoma" w:hAnsi="Tahoma"/>
          <w:b/>
          <w:bCs/>
          <w:color w:val="8C6D1F"/>
          <w:sz w:val="20"/>
          <w:szCs w:val="20"/>
          <w:rtl/>
        </w:rPr>
        <w:t xml:space="preserve">١٣.  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الحوكمة الآلية ودورة الإصدار</w:t>
      </w:r>
    </w:p>
    <w:p>
      <w:pPr>
        <w:bidi/>
        <w:spacing w:after="60" w:line="285"/>
        <w:jc w:val="start"/>
      </w:pPr>
      <w:r>
        <w:rPr>
          <w:rFonts w:ascii="Tahoma" w:cs="Tahoma" w:eastAsia="Tahoma" w:hAnsi="Tahoma"/>
          <w:b/>
          <w:bCs/>
          <w:color w:val="8C6D1F"/>
          <w:sz w:val="20"/>
          <w:szCs w:val="20"/>
          <w:rtl/>
        </w:rPr>
        <w:t xml:space="preserve">١٤.  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القيود والمقايضات — معلنة</w:t>
      </w:r>
    </w:p>
    <w:p>
      <w:pPr>
        <w:bidi/>
        <w:spacing w:after="60" w:line="28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</w:t>
      </w:r>
    </w:p>
    <w:p>
      <w:pPr>
        <w:bidi/>
        <w:spacing w:after="95" w:line="285"/>
        <w:jc w:val="start"/>
      </w:pPr>
      <w:r>
        <w:rPr>
          <w:rFonts w:ascii="Tahoma" w:cs="Tahoma" w:eastAsia="Tahoma" w:hAnsi="Tahoma"/>
          <w:b/>
          <w:bCs/>
          <w:color w:val="1F2328"/>
          <w:sz w:val="20"/>
          <w:szCs w:val="20"/>
          <w:rtl/>
        </w:rPr>
        <w:t xml:space="preserve">الأشكال: 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١ دورة حياة النقطة · ٢ مسارات الإسناد والجدولة · ٣ رحلة الإدخال والمزامنة · ٤ سلسلة المراقبة الصحية · ٥ آلة حالات الفك</w:t>
      </w:r>
    </w:p>
    <w:p>
      <w:r>
        <w:br w:type="page"/>
      </w:r>
    </w:p>
    <w:p>
      <w:pPr>
        <w:pStyle w:val="Heading1"/>
        <w:bidi/>
        <w:spacing w:after="130" w:before="260"/>
        <w:jc w:val="start"/>
      </w:pPr>
      <w:r>
        <w:rPr>
          <w:rFonts w:ascii="Tahoma" w:cs="Tahoma" w:eastAsia="Tahoma" w:hAnsi="Tahoma"/>
          <w:b/>
          <w:bCs/>
          <w:color w:val="8C6D1F"/>
          <w:sz w:val="27"/>
          <w:szCs w:val="27"/>
          <w:rtl/>
        </w:rPr>
        <w:t xml:space="preserve">١. الهوية والمهمة</w:t>
      </w:r>
    </w:p>
    <w:p>
      <w:pPr>
        <w:bidi/>
        <w:spacing w:after="95" w:line="28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نظام ميداني لإدارة تركيب وتشغيل وفكّ </w:t>
      </w:r>
      <w:r>
        <w:rPr>
          <w:rFonts w:ascii="Tahoma" w:cs="Tahoma" w:eastAsia="Tahoma" w:hAnsi="Tahoma"/>
          <w:b/>
          <w:bCs/>
          <w:color w:val="1F2328"/>
          <w:sz w:val="20"/>
          <w:szCs w:val="20"/>
          <w:rtl/>
        </w:rPr>
        <w:t xml:space="preserve">١٬٧٨٧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نقطة قارئ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RFID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في المشاعر (منى ٩٤٦ · عرفات ٨٠٥ · مزدلفة ٣٦) لموسم حج ١٤٤٨هـ، بأربعة أدوار: مشرف ميداني، مهندس (أدمن)، مدير مكتب، وجهة وزارية للقراءة.</w:t>
      </w:r>
    </w:p>
    <w:tbl>
      <w:tblPr>
        <w:bidiVisual/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50"/>
        <w:gridCol w:w="6910"/>
      </w:tblGrid>
      <w:tr>
        <w:tc>
          <w:tcPr>
            <w:tcW w:type="dxa" w:w="2450"/>
            <w:shd w:fill="F2ECDD" w:val="clear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7"/>
                <w:szCs w:val="17"/>
                <w:rtl/>
              </w:rPr>
              <w:t xml:space="preserve">البند</w:t>
            </w:r>
          </w:p>
        </w:tc>
        <w:tc>
          <w:tcPr>
            <w:tcW w:type="dxa" w:w="6910"/>
            <w:shd w:fill="F2ECDD" w:val="clear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7"/>
                <w:szCs w:val="17"/>
                <w:rtl/>
              </w:rPr>
              <w:t xml:space="preserve">القيمة</w:t>
            </w:r>
          </w:p>
        </w:tc>
      </w:tr>
      <w:tr>
        <w:tc>
          <w:tcPr>
            <w:tcW w:type="dxa" w:w="245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المستودع والاستضافة</w:t>
            </w:r>
          </w:p>
        </w:tc>
        <w:tc>
          <w:tcPr>
            <w:tcW w:type="dxa" w:w="691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github.com/mhmdsfwt371/-Project-survey</w:t>
            </w: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  ← صفحات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GitHub Pages</w:t>
            </w:r>
          </w:p>
        </w:tc>
      </w:tr>
      <w:tr>
        <w:tc>
          <w:tcPr>
            <w:tcW w:type="dxa" w:w="245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الواجهة الخلفية</w:t>
            </w:r>
          </w:p>
        </w:tc>
        <w:tc>
          <w:tcPr>
            <w:tcW w:type="dxa" w:w="691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Firebase</w:t>
            </w: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 — مشروع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project-survey-60600</w:t>
            </w: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: مصادقة بريد/كلمة +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Cloud Firestore</w:t>
            </w: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 (خطة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Spark</w:t>
            </w: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)</w:t>
            </w:r>
          </w:p>
        </w:tc>
      </w:tr>
      <w:tr>
        <w:tc>
          <w:tcPr>
            <w:tcW w:type="dxa" w:w="245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بنية التطبيق</w:t>
            </w:r>
          </w:p>
        </w:tc>
        <w:tc>
          <w:tcPr>
            <w:tcW w:type="dxa" w:w="691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index.html</w:t>
            </w: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 واحد (~2.5MB) +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sw.js</w:t>
            </w: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 + أداة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tools/prober.html</w:t>
            </w:r>
          </w:p>
        </w:tc>
      </w:tr>
      <w:tr>
        <w:tc>
          <w:tcPr>
            <w:tcW w:type="dxa" w:w="245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أندرويد</w:t>
            </w:r>
          </w:p>
        </w:tc>
        <w:tc>
          <w:tcPr>
            <w:tcW w:type="dxa" w:w="691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حزمة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TWA</w:t>
            </w: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 عبر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Bubblewrap</w:t>
            </w: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 و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GitHub Actions</w:t>
            </w:r>
          </w:p>
        </w:tc>
      </w:tr>
    </w:tbl>
    <w:tbl>
      <w:tblPr>
        <w:bidiVisual/>
        <w:tblW w:type="dxa" w:w="9200"/>
        <w:tblBorders>
          <w:top w:val="none"/>
          <w:left w:val="none"/>
          <w:bottom w:val="none"/>
          <w:right w:val="none"/>
          <w:insideH w:val="none"/>
          <w:insideV w:val="none"/>
        </w:tblBorders>
      </w:tblPr>
      <w:tblGrid>
        <w:gridCol w:w="1600"/>
        <w:gridCol w:w="300"/>
        <w:gridCol w:w="1600"/>
        <w:gridCol w:w="300"/>
        <w:gridCol w:w="1600"/>
        <w:gridCol w:w="300"/>
        <w:gridCol w:w="1600"/>
        <w:gridCol w:w="300"/>
        <w:gridCol w:w="1600"/>
      </w:tblGrid>
      <w:tr>
        <w:tc>
          <w:tcPr>
            <w:tcW w:type="dxa" w:w="1600"/>
            <w:tcBorders>
              <w:top w:val="single" w:color="C9A24B" w:sz="8"/>
              <w:left w:val="single" w:color="C9A24B" w:sz="8"/>
              <w:bottom w:val="single" w:color="C9A24B" w:sz="8"/>
              <w:right w:val="single" w:color="C9A24B" w:sz="8"/>
            </w:tcBorders>
            <w:shd w:fill="F6F1E4" w:val="clear"/>
            <w:tcMar>
              <w:top w:type="dxa" w:w="90"/>
              <w:left w:type="dxa" w:w="60"/>
              <w:bottom w:type="dxa" w:w="90"/>
              <w:right w:type="dxa" w:w="6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لم يُزر</w:t>
            </w:r>
          </w:p>
        </w:tc>
        <w:tc>
          <w:tcPr>
            <w:tcW w:type="dxa" w:w="300"/>
            <w:tcBorders>
              <w:top w:val="none"/>
              <w:left w:val="none"/>
              <w:bottom w:val="none"/>
              <w:right w:val="none"/>
            </w:tcBorders>
            <w:tcMar>
              <w:top w:type="dxa" w:w="90"/>
              <w:bottom w:type="dxa" w:w="9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8C6D1F"/>
                <w:sz w:val="20"/>
                <w:szCs w:val="20"/>
              </w:rPr>
              <w:t xml:space="preserve">←</w:t>
            </w:r>
          </w:p>
        </w:tc>
        <w:tc>
          <w:tcPr>
            <w:tcW w:type="dxa" w:w="1600"/>
            <w:tcBorders>
              <w:top w:val="single" w:color="C9A24B" w:sz="8"/>
              <w:left w:val="single" w:color="C9A24B" w:sz="8"/>
              <w:bottom w:val="single" w:color="C9A24B" w:sz="8"/>
              <w:right w:val="single" w:color="C9A24B" w:sz="8"/>
            </w:tcBorders>
            <w:shd w:fill="F6F1E4" w:val="clear"/>
            <w:tcMar>
              <w:top w:type="dxa" w:w="90"/>
              <w:left w:type="dxa" w:w="60"/>
              <w:bottom w:type="dxa" w:w="90"/>
              <w:right w:type="dxa" w:w="6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تمت الزيارة</w:t>
            </w:r>
          </w:p>
        </w:tc>
        <w:tc>
          <w:tcPr>
            <w:tcW w:type="dxa" w:w="300"/>
            <w:tcBorders>
              <w:top w:val="none"/>
              <w:left w:val="none"/>
              <w:bottom w:val="none"/>
              <w:right w:val="none"/>
            </w:tcBorders>
            <w:tcMar>
              <w:top w:type="dxa" w:w="90"/>
              <w:bottom w:type="dxa" w:w="9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8C6D1F"/>
                <w:sz w:val="20"/>
                <w:szCs w:val="20"/>
              </w:rPr>
              <w:t xml:space="preserve">←</w:t>
            </w:r>
          </w:p>
        </w:tc>
        <w:tc>
          <w:tcPr>
            <w:tcW w:type="dxa" w:w="1600"/>
            <w:tcBorders>
              <w:top w:val="single" w:color="C9A24B" w:sz="8"/>
              <w:left w:val="single" w:color="C9A24B" w:sz="8"/>
              <w:bottom w:val="single" w:color="C9A24B" w:sz="8"/>
              <w:right w:val="single" w:color="C9A24B" w:sz="8"/>
            </w:tcBorders>
            <w:shd w:fill="F6F1E4" w:val="clear"/>
            <w:tcMar>
              <w:top w:type="dxa" w:w="90"/>
              <w:left w:type="dxa" w:w="60"/>
              <w:bottom w:type="dxa" w:w="90"/>
              <w:right w:type="dxa" w:w="6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مجدول</w:t>
            </w:r>
          </w:p>
        </w:tc>
        <w:tc>
          <w:tcPr>
            <w:tcW w:type="dxa" w:w="300"/>
            <w:tcBorders>
              <w:top w:val="none"/>
              <w:left w:val="none"/>
              <w:bottom w:val="none"/>
              <w:right w:val="none"/>
            </w:tcBorders>
            <w:tcMar>
              <w:top w:type="dxa" w:w="90"/>
              <w:bottom w:type="dxa" w:w="9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8C6D1F"/>
                <w:sz w:val="20"/>
                <w:szCs w:val="20"/>
              </w:rPr>
              <w:t xml:space="preserve">←</w:t>
            </w:r>
          </w:p>
        </w:tc>
        <w:tc>
          <w:tcPr>
            <w:tcW w:type="dxa" w:w="1600"/>
            <w:tcBorders>
              <w:top w:val="single" w:color="C9A24B" w:sz="8"/>
              <w:left w:val="single" w:color="C9A24B" w:sz="8"/>
              <w:bottom w:val="single" w:color="C9A24B" w:sz="8"/>
              <w:right w:val="single" w:color="C9A24B" w:sz="8"/>
            </w:tcBorders>
            <w:shd w:fill="F6F1E4" w:val="clear"/>
            <w:tcMar>
              <w:top w:type="dxa" w:w="90"/>
              <w:left w:type="dxa" w:w="60"/>
              <w:bottom w:type="dxa" w:w="90"/>
              <w:right w:type="dxa" w:w="6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قيد التركيب</w:t>
            </w:r>
          </w:p>
        </w:tc>
        <w:tc>
          <w:tcPr>
            <w:tcW w:type="dxa" w:w="300"/>
            <w:tcBorders>
              <w:top w:val="none"/>
              <w:left w:val="none"/>
              <w:bottom w:val="none"/>
              <w:right w:val="none"/>
            </w:tcBorders>
            <w:tcMar>
              <w:top w:type="dxa" w:w="90"/>
              <w:bottom w:type="dxa" w:w="9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8C6D1F"/>
                <w:sz w:val="20"/>
                <w:szCs w:val="20"/>
              </w:rPr>
              <w:t xml:space="preserve">←</w:t>
            </w:r>
          </w:p>
        </w:tc>
        <w:tc>
          <w:tcPr>
            <w:tcW w:type="dxa" w:w="1600"/>
            <w:tcBorders>
              <w:top w:val="single" w:color="C9A24B" w:sz="8"/>
              <w:left w:val="single" w:color="C9A24B" w:sz="8"/>
              <w:bottom w:val="single" w:color="C9A24B" w:sz="8"/>
              <w:right w:val="single" w:color="C9A24B" w:sz="8"/>
            </w:tcBorders>
            <w:shd w:fill="F6F1E4" w:val="clear"/>
            <w:tcMar>
              <w:top w:type="dxa" w:w="90"/>
              <w:left w:type="dxa" w:w="60"/>
              <w:bottom w:type="dxa" w:w="90"/>
              <w:right w:type="dxa" w:w="6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مُركّب</w:t>
            </w:r>
          </w:p>
        </w:tc>
      </w:tr>
    </w:tbl>
    <w:tbl>
      <w:tblPr>
        <w:bidiVisual/>
        <w:tblW w:type="dxa" w:w="9200"/>
        <w:tblBorders>
          <w:top w:val="none"/>
          <w:left w:val="none"/>
          <w:bottom w:val="none"/>
          <w:right w:val="none"/>
          <w:insideH w:val="none"/>
          <w:insideV w:val="none"/>
        </w:tblBorders>
      </w:tblPr>
      <w:tblGrid>
        <w:gridCol w:w="1600"/>
        <w:gridCol w:w="300"/>
        <w:gridCol w:w="1600"/>
        <w:gridCol w:w="300"/>
        <w:gridCol w:w="1600"/>
        <w:gridCol w:w="300"/>
        <w:gridCol w:w="1600"/>
        <w:gridCol w:w="300"/>
        <w:gridCol w:w="1600"/>
      </w:tblGrid>
      <w:tr>
        <w:tc>
          <w:tcPr>
            <w:tcW w:type="dxa" w:w="1600"/>
            <w:tcBorders>
              <w:top w:val="single" w:color="C9A24B" w:sz="8"/>
              <w:left w:val="single" w:color="C9A24B" w:sz="8"/>
              <w:bottom w:val="single" w:color="C9A24B" w:sz="8"/>
              <w:right w:val="single" w:color="C9A24B" w:sz="8"/>
            </w:tcBorders>
            <w:shd w:fill="F6F1E4" w:val="clear"/>
            <w:tcMar>
              <w:top w:type="dxa" w:w="90"/>
              <w:left w:type="dxa" w:w="60"/>
              <w:bottom w:type="dxa" w:w="90"/>
              <w:right w:type="dxa" w:w="6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مُركّب</w:t>
            </w:r>
          </w:p>
        </w:tc>
        <w:tc>
          <w:tcPr>
            <w:tcW w:type="dxa" w:w="300"/>
            <w:tcBorders>
              <w:top w:val="none"/>
              <w:left w:val="none"/>
              <w:bottom w:val="none"/>
              <w:right w:val="none"/>
            </w:tcBorders>
            <w:tcMar>
              <w:top w:type="dxa" w:w="90"/>
              <w:bottom w:type="dxa" w:w="9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8C6D1F"/>
                <w:sz w:val="20"/>
                <w:szCs w:val="20"/>
              </w:rPr>
              <w:t xml:space="preserve">←</w:t>
            </w:r>
          </w:p>
        </w:tc>
        <w:tc>
          <w:tcPr>
            <w:tcW w:type="dxa" w:w="1600"/>
            <w:tcBorders>
              <w:top w:val="single" w:color="C9A24B" w:sz="8"/>
              <w:left w:val="single" w:color="C9A24B" w:sz="8"/>
              <w:bottom w:val="single" w:color="C9A24B" w:sz="8"/>
              <w:right w:val="single" w:color="C9A24B" w:sz="8"/>
            </w:tcBorders>
            <w:shd w:fill="F6F1E4" w:val="clear"/>
            <w:tcMar>
              <w:top w:type="dxa" w:w="90"/>
              <w:left w:type="dxa" w:w="60"/>
              <w:bottom w:type="dxa" w:w="90"/>
              <w:right w:type="dxa" w:w="6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تشغيل ومراقبة</w:t>
            </w:r>
          </w:p>
        </w:tc>
        <w:tc>
          <w:tcPr>
            <w:tcW w:type="dxa" w:w="300"/>
            <w:tcBorders>
              <w:top w:val="none"/>
              <w:left w:val="none"/>
              <w:bottom w:val="none"/>
              <w:right w:val="none"/>
            </w:tcBorders>
            <w:tcMar>
              <w:top w:type="dxa" w:w="90"/>
              <w:bottom w:type="dxa" w:w="9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8C6D1F"/>
                <w:sz w:val="20"/>
                <w:szCs w:val="20"/>
              </w:rPr>
              <w:t xml:space="preserve">←</w:t>
            </w:r>
          </w:p>
        </w:tc>
        <w:tc>
          <w:tcPr>
            <w:tcW w:type="dxa" w:w="1600"/>
            <w:tcBorders>
              <w:top w:val="single" w:color="C9A24B" w:sz="8"/>
              <w:left w:val="single" w:color="C9A24B" w:sz="8"/>
              <w:bottom w:val="single" w:color="C9A24B" w:sz="8"/>
              <w:right w:val="single" w:color="C9A24B" w:sz="8"/>
            </w:tcBorders>
            <w:shd w:fill="F6F1E4" w:val="clear"/>
            <w:tcMar>
              <w:top w:type="dxa" w:w="90"/>
              <w:left w:type="dxa" w:w="60"/>
              <w:bottom w:type="dxa" w:w="90"/>
              <w:right w:type="dxa" w:w="6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فك مجدول</w:t>
            </w:r>
          </w:p>
        </w:tc>
        <w:tc>
          <w:tcPr>
            <w:tcW w:type="dxa" w:w="300"/>
            <w:tcBorders>
              <w:top w:val="none"/>
              <w:left w:val="none"/>
              <w:bottom w:val="none"/>
              <w:right w:val="none"/>
            </w:tcBorders>
            <w:tcMar>
              <w:top w:type="dxa" w:w="90"/>
              <w:bottom w:type="dxa" w:w="9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8C6D1F"/>
                <w:sz w:val="20"/>
                <w:szCs w:val="20"/>
              </w:rPr>
              <w:t xml:space="preserve">←</w:t>
            </w:r>
          </w:p>
        </w:tc>
        <w:tc>
          <w:tcPr>
            <w:tcW w:type="dxa" w:w="1600"/>
            <w:tcBorders>
              <w:top w:val="single" w:color="C9A24B" w:sz="8"/>
              <w:left w:val="single" w:color="C9A24B" w:sz="8"/>
              <w:bottom w:val="single" w:color="C9A24B" w:sz="8"/>
              <w:right w:val="single" w:color="C9A24B" w:sz="8"/>
            </w:tcBorders>
            <w:shd w:fill="F6F1E4" w:val="clear"/>
            <w:tcMar>
              <w:top w:type="dxa" w:w="90"/>
              <w:left w:type="dxa" w:w="60"/>
              <w:bottom w:type="dxa" w:w="90"/>
              <w:right w:type="dxa" w:w="6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تم الفك</w:t>
            </w:r>
          </w:p>
        </w:tc>
        <w:tc>
          <w:tcPr>
            <w:tcW w:type="dxa" w:w="300"/>
            <w:tcBorders>
              <w:top w:val="none"/>
              <w:left w:val="none"/>
              <w:bottom w:val="none"/>
              <w:right w:val="none"/>
            </w:tcBorders>
            <w:tcMar>
              <w:top w:type="dxa" w:w="90"/>
              <w:bottom w:type="dxa" w:w="9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8C6D1F"/>
                <w:sz w:val="20"/>
                <w:szCs w:val="20"/>
              </w:rPr>
              <w:t xml:space="preserve">←</w:t>
            </w:r>
          </w:p>
        </w:tc>
        <w:tc>
          <w:tcPr>
            <w:tcW w:type="dxa" w:w="1600"/>
            <w:tcBorders>
              <w:top w:val="single" w:color="C9A24B" w:sz="8"/>
              <w:left w:val="single" w:color="C9A24B" w:sz="8"/>
              <w:bottom w:val="single" w:color="C9A24B" w:sz="8"/>
              <w:right w:val="single" w:color="C9A24B" w:sz="8"/>
            </w:tcBorders>
            <w:shd w:fill="F6F1E4" w:val="clear"/>
            <w:tcMar>
              <w:top w:type="dxa" w:w="90"/>
              <w:left w:type="dxa" w:w="60"/>
              <w:bottom w:type="dxa" w:w="90"/>
              <w:right w:type="dxa" w:w="6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إرجاع العُهدة</w:t>
            </w:r>
          </w:p>
        </w:tc>
      </w:tr>
    </w:tbl>
    <w:p>
      <w:pPr>
        <w:bidi/>
        <w:spacing w:after="170" w:before="70"/>
        <w:jc w:val="center"/>
      </w:pPr>
      <w:r>
        <w:rPr>
          <w:rFonts w:ascii="Tahoma" w:cs="Tahoma" w:eastAsia="Tahoma" w:hAnsi="Tahoma"/>
          <w:b w:val="false"/>
          <w:bCs w:val="false"/>
          <w:color w:val="5A6068"/>
          <w:sz w:val="16"/>
          <w:szCs w:val="16"/>
          <w:rtl/>
        </w:rPr>
        <w:t xml:space="preserve">شكل ١ — دورة حياة النقطة الواحدة من المسح حتى إرجاع العُهدة (تُقرأ من اليمين إلى اليسار)</w:t>
      </w:r>
    </w:p>
    <w:p>
      <w:pPr>
        <w:pStyle w:val="Heading1"/>
        <w:bidi/>
        <w:spacing w:after="130" w:before="260"/>
        <w:jc w:val="start"/>
      </w:pPr>
      <w:r>
        <w:rPr>
          <w:rFonts w:ascii="Tahoma" w:cs="Tahoma" w:eastAsia="Tahoma" w:hAnsi="Tahoma"/>
          <w:b/>
          <w:bCs/>
          <w:color w:val="8C6D1F"/>
          <w:sz w:val="27"/>
          <w:szCs w:val="27"/>
          <w:rtl/>
        </w:rPr>
        <w:t xml:space="preserve">٢. المعمارية العامة</w:t>
      </w:r>
    </w:p>
    <w:p>
      <w:pPr>
        <w:bidi/>
        <w:spacing w:after="95" w:line="28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قرار الملف الواحد قرارٌ هندسي: نشرٌ ذري (نسخة كاملة بطلب واحد — لا تجزئة قد تختلط في كاش ميداني رديء)، وقشرة أوفلاين مكتملة، وترقيم موحّد يفرضه حارس آلي. الكلفة المعلومة (الحجم وتعارضات الدمج) مُدارة بانضباط كتل السكربت وحارس النطاقات.</w:t>
      </w:r>
    </w:p>
    <w:p>
      <w:pPr>
        <w:pStyle w:val="ListParagraph"/>
        <w:numPr>
          <w:ilvl w:val="0"/>
          <w:numId w:val="2"/>
        </w:numPr>
        <w:bidi/>
        <w:spacing w:after="60" w:line="27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كتل تنفيذ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classic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متعددة (النواة والواجهات واللوحة وجدولي واللغات والحسابات) وكتلة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ES Module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واحدة لمحرك المزامنة — العبور بين الكتل عبر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window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حصرًا، ويمنع الحارسُ أي مرجعٍ عابرٍ مباشر.</w:t>
      </w:r>
    </w:p>
    <w:p>
      <w:pPr>
        <w:pStyle w:val="ListParagraph"/>
        <w:numPr>
          <w:ilvl w:val="0"/>
          <w:numId w:val="2"/>
        </w:numPr>
        <w:bidi/>
        <w:spacing w:after="60" w:line="27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عامل الخدمة: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network-first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بمهلة ثم الكاش، وكاشٌ باسم النسخة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nusuk-survey-vX.Y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يتبدل مع كل إصدار فيتجدد التطبيق ذاتيًا؛ ورقم النسخة في الترويسة زرُّ فحصٍ فوري لكل الأدوار.</w:t>
      </w:r>
    </w:p>
    <w:p>
      <w:pPr>
        <w:pStyle w:val="ListParagraph"/>
        <w:numPr>
          <w:ilvl w:val="0"/>
          <w:numId w:val="2"/>
        </w:numPr>
        <w:bidi/>
        <w:spacing w:after="60" w:line="27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الخرائط: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Leaflet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براسم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Canvas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(لا عناصر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DOM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لكل نقطة)، بخريطتي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CARTO Positron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وقمرٍ صناعي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Esri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.</w:t>
      </w:r>
    </w:p>
    <w:p>
      <w:pPr>
        <w:pStyle w:val="Heading1"/>
        <w:bidi/>
        <w:spacing w:after="130" w:before="260"/>
        <w:jc w:val="start"/>
      </w:pPr>
      <w:r>
        <w:rPr>
          <w:rFonts w:ascii="Tahoma" w:cs="Tahoma" w:eastAsia="Tahoma" w:hAnsi="Tahoma"/>
          <w:b/>
          <w:bCs/>
          <w:color w:val="8C6D1F"/>
          <w:sz w:val="27"/>
          <w:szCs w:val="27"/>
          <w:rtl/>
        </w:rPr>
        <w:t xml:space="preserve">٣. نموذج البيانات — المجموعات الثماني</w:t>
      </w:r>
    </w:p>
    <w:p>
      <w:pPr>
        <w:bidi/>
        <w:spacing w:after="95" w:line="28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معرّف النقطة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NSK-&lt;ZONE&gt;-&lt;TYPE&gt;-&lt;N&gt;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، والشاخص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/^\d+\/\d+$/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حصرًا، والشركة من قائمة معتمدة.</w:t>
      </w:r>
    </w:p>
    <w:tbl>
      <w:tblPr>
        <w:bidiVisual/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750"/>
        <w:gridCol w:w="7610"/>
      </w:tblGrid>
      <w:tr>
        <w:tc>
          <w:tcPr>
            <w:tcW w:type="dxa" w:w="1750"/>
            <w:shd w:fill="F2ECDD" w:val="clear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7"/>
                <w:szCs w:val="17"/>
                <w:rtl/>
              </w:rPr>
              <w:t xml:space="preserve">المجموعة</w:t>
            </w:r>
          </w:p>
        </w:tc>
        <w:tc>
          <w:tcPr>
            <w:tcW w:type="dxa" w:w="7610"/>
            <w:shd w:fill="F2ECDD" w:val="clear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7"/>
                <w:szCs w:val="17"/>
                <w:rtl/>
              </w:rPr>
              <w:t xml:space="preserve">الشكل والدلالة</w:t>
            </w:r>
          </w:p>
        </w:tc>
      </w:tr>
      <w:tr>
        <w:tc>
          <w:tcPr>
            <w:tcW w:type="dxa" w:w="175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recs</w:t>
            </w:r>
          </w:p>
        </w:tc>
        <w:tc>
          <w:tcPr>
            <w:tcW w:type="dxa" w:w="761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سجل المسح: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fstat∈{done,draft,blocked}</w:t>
            </w: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 · قياسات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v{}</w:t>
            </w: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 · تصويبات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fix{}</w:t>
            </w: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 · تحديات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chal[]</w:t>
            </w: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 · سجل مراجعات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log[]/rev</w:t>
            </w: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 · صور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photos{k:dataURL}</w:t>
            </w:r>
          </w:p>
        </w:tc>
      </w:tr>
      <w:tr>
        <w:tc>
          <w:tcPr>
            <w:tcW w:type="dxa" w:w="175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inss</w:t>
            </w:r>
          </w:p>
        </w:tc>
        <w:tc>
          <w:tcPr>
            <w:tcW w:type="dxa" w:w="761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التركيب والتشغيل: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status∈{مجدول،قيد التركيب،مُركّب}</w:t>
            </w: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 ·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team,sched</w:t>
            </w: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 · عناوين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net{router,reader,camera}</w:t>
            </w: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 · كيان الفك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dis{st,team,sched,cond,doneBy,doneAt}</w:t>
            </w:r>
          </w:p>
        </w:tc>
      </w:tr>
      <w:tr>
        <w:tc>
          <w:tcPr>
            <w:tcW w:type="dxa" w:w="175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props</w:t>
            </w:r>
          </w:p>
        </w:tc>
        <w:tc>
          <w:tcPr>
            <w:tcW w:type="dxa" w:w="761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مقترحات الميدان بمسار اعتماد المهندس</w:t>
            </w:r>
          </w:p>
        </w:tc>
      </w:tr>
      <w:tr>
        <w:tc>
          <w:tcPr>
            <w:tcW w:type="dxa" w:w="175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photos</w:t>
            </w:r>
          </w:p>
        </w:tc>
        <w:tc>
          <w:tcPr>
            <w:tcW w:type="dxa" w:w="761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وثيقة لكل لقطة (فُصلت لتجاوز حد الوثيقة) بحارس حجم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≤980KB</w:t>
            </w:r>
          </w:p>
        </w:tc>
      </w:tr>
      <w:tr>
        <w:tc>
          <w:tcPr>
            <w:tcW w:type="dxa" w:w="175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colist</w:t>
            </w:r>
          </w:p>
        </w:tc>
        <w:tc>
          <w:tcPr>
            <w:tcW w:type="dxa" w:w="761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قائمة الشركات المعتمدة + طلبات الإضافة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st:'req'</w:t>
            </w:r>
          </w:p>
        </w:tc>
      </w:tr>
      <w:tr>
        <w:tc>
          <w:tcPr>
            <w:tcW w:type="dxa" w:w="175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settings</w:t>
            </w:r>
          </w:p>
        </w:tc>
        <w:tc>
          <w:tcPr>
            <w:tcW w:type="dxa" w:w="761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target · teams{list,leads} · contacts · cotel · hbcmd · applock</w:t>
            </w:r>
          </w:p>
        </w:tc>
      </w:tr>
      <w:tr>
        <w:tc>
          <w:tcPr>
            <w:tcW w:type="dxa" w:w="175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events / hbev</w:t>
            </w:r>
          </w:p>
        </w:tc>
        <w:tc>
          <w:tcPr>
            <w:tcW w:type="dxa" w:w="761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سجلان إلحاقيان: أحداث النظام وانتقالات الصحة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{from,to,ts}</w:t>
            </w: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 — إنشاء فقط</w:t>
            </w:r>
          </w:p>
        </w:tc>
      </w:tr>
      <w:tr>
        <w:tc>
          <w:tcPr>
            <w:tcW w:type="dxa" w:w="175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hb / users</w:t>
            </w:r>
          </w:p>
        </w:tc>
        <w:tc>
          <w:tcPr>
            <w:tcW w:type="dxa" w:w="761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hb</w:t>
            </w: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: آخر حالة لكل جهاز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site__kind→{st,ts,since}</w:t>
            </w: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 ·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users</w:t>
            </w: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: الدور والتفعيل</w:t>
            </w:r>
          </w:p>
        </w:tc>
      </w:tr>
    </w:tbl>
    <w:p>
      <w:pPr>
        <w:bidi/>
        <w:spacing w:after="95" w:line="28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حقول دفتر المزامنة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synced/syncAt/syncErr/syncTry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محليةٌ قطعًا وتُجرَّد بالاتجاهين عبر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strip()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— تسرّبها سبّب حلقة إعادة رفع أُغلقت جذريًا.</w:t>
      </w:r>
    </w:p>
    <w:p>
      <w:pPr>
        <w:pStyle w:val="Heading1"/>
        <w:bidi/>
        <w:spacing w:after="130" w:before="260"/>
        <w:jc w:val="start"/>
      </w:pPr>
      <w:r>
        <w:rPr>
          <w:rFonts w:ascii="Tahoma" w:cs="Tahoma" w:eastAsia="Tahoma" w:hAnsi="Tahoma"/>
          <w:b/>
          <w:bCs/>
          <w:color w:val="8C6D1F"/>
          <w:sz w:val="27"/>
          <w:szCs w:val="27"/>
          <w:rtl/>
        </w:rPr>
        <w:t xml:space="preserve">٤. محرك المزامنة — محلي أولًا</w:t>
      </w:r>
    </w:p>
    <w:p>
      <w:pPr>
        <w:pStyle w:val="ListParagraph"/>
        <w:numPr>
          <w:ilvl w:val="0"/>
          <w:numId w:val="2"/>
        </w:numPr>
        <w:bidi/>
        <w:spacing w:after="60" w:line="275"/>
        <w:jc w:val="start"/>
      </w:pP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NSKCORE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ذاكرة الحالة ومخزن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IndexedDB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بمفاتيح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rec:/ins:/prp: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— كل كتابة تثبت محليًا قبل أي شبكة.</w:t>
      </w:r>
    </w:p>
    <w:p>
      <w:pPr>
        <w:pStyle w:val="ListParagraph"/>
        <w:numPr>
          <w:ilvl w:val="0"/>
          <w:numId w:val="2"/>
        </w:numPr>
        <w:bidi/>
        <w:spacing w:after="60" w:line="275"/>
        <w:jc w:val="start"/>
      </w:pP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NSKSYNC.push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قمع الرفع الوحيد: يفصل الصور لوثائقها، يختم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_up=serverTimestamp,_by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، وفيه خطاف إشعارات الجدولة؛ ودافع دوري كل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30s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لغير المؤكد.</w:t>
      </w:r>
    </w:p>
    <w:p>
      <w:pPr>
        <w:pStyle w:val="ListParagraph"/>
        <w:numPr>
          <w:ilvl w:val="0"/>
          <w:numId w:val="2"/>
        </w:numPr>
        <w:bidi/>
        <w:spacing w:after="60" w:line="275"/>
        <w:jc w:val="start"/>
      </w:pP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applySnap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: تخطي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hasPendingWrites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← تجريد ← مقارنة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eq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فلا كتابة بلا فرق ← صيانة صور أحدث محليًا عبر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PHBUF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وبصمة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len+tail24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تمنع إعادة رفع المؤكد ← ومعالج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removed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يمحو الذاكرة والمخزن معًا.</w:t>
      </w:r>
    </w:p>
    <w:p>
      <w:pPr>
        <w:pStyle w:val="ListParagraph"/>
        <w:numPr>
          <w:ilvl w:val="0"/>
          <w:numId w:val="2"/>
        </w:numPr>
        <w:bidi/>
        <w:spacing w:after="60" w:line="27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اشتراكات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onSnapshot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بغلاف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live()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يعيد الاشتراك بتراجع أُسّي حتى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60s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؛ والتعارض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last-write-wins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، ودمج نسخ الزملاء: الأحدث يكسب مع الاحتفاظ بسجلّ وصور الطرفين.</w:t>
      </w:r>
    </w:p>
    <w:tbl>
      <w:tblPr>
        <w:bidiVisual/>
        <w:tblW w:type="dxa" w:w="9200"/>
        <w:tblBorders>
          <w:top w:val="none"/>
          <w:left w:val="none"/>
          <w:bottom w:val="none"/>
          <w:right w:val="none"/>
          <w:insideH w:val="none"/>
          <w:insideV w:val="none"/>
        </w:tblBorders>
      </w:tblPr>
      <w:tblGrid>
        <w:gridCol w:w="1600"/>
        <w:gridCol w:w="300"/>
        <w:gridCol w:w="1600"/>
        <w:gridCol w:w="300"/>
        <w:gridCol w:w="1600"/>
        <w:gridCol w:w="300"/>
        <w:gridCol w:w="1600"/>
        <w:gridCol w:w="300"/>
        <w:gridCol w:w="1600"/>
      </w:tblGrid>
      <w:tr>
        <w:tc>
          <w:tcPr>
            <w:tcW w:type="dxa" w:w="1600"/>
            <w:tcBorders>
              <w:top w:val="single" w:color="C9A24B" w:sz="8"/>
              <w:left w:val="single" w:color="C9A24B" w:sz="8"/>
              <w:bottom w:val="single" w:color="C9A24B" w:sz="8"/>
              <w:right w:val="single" w:color="C9A24B" w:sz="8"/>
            </w:tcBorders>
            <w:shd w:fill="F6F1E4" w:val="clear"/>
            <w:tcMar>
              <w:top w:type="dxa" w:w="90"/>
              <w:left w:type="dxa" w:w="60"/>
              <w:bottom w:type="dxa" w:w="90"/>
              <w:right w:type="dxa" w:w="6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إدخال الفني</w:t>
            </w:r>
          </w:p>
        </w:tc>
        <w:tc>
          <w:tcPr>
            <w:tcW w:type="dxa" w:w="300"/>
            <w:tcBorders>
              <w:top w:val="none"/>
              <w:left w:val="none"/>
              <w:bottom w:val="none"/>
              <w:right w:val="none"/>
            </w:tcBorders>
            <w:tcMar>
              <w:top w:type="dxa" w:w="90"/>
              <w:bottom w:type="dxa" w:w="9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8C6D1F"/>
                <w:sz w:val="20"/>
                <w:szCs w:val="20"/>
              </w:rPr>
              <w:t xml:space="preserve">←</w:t>
            </w:r>
          </w:p>
        </w:tc>
        <w:tc>
          <w:tcPr>
            <w:tcW w:type="dxa" w:w="1600"/>
            <w:tcBorders>
              <w:top w:val="single" w:color="C9A24B" w:sz="8"/>
              <w:left w:val="single" w:color="C9A24B" w:sz="8"/>
              <w:bottom w:val="single" w:color="C9A24B" w:sz="8"/>
              <w:right w:val="single" w:color="C9A24B" w:sz="8"/>
            </w:tcBorders>
            <w:shd w:fill="F6F1E4" w:val="clear"/>
            <w:tcMar>
              <w:top w:type="dxa" w:w="90"/>
              <w:left w:type="dxa" w:w="60"/>
              <w:bottom w:type="dxa" w:w="90"/>
              <w:right w:type="dxa" w:w="6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حفظ محلي فوري</w:t>
            </w:r>
          </w:p>
        </w:tc>
        <w:tc>
          <w:tcPr>
            <w:tcW w:type="dxa" w:w="300"/>
            <w:tcBorders>
              <w:top w:val="none"/>
              <w:left w:val="none"/>
              <w:bottom w:val="none"/>
              <w:right w:val="none"/>
            </w:tcBorders>
            <w:tcMar>
              <w:top w:type="dxa" w:w="90"/>
              <w:bottom w:type="dxa" w:w="9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8C6D1F"/>
                <w:sz w:val="20"/>
                <w:szCs w:val="20"/>
              </w:rPr>
              <w:t xml:space="preserve">←</w:t>
            </w:r>
          </w:p>
        </w:tc>
        <w:tc>
          <w:tcPr>
            <w:tcW w:type="dxa" w:w="1600"/>
            <w:tcBorders>
              <w:top w:val="single" w:color="C9A24B" w:sz="8"/>
              <w:left w:val="single" w:color="C9A24B" w:sz="8"/>
              <w:bottom w:val="single" w:color="C9A24B" w:sz="8"/>
              <w:right w:val="single" w:color="C9A24B" w:sz="8"/>
            </w:tcBorders>
            <w:shd w:fill="F6F1E4" w:val="clear"/>
            <w:tcMar>
              <w:top w:type="dxa" w:w="90"/>
              <w:left w:type="dxa" w:w="60"/>
              <w:bottom w:type="dxa" w:w="90"/>
              <w:right w:type="dxa" w:w="6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طابور الرفع</w:t>
            </w:r>
          </w:p>
        </w:tc>
        <w:tc>
          <w:tcPr>
            <w:tcW w:type="dxa" w:w="300"/>
            <w:tcBorders>
              <w:top w:val="none"/>
              <w:left w:val="none"/>
              <w:bottom w:val="none"/>
              <w:right w:val="none"/>
            </w:tcBorders>
            <w:tcMar>
              <w:top w:type="dxa" w:w="90"/>
              <w:bottom w:type="dxa" w:w="9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8C6D1F"/>
                <w:sz w:val="20"/>
                <w:szCs w:val="20"/>
              </w:rPr>
              <w:t xml:space="preserve">←</w:t>
            </w:r>
          </w:p>
        </w:tc>
        <w:tc>
          <w:tcPr>
            <w:tcW w:type="dxa" w:w="1600"/>
            <w:tcBorders>
              <w:top w:val="single" w:color="C9A24B" w:sz="8"/>
              <w:left w:val="single" w:color="C9A24B" w:sz="8"/>
              <w:bottom w:val="single" w:color="C9A24B" w:sz="8"/>
              <w:right w:val="single" w:color="C9A24B" w:sz="8"/>
            </w:tcBorders>
            <w:shd w:fill="F6F1E4" w:val="clear"/>
            <w:tcMar>
              <w:top w:type="dxa" w:w="90"/>
              <w:left w:type="dxa" w:w="60"/>
              <w:bottom w:type="dxa" w:w="90"/>
              <w:right w:type="dxa" w:w="6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دفعٌ للخادم</w:t>
            </w:r>
          </w:p>
        </w:tc>
        <w:tc>
          <w:tcPr>
            <w:tcW w:type="dxa" w:w="300"/>
            <w:tcBorders>
              <w:top w:val="none"/>
              <w:left w:val="none"/>
              <w:bottom w:val="none"/>
              <w:right w:val="none"/>
            </w:tcBorders>
            <w:tcMar>
              <w:top w:type="dxa" w:w="90"/>
              <w:bottom w:type="dxa" w:w="9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8C6D1F"/>
                <w:sz w:val="20"/>
                <w:szCs w:val="20"/>
              </w:rPr>
              <w:t xml:space="preserve">←</w:t>
            </w:r>
          </w:p>
        </w:tc>
        <w:tc>
          <w:tcPr>
            <w:tcW w:type="dxa" w:w="1600"/>
            <w:tcBorders>
              <w:top w:val="single" w:color="C9A24B" w:sz="8"/>
              <w:left w:val="single" w:color="C9A24B" w:sz="8"/>
              <w:bottom w:val="single" w:color="C9A24B" w:sz="8"/>
              <w:right w:val="single" w:color="C9A24B" w:sz="8"/>
            </w:tcBorders>
            <w:shd w:fill="F6F1E4" w:val="clear"/>
            <w:tcMar>
              <w:top w:type="dxa" w:w="90"/>
              <w:left w:type="dxa" w:w="60"/>
              <w:bottom w:type="dxa" w:w="90"/>
              <w:right w:type="dxa" w:w="6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بثٌّ للأجهزة</w:t>
            </w:r>
          </w:p>
        </w:tc>
      </w:tr>
    </w:tbl>
    <w:p>
      <w:pPr>
        <w:bidi/>
        <w:spacing w:after="170" w:before="70"/>
        <w:jc w:val="center"/>
      </w:pPr>
      <w:r>
        <w:rPr>
          <w:rFonts w:ascii="Tahoma" w:cs="Tahoma" w:eastAsia="Tahoma" w:hAnsi="Tahoma"/>
          <w:b w:val="false"/>
          <w:bCs w:val="false"/>
          <w:color w:val="5A6068"/>
          <w:sz w:val="16"/>
          <w:szCs w:val="16"/>
          <w:rtl/>
        </w:rPr>
        <w:t xml:space="preserve">شكل ٣ — رحلة أي إدخال: يُثبَّت على الجهاز أولًا ثم يُرفع ويُبثّ — فلا يضيع عمل بانقطاع الشبكة</w:t>
      </w:r>
    </w:p>
    <w:p>
      <w:pPr>
        <w:pStyle w:val="Heading1"/>
        <w:bidi/>
        <w:spacing w:after="130" w:before="260"/>
        <w:jc w:val="start"/>
      </w:pPr>
      <w:r>
        <w:rPr>
          <w:rFonts w:ascii="Tahoma" w:cs="Tahoma" w:eastAsia="Tahoma" w:hAnsi="Tahoma"/>
          <w:b/>
          <w:bCs/>
          <w:color w:val="8C6D1F"/>
          <w:sz w:val="27"/>
          <w:szCs w:val="27"/>
          <w:rtl/>
        </w:rPr>
        <w:t xml:space="preserve">٥. مسار الإسناد والجدولة — من قرار المهندس إلى تنفيذ الفني</w:t>
      </w:r>
    </w:p>
    <w:p>
      <w:pPr>
        <w:bidi/>
        <w:spacing w:after="95" w:line="28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هذا المسار عمود التشغيل: كل نقطة تُنجَز لأنها أُسندت لفريقٍ بتاريخ، ووصلت الفني في هاتفه، وعاد أثرها إلى اللوحة. الرسم التالي يبيّن الفاعلين الثلاثة وما يجري عند كلٍّ منهم.</w:t>
      </w:r>
    </w:p>
    <w:tbl>
      <w:tblPr>
        <w:bidiVisual/>
        <w:tblW w:type="dxa" w:w="937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450"/>
        <w:gridCol w:w="2640"/>
        <w:gridCol w:w="2640"/>
        <w:gridCol w:w="2640"/>
      </w:tblGrid>
      <w:tr>
        <w:tc>
          <w:tcPr>
            <w:tcW w:type="dxa" w:w="1450"/>
            <w:shd w:fill="F2ECDD" w:val="clear"/>
            <w:tcMar>
              <w:top w:type="dxa" w:w="70"/>
              <w:left w:type="dxa" w:w="80"/>
              <w:bottom w:type="dxa" w:w="70"/>
              <w:right w:type="dxa" w:w="8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الفاعل</w:t>
            </w:r>
          </w:p>
        </w:tc>
        <w:tc>
          <w:tcPr>
            <w:tcW w:type="dxa" w:w="2640"/>
            <w:shd w:fill="F2ECDD" w:val="clear"/>
            <w:tcMar>
              <w:top w:type="dxa" w:w="70"/>
              <w:left w:type="dxa" w:w="80"/>
              <w:bottom w:type="dxa" w:w="70"/>
              <w:right w:type="dxa" w:w="8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الخطوة الأولى</w:t>
            </w:r>
          </w:p>
        </w:tc>
        <w:tc>
          <w:tcPr>
            <w:tcW w:type="dxa" w:w="2640"/>
            <w:shd w:fill="F2ECDD" w:val="clear"/>
            <w:tcMar>
              <w:top w:type="dxa" w:w="70"/>
              <w:left w:type="dxa" w:w="80"/>
              <w:bottom w:type="dxa" w:w="70"/>
              <w:right w:type="dxa" w:w="8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ثم</w:t>
            </w:r>
          </w:p>
        </w:tc>
        <w:tc>
          <w:tcPr>
            <w:tcW w:type="dxa" w:w="2640"/>
            <w:shd w:fill="F2ECDD" w:val="clear"/>
            <w:tcMar>
              <w:top w:type="dxa" w:w="70"/>
              <w:left w:type="dxa" w:w="80"/>
              <w:bottom w:type="dxa" w:w="70"/>
              <w:right w:type="dxa" w:w="8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ثم</w:t>
            </w:r>
          </w:p>
        </w:tc>
      </w:tr>
      <w:tr>
        <w:tc>
          <w:tcPr>
            <w:tcW w:type="dxa" w:w="1450"/>
            <w:shd w:fill="FAF6EC" w:val="clear"/>
            <w:tcMar>
              <w:top w:type="dxa" w:w="70"/>
              <w:left w:type="dxa" w:w="80"/>
              <w:bottom w:type="dxa" w:w="70"/>
              <w:right w:type="dxa" w:w="8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المهندس</w:t>
            </w:r>
          </w:p>
        </w:tc>
        <w:tc>
          <w:tcPr>
            <w:tcW w:type="dxa" w:w="2640"/>
            <w:tcMar>
              <w:top w:type="dxa" w:w="70"/>
              <w:left w:type="dxa" w:w="80"/>
              <w:bottom w:type="dxa" w:w="70"/>
              <w:right w:type="dxa" w:w="8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16"/>
                <w:szCs w:val="16"/>
                <w:rtl/>
              </w:rPr>
              <w:t xml:space="preserve">يختار النقاط: مفردةً من نافذتها أو دفعةً بالمربع والفريق، ويحدّد الفريق والتاريخ</w:t>
            </w:r>
          </w:p>
        </w:tc>
        <w:tc>
          <w:tcPr>
            <w:tcW w:type="dxa" w:w="2640"/>
            <w:tcMar>
              <w:top w:type="dxa" w:w="70"/>
              <w:left w:type="dxa" w:w="80"/>
              <w:bottom w:type="dxa" w:w="70"/>
              <w:right w:type="dxa" w:w="8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16"/>
                <w:szCs w:val="16"/>
                <w:rtl/>
              </w:rPr>
              <w:t xml:space="preserve">يراجع «التوزيع والإسناد» فيرى حِمل كل فريق قبل التثبيت</w:t>
            </w:r>
          </w:p>
        </w:tc>
        <w:tc>
          <w:tcPr>
            <w:tcW w:type="dxa" w:w="2640"/>
            <w:tcMar>
              <w:top w:type="dxa" w:w="70"/>
              <w:left w:type="dxa" w:w="80"/>
              <w:bottom w:type="dxa" w:w="70"/>
              <w:right w:type="dxa" w:w="8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16"/>
                <w:szCs w:val="16"/>
                <w:rtl/>
              </w:rPr>
              <w:t xml:space="preserve">يرسل إشعار واتساب من شارة «إشعارات الجدولة» بضغطة</w:t>
            </w:r>
          </w:p>
        </w:tc>
      </w:tr>
      <w:tr>
        <w:tc>
          <w:tcPr>
            <w:tcW w:type="dxa" w:w="1450"/>
            <w:shd w:fill="FAF6EC" w:val="clear"/>
            <w:tcMar>
              <w:top w:type="dxa" w:w="70"/>
              <w:left w:type="dxa" w:w="80"/>
              <w:bottom w:type="dxa" w:w="70"/>
              <w:right w:type="dxa" w:w="8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النظام</w:t>
            </w:r>
          </w:p>
        </w:tc>
        <w:tc>
          <w:tcPr>
            <w:tcW w:type="dxa" w:w="2640"/>
            <w:tcMar>
              <w:top w:type="dxa" w:w="70"/>
              <w:left w:type="dxa" w:w="80"/>
              <w:bottom w:type="dxa" w:w="70"/>
              <w:right w:type="dxa" w:w="8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16"/>
                <w:szCs w:val="16"/>
                <w:rtl/>
              </w:rPr>
              <w:t xml:space="preserve">يكتب على النقطة: الفريق والتاريخ والحالة «مجدول»، ويثبّتها محليًا ثم يرفعها</w:t>
            </w:r>
          </w:p>
        </w:tc>
        <w:tc>
          <w:tcPr>
            <w:tcW w:type="dxa" w:w="2640"/>
            <w:tcMar>
              <w:top w:type="dxa" w:w="70"/>
              <w:left w:type="dxa" w:w="80"/>
              <w:bottom w:type="dxa" w:w="70"/>
              <w:right w:type="dxa" w:w="8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16"/>
                <w:szCs w:val="16"/>
                <w:rtl/>
              </w:rPr>
              <w:t xml:space="preserve">يوزّعها على «جدولي» عند كل فنيّي الفريق ويلوّنها على الخريطة</w:t>
            </w:r>
          </w:p>
        </w:tc>
        <w:tc>
          <w:tcPr>
            <w:tcW w:type="dxa" w:w="2640"/>
            <w:tcMar>
              <w:top w:type="dxa" w:w="70"/>
              <w:left w:type="dxa" w:w="80"/>
              <w:bottom w:type="dxa" w:w="70"/>
              <w:right w:type="dxa" w:w="8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16"/>
                <w:szCs w:val="16"/>
                <w:rtl/>
              </w:rPr>
              <w:t xml:space="preserve">يسجّل الحدث في سجل التدقيق ويحدّث عدادات اللوحة لحظيًا</w:t>
            </w:r>
          </w:p>
        </w:tc>
      </w:tr>
      <w:tr>
        <w:tc>
          <w:tcPr>
            <w:tcW w:type="dxa" w:w="1450"/>
            <w:shd w:fill="FAF6EC" w:val="clear"/>
            <w:tcMar>
              <w:top w:type="dxa" w:w="70"/>
              <w:left w:type="dxa" w:w="80"/>
              <w:bottom w:type="dxa" w:w="70"/>
              <w:right w:type="dxa" w:w="8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المشرف / الفني</w:t>
            </w:r>
          </w:p>
        </w:tc>
        <w:tc>
          <w:tcPr>
            <w:tcW w:type="dxa" w:w="2640"/>
            <w:tcMar>
              <w:top w:type="dxa" w:w="70"/>
              <w:left w:type="dxa" w:w="80"/>
              <w:bottom w:type="dxa" w:w="70"/>
              <w:right w:type="dxa" w:w="8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16"/>
                <w:szCs w:val="16"/>
                <w:rtl/>
              </w:rPr>
              <w:t xml:space="preserve">تظهر المهمة في «جدولي» — وله تصديرها إكسل ككشف يومه</w:t>
            </w:r>
          </w:p>
        </w:tc>
        <w:tc>
          <w:tcPr>
            <w:tcW w:type="dxa" w:w="2640"/>
            <w:tcMar>
              <w:top w:type="dxa" w:w="70"/>
              <w:left w:type="dxa" w:w="80"/>
              <w:bottom w:type="dxa" w:w="70"/>
              <w:right w:type="dxa" w:w="8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16"/>
                <w:szCs w:val="16"/>
                <w:rtl/>
              </w:rPr>
              <w:t xml:space="preserve">ينفّذ التركيب ويوسم النقطة «تم التركيب» مع صورة ما بعد التركيب</w:t>
            </w:r>
          </w:p>
        </w:tc>
        <w:tc>
          <w:tcPr>
            <w:tcW w:type="dxa" w:w="2640"/>
            <w:tcMar>
              <w:top w:type="dxa" w:w="70"/>
              <w:left w:type="dxa" w:w="80"/>
              <w:bottom w:type="dxa" w:w="70"/>
              <w:right w:type="dxa" w:w="8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16"/>
                <w:szCs w:val="16"/>
                <w:rtl/>
              </w:rPr>
              <w:t xml:space="preserve">يسجّل «عناوين الأجهزة» فتدخل النقطة تحت المراقبة الصحية</w:t>
            </w:r>
          </w:p>
        </w:tc>
      </w:tr>
    </w:tbl>
    <w:p>
      <w:pPr>
        <w:bidi/>
        <w:spacing w:after="170" w:before="70"/>
        <w:jc w:val="center"/>
      </w:pPr>
      <w:r>
        <w:rPr>
          <w:rFonts w:ascii="Tahoma" w:cs="Tahoma" w:eastAsia="Tahoma" w:hAnsi="Tahoma"/>
          <w:b w:val="false"/>
          <w:bCs w:val="false"/>
          <w:color w:val="5A6068"/>
          <w:sz w:val="16"/>
          <w:szCs w:val="16"/>
          <w:rtl/>
        </w:rPr>
        <w:t xml:space="preserve">شكل ٢ — مسارات الإسناد الثلاثة: قرار الإدارة ثم معالجة النظام ثم تنفيذ الميدان</w:t>
      </w:r>
    </w:p>
    <w:p>
      <w:pPr>
        <w:pStyle w:val="Heading2"/>
        <w:bidi/>
        <w:spacing w:after="85" w:before="160"/>
        <w:jc w:val="start"/>
      </w:pPr>
      <w:r>
        <w:rPr>
          <w:rFonts w:ascii="Tahoma" w:cs="Tahoma" w:eastAsia="Tahoma" w:hAnsi="Tahoma"/>
          <w:b/>
          <w:bCs/>
          <w:color w:val="1F2328"/>
          <w:sz w:val="22"/>
          <w:szCs w:val="22"/>
          <w:rtl/>
        </w:rPr>
        <w:t xml:space="preserve">٥.١ ما يضمن سلامة المسار</w:t>
      </w:r>
    </w:p>
    <w:p>
      <w:pPr>
        <w:pStyle w:val="ListParagraph"/>
        <w:numPr>
          <w:ilvl w:val="0"/>
          <w:numId w:val="2"/>
        </w:numPr>
        <w:bidi/>
        <w:spacing w:after="60" w:line="27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ربط قائد الفريق بحسابه يتم </w:t>
      </w:r>
      <w:r>
        <w:rPr>
          <w:rFonts w:ascii="Tahoma" w:cs="Tahoma" w:eastAsia="Tahoma" w:hAnsi="Tahoma"/>
          <w:b/>
          <w:bCs/>
          <w:color w:val="1F2328"/>
          <w:sz w:val="20"/>
          <w:szCs w:val="20"/>
          <w:rtl/>
        </w:rPr>
        <w:t xml:space="preserve">بالمعرّف لا بتطابق الاسم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— فتغيير اسم العرض لا يقطع وصول المهام.</w:t>
      </w:r>
    </w:p>
    <w:p>
      <w:pPr>
        <w:pStyle w:val="ListParagraph"/>
        <w:numPr>
          <w:ilvl w:val="0"/>
          <w:numId w:val="2"/>
        </w:numPr>
        <w:bidi/>
        <w:spacing w:after="60" w:line="27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«سلامة خط الإنتاج» في تبويب التخطيط يكشف الاختراقات: نقطة مجدولة بلا مسح سابق، أو ممسوحة نُسيت بلا جدولة.</w:t>
      </w:r>
    </w:p>
    <w:p>
      <w:pPr>
        <w:pStyle w:val="ListParagraph"/>
        <w:numPr>
          <w:ilvl w:val="0"/>
          <w:numId w:val="2"/>
        </w:numPr>
        <w:bidi/>
        <w:spacing w:after="60" w:line="27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رسائل واتساب تُبنى من بيانات الجدولة نفسها (شواخص ومربعات ومواعيد) وتُفتح معبّأةً عبر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wa.me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— بلا إرسال خادمي، والأرقام تُدار في محرري «أرقام المكتب» و«أرقام شركات الخدمة».</w:t>
      </w:r>
    </w:p>
    <w:p>
      <w:pPr>
        <w:pStyle w:val="ListParagraph"/>
        <w:numPr>
          <w:ilvl w:val="0"/>
          <w:numId w:val="2"/>
        </w:numPr>
        <w:bidi/>
        <w:spacing w:after="60" w:line="27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الفك يسير في المسار نفسه: جدولةٌ من المهندس ثم «جدولي» بوسم 🔧 ثم تأكيد الفني بحالة الجهاز — فالفني يتعلّم واجهةً واحدة لمرحلتين.</w:t>
      </w:r>
    </w:p>
    <w:p>
      <w:pPr>
        <w:pStyle w:val="Heading1"/>
        <w:bidi/>
        <w:spacing w:after="130" w:before="260"/>
        <w:jc w:val="start"/>
      </w:pPr>
      <w:r>
        <w:rPr>
          <w:rFonts w:ascii="Tahoma" w:cs="Tahoma" w:eastAsia="Tahoma" w:hAnsi="Tahoma"/>
          <w:b/>
          <w:bCs/>
          <w:color w:val="8C6D1F"/>
          <w:sz w:val="27"/>
          <w:szCs w:val="27"/>
          <w:rtl/>
        </w:rPr>
        <w:t xml:space="preserve">٦. نموذج الأمن</w:t>
      </w:r>
    </w:p>
    <w:p>
      <w:pPr>
        <w:bidi/>
        <w:spacing w:after="95" w:line="28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حدُّ الأمان قواعد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Firestore Rules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المنشورة آليًا مع كل دفعة — لا منطق العميل. الدور من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users/{uid}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مع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active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، وحسابٌ جذري بالبريد فوق الجميع.</w:t>
      </w:r>
    </w:p>
    <w:tbl>
      <w:tblPr>
        <w:bidiVisual/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300"/>
        <w:gridCol w:w="2300"/>
        <w:gridCol w:w="3200"/>
        <w:gridCol w:w="1560"/>
      </w:tblGrid>
      <w:tr>
        <w:tc>
          <w:tcPr>
            <w:tcW w:type="dxa" w:w="2300"/>
            <w:shd w:fill="F2ECDD" w:val="clear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المجموعة</w:t>
            </w:r>
          </w:p>
        </w:tc>
        <w:tc>
          <w:tcPr>
            <w:tcW w:type="dxa" w:w="2300"/>
            <w:shd w:fill="F2ECDD" w:val="clear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قراءة</w:t>
            </w:r>
          </w:p>
        </w:tc>
        <w:tc>
          <w:tcPr>
            <w:tcW w:type="dxa" w:w="3200"/>
            <w:shd w:fill="F2ECDD" w:val="clear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إنشاء/تعديل</w:t>
            </w:r>
          </w:p>
        </w:tc>
        <w:tc>
          <w:tcPr>
            <w:tcW w:type="dxa" w:w="1560"/>
            <w:shd w:fill="F2ECDD" w:val="clear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حذف</w:t>
            </w:r>
          </w:p>
        </w:tc>
      </w:tr>
      <w:tr>
        <w:tc>
          <w:tcPr>
            <w:tcW w:type="dxa" w:w="230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recs/inss/props/photos</w:t>
            </w:r>
          </w:p>
        </w:tc>
        <w:tc>
          <w:tcPr>
            <w:tcW w:type="dxa" w:w="230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ok()</w:t>
            </w:r>
          </w:p>
        </w:tc>
        <w:tc>
          <w:tcPr>
            <w:tcW w:type="dxa" w:w="320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canW()</w:t>
            </w:r>
          </w:p>
        </w:tc>
        <w:tc>
          <w:tcPr>
            <w:tcW w:type="dxa" w:w="156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mgr()</w:t>
            </w:r>
          </w:p>
        </w:tc>
      </w:tr>
      <w:tr>
        <w:tc>
          <w:tcPr>
            <w:tcW w:type="dxa" w:w="230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colist</w:t>
            </w:r>
          </w:p>
        </w:tc>
        <w:tc>
          <w:tcPr>
            <w:tcW w:type="dxa" w:w="230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ok()</w:t>
            </w:r>
          </w:p>
        </w:tc>
        <w:tc>
          <w:tcPr>
            <w:tcW w:type="dxa" w:w="320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اعتماد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mgr()</w:t>
            </w: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 · طلبات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canW()</w:t>
            </w:r>
          </w:p>
        </w:tc>
        <w:tc>
          <w:tcPr>
            <w:tcW w:type="dxa" w:w="156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mgr()</w:t>
            </w:r>
          </w:p>
        </w:tc>
      </w:tr>
      <w:tr>
        <w:tc>
          <w:tcPr>
            <w:tcW w:type="dxa" w:w="230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settings</w:t>
            </w:r>
          </w:p>
        </w:tc>
        <w:tc>
          <w:tcPr>
            <w:tcW w:type="dxa" w:w="230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عام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ok()</w:t>
            </w: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 — و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contacts/cotel</w:t>
            </w: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 قراءتها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canW()</w:t>
            </w: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 (تُحجب عن الوزارة)</w:t>
            </w:r>
          </w:p>
        </w:tc>
        <w:tc>
          <w:tcPr>
            <w:tcW w:type="dxa" w:w="320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mgr()</w:t>
            </w:r>
          </w:p>
        </w:tc>
        <w:tc>
          <w:tcPr>
            <w:tcW w:type="dxa" w:w="156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mgr()</w:t>
            </w:r>
          </w:p>
        </w:tc>
      </w:tr>
      <w:tr>
        <w:tc>
          <w:tcPr>
            <w:tcW w:type="dxa" w:w="230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events/hbev</w:t>
            </w:r>
          </w:p>
        </w:tc>
        <w:tc>
          <w:tcPr>
            <w:tcW w:type="dxa" w:w="230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ok()</w:t>
            </w:r>
          </w:p>
        </w:tc>
        <w:tc>
          <w:tcPr>
            <w:tcW w:type="dxa" w:w="320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إنشاء فقط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canW()</w:t>
            </w:r>
          </w:p>
        </w:tc>
        <w:tc>
          <w:tcPr>
            <w:tcW w:type="dxa" w:w="156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false</w:t>
            </w:r>
          </w:p>
        </w:tc>
      </w:tr>
      <w:tr>
        <w:tc>
          <w:tcPr>
            <w:tcW w:type="dxa" w:w="230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hb</w:t>
            </w:r>
          </w:p>
        </w:tc>
        <w:tc>
          <w:tcPr>
            <w:tcW w:type="dxa" w:w="230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ok()</w:t>
            </w:r>
          </w:p>
        </w:tc>
        <w:tc>
          <w:tcPr>
            <w:tcW w:type="dxa" w:w="320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canW()</w:t>
            </w:r>
          </w:p>
        </w:tc>
        <w:tc>
          <w:tcPr>
            <w:tcW w:type="dxa" w:w="156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canW()</w:t>
            </w:r>
          </w:p>
        </w:tc>
      </w:tr>
      <w:tr>
        <w:tc>
          <w:tcPr>
            <w:tcW w:type="dxa" w:w="230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users</w:t>
            </w:r>
          </w:p>
        </w:tc>
        <w:tc>
          <w:tcPr>
            <w:tcW w:type="dxa" w:w="230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صاحبها أو الإدارة</w:t>
            </w:r>
          </w:p>
        </w:tc>
        <w:tc>
          <w:tcPr>
            <w:tcW w:type="dxa" w:w="320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mgr()</w:t>
            </w: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 — المهندس أدمن كامل</w:t>
            </w:r>
          </w:p>
        </w:tc>
        <w:tc>
          <w:tcPr>
            <w:tcW w:type="dxa" w:w="156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false</w:t>
            </w:r>
          </w:p>
        </w:tc>
      </w:tr>
    </w:tbl>
    <w:p>
      <w:pPr>
        <w:pStyle w:val="ListParagraph"/>
        <w:numPr>
          <w:ilvl w:val="0"/>
          <w:numId w:val="2"/>
        </w:numPr>
        <w:bidi/>
        <w:spacing w:after="60" w:line="27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انضباط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XSS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: كل نص حرّ عبر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esc()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؛ روابط خارجية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noopener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؛ قفل التطبيق طبقة تشغيل لا حدَّ أمان؛ مفتاح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apiKey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ظاهر بتصميم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Firebase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؛ مفاتيح توقيع أندرويد خارج المستودع ويُعدّ تاريخها مكشوفًا — التدوير إجراء مفتوح.</w:t>
      </w:r>
    </w:p>
    <w:p>
      <w:pPr>
        <w:pStyle w:val="Heading1"/>
        <w:bidi/>
        <w:spacing w:after="130" w:before="260"/>
        <w:jc w:val="start"/>
      </w:pPr>
      <w:r>
        <w:rPr>
          <w:rFonts w:ascii="Tahoma" w:cs="Tahoma" w:eastAsia="Tahoma" w:hAnsi="Tahoma"/>
          <w:b/>
          <w:bCs/>
          <w:color w:val="8C6D1F"/>
          <w:sz w:val="27"/>
          <w:szCs w:val="27"/>
          <w:rtl/>
        </w:rPr>
        <w:t xml:space="preserve">٧. محرك اللغات الثلاث</w:t>
      </w:r>
    </w:p>
    <w:p>
      <w:pPr>
        <w:pStyle w:val="ListParagraph"/>
        <w:numPr>
          <w:ilvl w:val="0"/>
          <w:numId w:val="2"/>
        </w:numPr>
        <w:bidi/>
        <w:spacing w:after="60" w:line="27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قاموس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ar→{en,ur}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(٧٠٠+ مدخل) وتحويل أرقام؛ المطابقة على نص العقدة كاملًا بسلسلة: حرفية ← طيّ فراغات ← تجريد زخارف الحواف ← فهرس مُطبَّع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NFC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بتجريد التشكيل والتطويل ← </w:t>
      </w:r>
      <w:r>
        <w:rPr>
          <w:rFonts w:ascii="Tahoma" w:cs="Tahoma" w:eastAsia="Tahoma" w:hAnsi="Tahoma"/>
          <w:b/>
          <w:bCs/>
          <w:color w:val="1F2328"/>
          <w:sz w:val="20"/>
          <w:szCs w:val="20"/>
          <w:rtl/>
        </w:rPr>
        <w:t xml:space="preserve">بادئات الرسائل المركّبة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(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PREFIXES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) تترجم البادئة وتُبقي المتغيّر.</w:t>
      </w:r>
    </w:p>
    <w:p>
      <w:pPr>
        <w:pStyle w:val="ListParagraph"/>
        <w:numPr>
          <w:ilvl w:val="0"/>
          <w:numId w:val="2"/>
        </w:numPr>
        <w:bidi/>
        <w:spacing w:after="60" w:line="27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استثناءات مقصودة: خيارات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&lt;select&gt;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(نصها هو القيمة)، طبقات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Leaflet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عدا نافذة النقطة، وأسماء الميدان. وعزل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MutationObserver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أثناء التمريرة أنهى حلقة إيقاظ ذاتي.</w:t>
      </w:r>
    </w:p>
    <w:p>
      <w:pPr>
        <w:pStyle w:val="ListParagraph"/>
        <w:numPr>
          <w:ilvl w:val="0"/>
          <w:numId w:val="2"/>
        </w:numPr>
        <w:bidi/>
        <w:spacing w:after="60" w:line="27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خط الحوكمة: واجهات الميدان والمشترك تُترجم بالكامل، ومحررات الإدارة وحواراتها وعبارة التأكيد الأمنية عربيةٌ بقرار.</w:t>
      </w:r>
    </w:p>
    <w:p>
      <w:pPr>
        <w:pStyle w:val="Heading1"/>
        <w:bidi/>
        <w:spacing w:after="130" w:before="260"/>
        <w:jc w:val="start"/>
      </w:pPr>
      <w:r>
        <w:rPr>
          <w:rFonts w:ascii="Tahoma" w:cs="Tahoma" w:eastAsia="Tahoma" w:hAnsi="Tahoma"/>
          <w:b/>
          <w:bCs/>
          <w:color w:val="8C6D1F"/>
          <w:sz w:val="27"/>
          <w:szCs w:val="27"/>
          <w:rtl/>
        </w:rPr>
        <w:t xml:space="preserve">٨. الرسم والأداء</w:t>
      </w:r>
    </w:p>
    <w:p>
      <w:pPr>
        <w:pStyle w:val="ListParagraph"/>
        <w:numPr>
          <w:ilvl w:val="0"/>
          <w:numId w:val="2"/>
        </w:numPr>
        <w:bidi/>
        <w:spacing w:after="60" w:line="27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بثٌّ موجّه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_nskViews→_nskFlush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يرسم الوجهة الظاهرة فقط ويستدرك المؤجل عند فتحها؛ دوائر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Canvas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للنقاط كلها؛ قصّ خارج الإطار عند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z≥15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؛ نوافذ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bindPopup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كسولة؛ بحث بمهلة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180ms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.</w:t>
      </w:r>
    </w:p>
    <w:p>
      <w:pPr>
        <w:pStyle w:val="Heading1"/>
        <w:bidi/>
        <w:spacing w:after="130" w:before="260"/>
        <w:jc w:val="start"/>
      </w:pPr>
      <w:r>
        <w:rPr>
          <w:rFonts w:ascii="Tahoma" w:cs="Tahoma" w:eastAsia="Tahoma" w:hAnsi="Tahoma"/>
          <w:b/>
          <w:bCs/>
          <w:color w:val="8C6D1F"/>
          <w:sz w:val="27"/>
          <w:szCs w:val="27"/>
          <w:rtl/>
        </w:rPr>
        <w:t xml:space="preserve">٩. النظام الفرعي: صحة الأجهزة</w:t>
      </w:r>
    </w:p>
    <w:p>
      <w:pPr>
        <w:bidi/>
        <w:spacing w:after="95" w:line="28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التدفق: سجلّ العناوين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inss.net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← الفاحص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tools/prober.html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← آخر حالة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hb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وانتقالات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hbev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← مستمعو التطبيق والجرس ← تحليلات اللوحة.</w:t>
      </w:r>
    </w:p>
    <w:p>
      <w:pPr>
        <w:pStyle w:val="ListParagraph"/>
        <w:numPr>
          <w:ilvl w:val="0"/>
          <w:numId w:val="2"/>
        </w:numPr>
        <w:bidi/>
        <w:spacing w:after="60" w:line="27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التزويد: قالب إكسل بكل النقاط الـ١٧٨٧ جاهزةً واستيرادٌ ذكيٌّ يقبل المعرّف أو الشاخص ويتعرف الأعمدة بأسمائها — أو تسجيل فردي من نافذة النقطة بمنع تكرار العنوان داخلها وتحذيرٍ عبر النقاط.</w:t>
      </w:r>
    </w:p>
    <w:p>
      <w:pPr>
        <w:pStyle w:val="ListParagraph"/>
        <w:numPr>
          <w:ilvl w:val="0"/>
          <w:numId w:val="2"/>
        </w:numPr>
        <w:bidi/>
        <w:spacing w:after="60" w:line="27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الفاحص: كشف وضع ذاتي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CAN_PROBE = protocol !== 'https:'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— من الرابط عرضٌ حي فقط (منع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Mixed Content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)، وللفحص يُنزَّل ويُفتح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file://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على جهاز الشبكة. النبضة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fetch(no-cors, 3.5s)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: أي استجابة = متصل؛ ستّ عمال متوازية؛ كل عنوان مرة واحدة وتعميم نتيجته؛ جولة كل ٥ دقائق وأمرٌ فوري عبر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settings/hbcmd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.</w:t>
      </w:r>
    </w:p>
    <w:p>
      <w:pPr>
        <w:pStyle w:val="ListParagraph"/>
        <w:numPr>
          <w:ilvl w:val="0"/>
          <w:numId w:val="2"/>
        </w:numPr>
        <w:bidi/>
        <w:spacing w:after="60" w:line="27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حارس العاصفة: كل العناوين ساقطة برفضٍ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&lt;150ms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= الفاحص خارج الشبكة ← لا كتابة ولا إنذارات. عدا ذلك تُكتب الحقيقة ولو كانت ١٠٠٪ غير متصلة.</w:t>
      </w:r>
    </w:p>
    <w:p>
      <w:pPr>
        <w:pStyle w:val="ListParagraph"/>
        <w:numPr>
          <w:ilvl w:val="0"/>
          <w:numId w:val="2"/>
        </w:numPr>
        <w:bidi/>
        <w:spacing w:after="60" w:line="27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الإنذار: فاصل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≥10min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← حدث جرسٍ مرة لكل انقطاع + إشعار عودة. التحليلات: خمس بطاقات، قائمة زيارة مجمّعة بالنقطة مع تصدير، متذبذب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≥3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/اليوم، وهستوجرام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24h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بذروة مميزة.</w:t>
      </w:r>
    </w:p>
    <w:tbl>
      <w:tblPr>
        <w:bidiVisual/>
        <w:tblW w:type="dxa" w:w="9200"/>
        <w:tblBorders>
          <w:top w:val="none"/>
          <w:left w:val="none"/>
          <w:bottom w:val="none"/>
          <w:right w:val="none"/>
          <w:insideH w:val="none"/>
          <w:insideV w:val="none"/>
        </w:tblBorders>
      </w:tblPr>
      <w:tblGrid>
        <w:gridCol w:w="1600"/>
        <w:gridCol w:w="300"/>
        <w:gridCol w:w="1600"/>
        <w:gridCol w:w="300"/>
        <w:gridCol w:w="1600"/>
        <w:gridCol w:w="300"/>
        <w:gridCol w:w="1600"/>
        <w:gridCol w:w="300"/>
        <w:gridCol w:w="1600"/>
      </w:tblGrid>
      <w:tr>
        <w:tc>
          <w:tcPr>
            <w:tcW w:type="dxa" w:w="1600"/>
            <w:tcBorders>
              <w:top w:val="single" w:color="C9A24B" w:sz="8"/>
              <w:left w:val="single" w:color="C9A24B" w:sz="8"/>
              <w:bottom w:val="single" w:color="C9A24B" w:sz="8"/>
              <w:right w:val="single" w:color="C9A24B" w:sz="8"/>
            </w:tcBorders>
            <w:shd w:fill="F6F1E4" w:val="clear"/>
            <w:tcMar>
              <w:top w:type="dxa" w:w="90"/>
              <w:left w:type="dxa" w:w="60"/>
              <w:bottom w:type="dxa" w:w="90"/>
              <w:right w:type="dxa" w:w="6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تسجيل العناوين</w:t>
            </w:r>
          </w:p>
        </w:tc>
        <w:tc>
          <w:tcPr>
            <w:tcW w:type="dxa" w:w="300"/>
            <w:tcBorders>
              <w:top w:val="none"/>
              <w:left w:val="none"/>
              <w:bottom w:val="none"/>
              <w:right w:val="none"/>
            </w:tcBorders>
            <w:tcMar>
              <w:top w:type="dxa" w:w="90"/>
              <w:bottom w:type="dxa" w:w="9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8C6D1F"/>
                <w:sz w:val="20"/>
                <w:szCs w:val="20"/>
              </w:rPr>
              <w:t xml:space="preserve">←</w:t>
            </w:r>
          </w:p>
        </w:tc>
        <w:tc>
          <w:tcPr>
            <w:tcW w:type="dxa" w:w="1600"/>
            <w:tcBorders>
              <w:top w:val="single" w:color="C9A24B" w:sz="8"/>
              <w:left w:val="single" w:color="C9A24B" w:sz="8"/>
              <w:bottom w:val="single" w:color="C9A24B" w:sz="8"/>
              <w:right w:val="single" w:color="C9A24B" w:sz="8"/>
            </w:tcBorders>
            <w:shd w:fill="F6F1E4" w:val="clear"/>
            <w:tcMar>
              <w:top w:type="dxa" w:w="90"/>
              <w:left w:type="dxa" w:w="60"/>
              <w:bottom w:type="dxa" w:w="90"/>
              <w:right w:type="dxa" w:w="6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فحص كل ٥ دقائق</w:t>
            </w:r>
          </w:p>
        </w:tc>
        <w:tc>
          <w:tcPr>
            <w:tcW w:type="dxa" w:w="300"/>
            <w:tcBorders>
              <w:top w:val="none"/>
              <w:left w:val="none"/>
              <w:bottom w:val="none"/>
              <w:right w:val="none"/>
            </w:tcBorders>
            <w:tcMar>
              <w:top w:type="dxa" w:w="90"/>
              <w:bottom w:type="dxa" w:w="9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8C6D1F"/>
                <w:sz w:val="20"/>
                <w:szCs w:val="20"/>
              </w:rPr>
              <w:t xml:space="preserve">←</w:t>
            </w:r>
          </w:p>
        </w:tc>
        <w:tc>
          <w:tcPr>
            <w:tcW w:type="dxa" w:w="1600"/>
            <w:tcBorders>
              <w:top w:val="single" w:color="C9A24B" w:sz="8"/>
              <w:left w:val="single" w:color="C9A24B" w:sz="8"/>
              <w:bottom w:val="single" w:color="C9A24B" w:sz="8"/>
              <w:right w:val="single" w:color="C9A24B" w:sz="8"/>
            </w:tcBorders>
            <w:shd w:fill="F6F1E4" w:val="clear"/>
            <w:tcMar>
              <w:top w:type="dxa" w:w="90"/>
              <w:left w:type="dxa" w:w="60"/>
              <w:bottom w:type="dxa" w:w="90"/>
              <w:right w:type="dxa" w:w="6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كتابة النبضة</w:t>
            </w:r>
          </w:p>
        </w:tc>
        <w:tc>
          <w:tcPr>
            <w:tcW w:type="dxa" w:w="300"/>
            <w:tcBorders>
              <w:top w:val="none"/>
              <w:left w:val="none"/>
              <w:bottom w:val="none"/>
              <w:right w:val="none"/>
            </w:tcBorders>
            <w:tcMar>
              <w:top w:type="dxa" w:w="90"/>
              <w:bottom w:type="dxa" w:w="9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8C6D1F"/>
                <w:sz w:val="20"/>
                <w:szCs w:val="20"/>
              </w:rPr>
              <w:t xml:space="preserve">←</w:t>
            </w:r>
          </w:p>
        </w:tc>
        <w:tc>
          <w:tcPr>
            <w:tcW w:type="dxa" w:w="1600"/>
            <w:tcBorders>
              <w:top w:val="single" w:color="C9A24B" w:sz="8"/>
              <w:left w:val="single" w:color="C9A24B" w:sz="8"/>
              <w:bottom w:val="single" w:color="C9A24B" w:sz="8"/>
              <w:right w:val="single" w:color="C9A24B" w:sz="8"/>
            </w:tcBorders>
            <w:shd w:fill="F6F1E4" w:val="clear"/>
            <w:tcMar>
              <w:top w:type="dxa" w:w="90"/>
              <w:left w:type="dxa" w:w="60"/>
              <w:bottom w:type="dxa" w:w="90"/>
              <w:right w:type="dxa" w:w="6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إنذار ≥١٠ دقائق</w:t>
            </w:r>
          </w:p>
        </w:tc>
        <w:tc>
          <w:tcPr>
            <w:tcW w:type="dxa" w:w="300"/>
            <w:tcBorders>
              <w:top w:val="none"/>
              <w:left w:val="none"/>
              <w:bottom w:val="none"/>
              <w:right w:val="none"/>
            </w:tcBorders>
            <w:tcMar>
              <w:top w:type="dxa" w:w="90"/>
              <w:bottom w:type="dxa" w:w="9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8C6D1F"/>
                <w:sz w:val="20"/>
                <w:szCs w:val="20"/>
              </w:rPr>
              <w:t xml:space="preserve">←</w:t>
            </w:r>
          </w:p>
        </w:tc>
        <w:tc>
          <w:tcPr>
            <w:tcW w:type="dxa" w:w="1600"/>
            <w:tcBorders>
              <w:top w:val="single" w:color="C9A24B" w:sz="8"/>
              <w:left w:val="single" w:color="C9A24B" w:sz="8"/>
              <w:bottom w:val="single" w:color="C9A24B" w:sz="8"/>
              <w:right w:val="single" w:color="C9A24B" w:sz="8"/>
            </w:tcBorders>
            <w:shd w:fill="F6F1E4" w:val="clear"/>
            <w:tcMar>
              <w:top w:type="dxa" w:w="90"/>
              <w:left w:type="dxa" w:w="60"/>
              <w:bottom w:type="dxa" w:w="90"/>
              <w:right w:type="dxa" w:w="6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قائمة زيارة</w:t>
            </w:r>
          </w:p>
        </w:tc>
      </w:tr>
    </w:tbl>
    <w:p>
      <w:pPr>
        <w:bidi/>
        <w:spacing w:after="170" w:before="70"/>
        <w:jc w:val="center"/>
      </w:pPr>
      <w:r>
        <w:rPr>
          <w:rFonts w:ascii="Tahoma" w:cs="Tahoma" w:eastAsia="Tahoma" w:hAnsi="Tahoma"/>
          <w:b w:val="false"/>
          <w:bCs w:val="false"/>
          <w:color w:val="5A6068"/>
          <w:sz w:val="16"/>
          <w:szCs w:val="16"/>
          <w:rtl/>
        </w:rPr>
        <w:t xml:space="preserve">شكل ٤ — سلسلة المراقبة الصحية من العنوان المسجّل إلى أمر الزيارة الميدانية</w:t>
      </w:r>
    </w:p>
    <w:p>
      <w:pPr>
        <w:pStyle w:val="Heading1"/>
        <w:bidi/>
        <w:spacing w:after="130" w:before="260"/>
        <w:jc w:val="start"/>
      </w:pPr>
      <w:r>
        <w:rPr>
          <w:rFonts w:ascii="Tahoma" w:cs="Tahoma" w:eastAsia="Tahoma" w:hAnsi="Tahoma"/>
          <w:b/>
          <w:bCs/>
          <w:color w:val="8C6D1F"/>
          <w:sz w:val="27"/>
          <w:szCs w:val="27"/>
          <w:rtl/>
        </w:rPr>
        <w:t xml:space="preserve">١٠. النظام الفرعي: الفك بعد الموسم</w:t>
      </w:r>
    </w:p>
    <w:p>
      <w:pPr>
        <w:pStyle w:val="ListParagraph"/>
        <w:numPr>
          <w:ilvl w:val="0"/>
          <w:numId w:val="2"/>
        </w:numPr>
        <w:bidi/>
        <w:spacing w:after="60" w:line="27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البوابة: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recs.fstat==='blocked' || inss.status==='مُركّب'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— وما جُدول يبقى. آلة الحالات على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inss.dis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: (غياب) ← مجدول ← تم، مع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cond∈{سليم،تالف}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. الجدولة والإلغاء للإدارة، والتأكيد للميدان والإدارة، والوزارة نصٌّ بلا أفعال.</w:t>
      </w:r>
    </w:p>
    <w:p>
      <w:pPr>
        <w:pStyle w:val="ListParagraph"/>
        <w:numPr>
          <w:ilvl w:val="0"/>
          <w:numId w:val="2"/>
        </w:numPr>
        <w:bidi/>
        <w:spacing w:after="60" w:line="27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الإظهار: نافذة النقطة، لونا الخريطة (برتقالي مجدول / بنفسجي تم)، «جدولي» بوسم 🔧، قسم وزاري بشريط «فُكّ من المُركّب» وسجلٌّ يُصدَّر بعشرة أعمدة — وكل خطوة حدثٌ إلحاقي.</w:t>
      </w:r>
    </w:p>
    <w:tbl>
      <w:tblPr>
        <w:bidiVisual/>
        <w:tblW w:type="dxa" w:w="9200"/>
        <w:tblBorders>
          <w:top w:val="none"/>
          <w:left w:val="none"/>
          <w:bottom w:val="none"/>
          <w:right w:val="none"/>
          <w:insideH w:val="none"/>
          <w:insideV w:val="none"/>
        </w:tblBorders>
      </w:tblPr>
      <w:tblGrid>
        <w:gridCol w:w="1600"/>
        <w:gridCol w:w="300"/>
        <w:gridCol w:w="1600"/>
        <w:gridCol w:w="300"/>
        <w:gridCol w:w="1600"/>
        <w:gridCol w:w="300"/>
        <w:gridCol w:w="1600"/>
        <w:gridCol w:w="300"/>
        <w:gridCol w:w="1600"/>
      </w:tblGrid>
      <w:tr>
        <w:tc>
          <w:tcPr>
            <w:tcW w:type="dxa" w:w="1600"/>
            <w:tcBorders>
              <w:top w:val="single" w:color="C9A24B" w:sz="8"/>
              <w:left w:val="single" w:color="C9A24B" w:sz="8"/>
              <w:bottom w:val="single" w:color="C9A24B" w:sz="8"/>
              <w:right w:val="single" w:color="C9A24B" w:sz="8"/>
            </w:tcBorders>
            <w:shd w:fill="F6F1E4" w:val="clear"/>
            <w:tcMar>
              <w:top w:type="dxa" w:w="90"/>
              <w:left w:type="dxa" w:w="60"/>
              <w:bottom w:type="dxa" w:w="90"/>
              <w:right w:type="dxa" w:w="6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مُركّب</w:t>
            </w:r>
          </w:p>
        </w:tc>
        <w:tc>
          <w:tcPr>
            <w:tcW w:type="dxa" w:w="300"/>
            <w:tcBorders>
              <w:top w:val="none"/>
              <w:left w:val="none"/>
              <w:bottom w:val="none"/>
              <w:right w:val="none"/>
            </w:tcBorders>
            <w:tcMar>
              <w:top w:type="dxa" w:w="90"/>
              <w:bottom w:type="dxa" w:w="9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8C6D1F"/>
                <w:sz w:val="20"/>
                <w:szCs w:val="20"/>
              </w:rPr>
              <w:t xml:space="preserve">←</w:t>
            </w:r>
          </w:p>
        </w:tc>
        <w:tc>
          <w:tcPr>
            <w:tcW w:type="dxa" w:w="1600"/>
            <w:tcBorders>
              <w:top w:val="single" w:color="C9A24B" w:sz="8"/>
              <w:left w:val="single" w:color="C9A24B" w:sz="8"/>
              <w:bottom w:val="single" w:color="C9A24B" w:sz="8"/>
              <w:right w:val="single" w:color="C9A24B" w:sz="8"/>
            </w:tcBorders>
            <w:shd w:fill="F6F1E4" w:val="clear"/>
            <w:tcMar>
              <w:top w:type="dxa" w:w="90"/>
              <w:left w:type="dxa" w:w="60"/>
              <w:bottom w:type="dxa" w:w="90"/>
              <w:right w:type="dxa" w:w="6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فك مجدول</w:t>
            </w:r>
          </w:p>
        </w:tc>
        <w:tc>
          <w:tcPr>
            <w:tcW w:type="dxa" w:w="300"/>
            <w:tcBorders>
              <w:top w:val="none"/>
              <w:left w:val="none"/>
              <w:bottom w:val="none"/>
              <w:right w:val="none"/>
            </w:tcBorders>
            <w:tcMar>
              <w:top w:type="dxa" w:w="90"/>
              <w:bottom w:type="dxa" w:w="9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8C6D1F"/>
                <w:sz w:val="20"/>
                <w:szCs w:val="20"/>
              </w:rPr>
              <w:t xml:space="preserve">←</w:t>
            </w:r>
          </w:p>
        </w:tc>
        <w:tc>
          <w:tcPr>
            <w:tcW w:type="dxa" w:w="1600"/>
            <w:tcBorders>
              <w:top w:val="single" w:color="C9A24B" w:sz="8"/>
              <w:left w:val="single" w:color="C9A24B" w:sz="8"/>
              <w:bottom w:val="single" w:color="C9A24B" w:sz="8"/>
              <w:right w:val="single" w:color="C9A24B" w:sz="8"/>
            </w:tcBorders>
            <w:shd w:fill="F6F1E4" w:val="clear"/>
            <w:tcMar>
              <w:top w:type="dxa" w:w="90"/>
              <w:left w:type="dxa" w:w="60"/>
              <w:bottom w:type="dxa" w:w="90"/>
              <w:right w:type="dxa" w:w="6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تنفيذ ميداني</w:t>
            </w:r>
          </w:p>
        </w:tc>
        <w:tc>
          <w:tcPr>
            <w:tcW w:type="dxa" w:w="300"/>
            <w:tcBorders>
              <w:top w:val="none"/>
              <w:left w:val="none"/>
              <w:bottom w:val="none"/>
              <w:right w:val="none"/>
            </w:tcBorders>
            <w:tcMar>
              <w:top w:type="dxa" w:w="90"/>
              <w:bottom w:type="dxa" w:w="9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8C6D1F"/>
                <w:sz w:val="20"/>
                <w:szCs w:val="20"/>
              </w:rPr>
              <w:t xml:space="preserve">←</w:t>
            </w:r>
          </w:p>
        </w:tc>
        <w:tc>
          <w:tcPr>
            <w:tcW w:type="dxa" w:w="1600"/>
            <w:tcBorders>
              <w:top w:val="single" w:color="C9A24B" w:sz="8"/>
              <w:left w:val="single" w:color="C9A24B" w:sz="8"/>
              <w:bottom w:val="single" w:color="C9A24B" w:sz="8"/>
              <w:right w:val="single" w:color="C9A24B" w:sz="8"/>
            </w:tcBorders>
            <w:shd w:fill="F6F1E4" w:val="clear"/>
            <w:tcMar>
              <w:top w:type="dxa" w:w="90"/>
              <w:left w:type="dxa" w:w="60"/>
              <w:bottom w:type="dxa" w:w="90"/>
              <w:right w:type="dxa" w:w="6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سليم أو تالف</w:t>
            </w:r>
          </w:p>
        </w:tc>
        <w:tc>
          <w:tcPr>
            <w:tcW w:type="dxa" w:w="300"/>
            <w:tcBorders>
              <w:top w:val="none"/>
              <w:left w:val="none"/>
              <w:bottom w:val="none"/>
              <w:right w:val="none"/>
            </w:tcBorders>
            <w:tcMar>
              <w:top w:type="dxa" w:w="90"/>
              <w:bottom w:type="dxa" w:w="9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8C6D1F"/>
                <w:sz w:val="20"/>
                <w:szCs w:val="20"/>
              </w:rPr>
              <w:t xml:space="preserve">←</w:t>
            </w:r>
          </w:p>
        </w:tc>
        <w:tc>
          <w:tcPr>
            <w:tcW w:type="dxa" w:w="1600"/>
            <w:tcBorders>
              <w:top w:val="single" w:color="C9A24B" w:sz="8"/>
              <w:left w:val="single" w:color="C9A24B" w:sz="8"/>
              <w:bottom w:val="single" w:color="C9A24B" w:sz="8"/>
              <w:right w:val="single" w:color="C9A24B" w:sz="8"/>
            </w:tcBorders>
            <w:shd w:fill="F6F1E4" w:val="clear"/>
            <w:tcMar>
              <w:top w:type="dxa" w:w="90"/>
              <w:left w:type="dxa" w:w="60"/>
              <w:bottom w:type="dxa" w:w="90"/>
              <w:right w:type="dxa" w:w="6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سجل الفك</w:t>
            </w:r>
          </w:p>
        </w:tc>
      </w:tr>
    </w:tbl>
    <w:p>
      <w:pPr>
        <w:bidi/>
        <w:spacing w:after="170" w:before="70"/>
        <w:jc w:val="center"/>
      </w:pPr>
      <w:r>
        <w:rPr>
          <w:rFonts w:ascii="Tahoma" w:cs="Tahoma" w:eastAsia="Tahoma" w:hAnsi="Tahoma"/>
          <w:b w:val="false"/>
          <w:bCs w:val="false"/>
          <w:color w:val="5A6068"/>
          <w:sz w:val="16"/>
          <w:szCs w:val="16"/>
          <w:rtl/>
        </w:rPr>
        <w:t xml:space="preserve">شكل ٥ — آلة حالات الفك: لا جدولةَ إلا لنقطة مُركّبة، ولا يُغلق سجلٌّ بلا حالة جهاز موثقة</w:t>
      </w:r>
    </w:p>
    <w:p>
      <w:pPr>
        <w:pStyle w:val="Heading1"/>
        <w:bidi/>
        <w:spacing w:after="130" w:before="260"/>
        <w:jc w:val="start"/>
      </w:pPr>
      <w:r>
        <w:rPr>
          <w:rFonts w:ascii="Tahoma" w:cs="Tahoma" w:eastAsia="Tahoma" w:hAnsi="Tahoma"/>
          <w:b/>
          <w:bCs/>
          <w:color w:val="8C6D1F"/>
          <w:sz w:val="27"/>
          <w:szCs w:val="27"/>
          <w:rtl/>
        </w:rPr>
        <w:t xml:space="preserve">١١. اللوحة والتصديرات</w:t>
      </w:r>
    </w:p>
    <w:p>
      <w:pPr>
        <w:pStyle w:val="ListParagraph"/>
        <w:numPr>
          <w:ilvl w:val="0"/>
          <w:numId w:val="2"/>
        </w:numPr>
        <w:bidi/>
        <w:spacing w:after="60" w:line="27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اللوحة ٢٣ قسمًا في أربعة تبويبات تُرشَّح بالدور عبر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tabsFor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: الوزارة والمشرف «متابعة» فقط، والإدارة كاملة. كل العدادات تمر بعين واحدة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vst()/st()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— فلا تناقض بين شاشتين.</w:t>
      </w:r>
    </w:p>
    <w:p>
      <w:pPr>
        <w:pStyle w:val="ListParagraph"/>
        <w:numPr>
          <w:ilvl w:val="0"/>
          <w:numId w:val="2"/>
        </w:numPr>
        <w:bidi/>
        <w:spacing w:after="60" w:line="27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التصديرات بنية موحدة: صفوف تُجمع وقت الرسم ←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aoa_to_sheet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← ملف باسمٍ عربي — أربعة عشر تصديرًا موزّعة كما في دليل النظام، أبرزها للإدارة: أداء المشرفين وسجل الفك وحركة العُهدة، وللوزارة الملخص التنفيذي، وللمشرف جدولي.</w:t>
      </w:r>
    </w:p>
    <w:p>
      <w:pPr>
        <w:pStyle w:val="Heading1"/>
        <w:bidi/>
        <w:spacing w:after="130" w:before="260"/>
        <w:jc w:val="start"/>
      </w:pPr>
      <w:r>
        <w:rPr>
          <w:rFonts w:ascii="Tahoma" w:cs="Tahoma" w:eastAsia="Tahoma" w:hAnsi="Tahoma"/>
          <w:b/>
          <w:bCs/>
          <w:color w:val="8C6D1F"/>
          <w:sz w:val="27"/>
          <w:szCs w:val="27"/>
          <w:rtl/>
        </w:rPr>
        <w:t xml:space="preserve">١٢. ملفات المستودع — خريطة كاملة</w:t>
      </w:r>
    </w:p>
    <w:tbl>
      <w:tblPr>
        <w:bidiVisual/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450"/>
        <w:gridCol w:w="5910"/>
      </w:tblGrid>
      <w:tr>
        <w:tc>
          <w:tcPr>
            <w:tcW w:type="dxa" w:w="3450"/>
            <w:shd w:fill="F2ECDD" w:val="clear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الملف</w:t>
            </w:r>
          </w:p>
        </w:tc>
        <w:tc>
          <w:tcPr>
            <w:tcW w:type="dxa" w:w="5910"/>
            <w:shd w:fill="F2ECDD" w:val="clear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دوره</w:t>
            </w:r>
          </w:p>
        </w:tc>
      </w:tr>
      <w:tr>
        <w:tc>
          <w:tcPr>
            <w:tcW w:type="dxa" w:w="345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index.html</w:t>
            </w:r>
          </w:p>
        </w:tc>
        <w:tc>
          <w:tcPr>
            <w:tcW w:type="dxa" w:w="591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التطبيق كاملًا: واجهات، لوحة، محرك لغات، محرك مزامنة</w:t>
            </w:r>
          </w:p>
        </w:tc>
      </w:tr>
      <w:tr>
        <w:tc>
          <w:tcPr>
            <w:tcW w:type="dxa" w:w="345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sw.js</w:t>
            </w:r>
          </w:p>
        </w:tc>
        <w:tc>
          <w:tcPr>
            <w:tcW w:type="dxa" w:w="591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قشرة الأوفلاين والتحديث الذاتي بكاش باسم النسخة</w:t>
            </w:r>
          </w:p>
        </w:tc>
      </w:tr>
      <w:tr>
        <w:tc>
          <w:tcPr>
            <w:tcW w:type="dxa" w:w="345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firestore.rules</w:t>
            </w:r>
          </w:p>
        </w:tc>
        <w:tc>
          <w:tcPr>
            <w:tcW w:type="dxa" w:w="591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حدّ الأمان لكل مجموعة — تُنشر آليًا مع الدفع</w:t>
            </w:r>
          </w:p>
        </w:tc>
      </w:tr>
      <w:tr>
        <w:tc>
          <w:tcPr>
            <w:tcW w:type="dxa" w:w="345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tools/prober.html</w:t>
            </w:r>
          </w:p>
        </w:tc>
        <w:tc>
          <w:tcPr>
            <w:tcW w:type="dxa" w:w="591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أداة الصحة بوضعيها (عرض/فحص) وتصديرها</w:t>
            </w:r>
          </w:p>
        </w:tc>
      </w:tr>
      <w:tr>
        <w:tc>
          <w:tcPr>
            <w:tcW w:type="dxa" w:w="345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scripts/check-version.mjs</w:t>
            </w:r>
          </w:p>
        </w:tc>
        <w:tc>
          <w:tcPr>
            <w:tcW w:type="dxa" w:w="591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الحارس: تطابق نسخ الملفات، توازن أقسام اللوحة وتغطيتها، صيغة كل كتل الكود والأداة، ومنع المراجع العابرة</w:t>
            </w:r>
          </w:p>
        </w:tc>
      </w:tr>
      <w:tr>
        <w:tc>
          <w:tcPr>
            <w:tcW w:type="dxa" w:w="345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.github/workflows/</w:t>
            </w:r>
          </w:p>
        </w:tc>
        <w:tc>
          <w:tcPr>
            <w:tcW w:type="dxa" w:w="591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فحص التوثيق مع كل دفعة · نشر القواعد · النسخ الليلي (يتطلب سرّ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BACKUP_KEY</w:t>
            </w: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)</w:t>
            </w:r>
          </w:p>
        </w:tc>
      </w:tr>
      <w:tr>
        <w:tc>
          <w:tcPr>
            <w:tcW w:type="dxa" w:w="345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docs/system.md</w:t>
            </w:r>
          </w:p>
        </w:tc>
        <w:tc>
          <w:tcPr>
            <w:tcW w:type="dxa" w:w="591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سجل الإصدارات صفًّا لكل نسخة بجذر كل عطل وقراره</w:t>
            </w:r>
          </w:p>
        </w:tc>
      </w:tr>
      <w:tr>
        <w:tc>
          <w:tcPr>
            <w:tcW w:type="dxa" w:w="345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docs/nusuk-system-Vx.y.docx/.pdf</w:t>
            </w:r>
          </w:p>
        </w:tc>
        <w:tc>
          <w:tcPr>
            <w:tcW w:type="dxa" w:w="591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هذه الوثيقة — باسم النسخة، تُعاد توليدًا بالمحتوى مع كل موجة</w:t>
            </w:r>
          </w:p>
        </w:tc>
      </w:tr>
      <w:tr>
        <w:tc>
          <w:tcPr>
            <w:tcW w:type="dxa" w:w="345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docs/nusuk-user-manual.docx/.pdf</w:t>
            </w:r>
          </w:p>
        </w:tc>
        <w:tc>
          <w:tcPr>
            <w:tcW w:type="dxa" w:w="591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دليل الاستخدام الصرف بفصلٍ لكل دور — بلا تفاصيل بناء</w:t>
            </w:r>
          </w:p>
        </w:tc>
      </w:tr>
      <w:tr>
        <w:tc>
          <w:tcPr>
            <w:tcW w:type="dxa" w:w="345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docs/nusuk-tech-spec.docx</w:t>
            </w:r>
          </w:p>
        </w:tc>
        <w:tc>
          <w:tcPr>
            <w:tcW w:type="dxa" w:w="591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مستخرجٌ مكثف سبق تسليمه لفريق التطوير</w:t>
            </w:r>
          </w:p>
        </w:tc>
      </w:tr>
      <w:tr>
        <w:tc>
          <w:tcPr>
            <w:tcW w:type="dxa" w:w="345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docs/product.md · nusuk-product-owner.docx</w:t>
            </w:r>
          </w:p>
        </w:tc>
        <w:tc>
          <w:tcPr>
            <w:tcW w:type="dxa" w:w="591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الرؤية والخارطة · وثيقة الأعمال للإدارة</w:t>
            </w:r>
          </w:p>
        </w:tc>
      </w:tr>
      <w:tr>
        <w:tc>
          <w:tcPr>
            <w:tcW w:type="dxa" w:w="345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docs/api-schema.json</w:t>
            </w:r>
          </w:p>
        </w:tc>
        <w:tc>
          <w:tcPr>
            <w:tcW w:type="dxa" w:w="591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مخطط الواجهات للتكامل بسجل نسخ آلي</w:t>
            </w:r>
          </w:p>
        </w:tc>
      </w:tr>
      <w:tr>
        <w:tc>
          <w:tcPr>
            <w:tcW w:type="dxa" w:w="345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docs/afaqy-api.md</w:t>
            </w:r>
          </w:p>
        </w:tc>
        <w:tc>
          <w:tcPr>
            <w:tcW w:type="dxa" w:w="591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مرجع أفاقي الحي — يُقرأ ويُحدَّث قبل أي تكامل</w:t>
            </w:r>
          </w:p>
        </w:tc>
      </w:tr>
      <w:tr>
        <w:tc>
          <w:tcPr>
            <w:tcW w:type="dxa" w:w="345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tools/claude-skill/</w:t>
            </w:r>
          </w:p>
        </w:tc>
        <w:tc>
          <w:tcPr>
            <w:tcW w:type="dxa" w:w="591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مهارات العمل الخمس (الدستور والأدوار الأربعة)</w:t>
            </w:r>
          </w:p>
        </w:tc>
      </w:tr>
      <w:tr>
        <w:tc>
          <w:tcPr>
            <w:tcW w:type="dxa" w:w="345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.gitignore</w:t>
            </w:r>
          </w:p>
        </w:tc>
        <w:tc>
          <w:tcPr>
            <w:tcW w:type="dxa" w:w="591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منع ملفات توقيع أندرويد والحزم من المستودع العام</w:t>
            </w:r>
          </w:p>
        </w:tc>
      </w:tr>
    </w:tbl>
    <w:p>
      <w:pPr>
        <w:pStyle w:val="Heading1"/>
        <w:bidi/>
        <w:spacing w:after="130" w:before="260"/>
        <w:jc w:val="start"/>
      </w:pPr>
      <w:r>
        <w:rPr>
          <w:rFonts w:ascii="Tahoma" w:cs="Tahoma" w:eastAsia="Tahoma" w:hAnsi="Tahoma"/>
          <w:b/>
          <w:bCs/>
          <w:color w:val="8C6D1F"/>
          <w:sz w:val="27"/>
          <w:szCs w:val="27"/>
          <w:rtl/>
        </w:rPr>
        <w:t xml:space="preserve">١٣. الحوكمة الآلية ودورة الإصدار</w:t>
      </w:r>
    </w:p>
    <w:p>
      <w:pPr>
        <w:pStyle w:val="ListParagraph"/>
        <w:numPr>
          <w:ilvl w:val="0"/>
          <w:numId w:val="2"/>
        </w:numPr>
        <w:bidi/>
        <w:spacing w:after="60" w:line="27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قيد الملفات الموحّد بكل دفعة: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index.html · sw.js · api-schema.json · system.md · nusuk-system-V*.docx · nusuk-user-manual.docx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برقمٍ واحد — واسم وثيقة النظام نفسه يحمل الرقم ويُطابقه الحارس.</w:t>
      </w:r>
    </w:p>
    <w:p>
      <w:pPr>
        <w:pStyle w:val="ListParagraph"/>
        <w:numPr>
          <w:ilvl w:val="0"/>
          <w:numId w:val="2"/>
        </w:numPr>
        <w:bidi/>
        <w:spacing w:after="60" w:line="27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دورة الإصدار: سحبٌ ← استطلاع بمراسٍ حية ← ترقيع جراحي بتأكيد التفرد ← فحص صيغة كل كتلة ← ختم النسخة أول ظهور ← مزامنة الملفات ← الحارس ظاهر المخرجات ← دفعٌ بوصفٍ عربي يشرح السبب. الرقم يرتفع مع كل تغيير ولو تجميليًا.</w:t>
      </w:r>
    </w:p>
    <w:p>
      <w:pPr>
        <w:pStyle w:val="ListParagraph"/>
        <w:numPr>
          <w:ilvl w:val="0"/>
          <w:numId w:val="2"/>
        </w:numPr>
        <w:bidi/>
        <w:spacing w:after="60" w:line="27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قواعد مؤسسية: الأزرار الحساسة مقفولة افتراضيًا في الهيكل والدور يكشفها · الأزرار تُربط في التهيئة لا داخل الرسم · وثائق المحتوى تُعاد توليدًا لا ختمًا · كل صفحة تُفتح في تبويب لها ✕ ورجوع.</w:t>
      </w:r>
    </w:p>
    <w:p>
      <w:pPr>
        <w:pStyle w:val="Heading1"/>
        <w:bidi/>
        <w:spacing w:after="130" w:before="260"/>
        <w:jc w:val="start"/>
      </w:pPr>
      <w:r>
        <w:rPr>
          <w:rFonts w:ascii="Tahoma" w:cs="Tahoma" w:eastAsia="Tahoma" w:hAnsi="Tahoma"/>
          <w:b/>
          <w:bCs/>
          <w:color w:val="8C6D1F"/>
          <w:sz w:val="27"/>
          <w:szCs w:val="27"/>
          <w:rtl/>
        </w:rPr>
        <w:t xml:space="preserve">١٤. القيود والمقايضات — معلنة</w:t>
      </w:r>
    </w:p>
    <w:tbl>
      <w:tblPr>
        <w:bidiVisual/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300"/>
        <w:gridCol w:w="3400"/>
        <w:gridCol w:w="3660"/>
      </w:tblGrid>
      <w:tr>
        <w:tc>
          <w:tcPr>
            <w:tcW w:type="dxa" w:w="2300"/>
            <w:shd w:fill="F2ECDD" w:val="clear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القيد</w:t>
            </w:r>
          </w:p>
        </w:tc>
        <w:tc>
          <w:tcPr>
            <w:tcW w:type="dxa" w:w="3400"/>
            <w:shd w:fill="F2ECDD" w:val="clear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السبب/الأثر</w:t>
            </w:r>
          </w:p>
        </w:tc>
        <w:tc>
          <w:tcPr>
            <w:tcW w:type="dxa" w:w="3660"/>
            <w:shd w:fill="F2ECDD" w:val="clear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الإدارة</w:t>
            </w:r>
          </w:p>
        </w:tc>
      </w:tr>
      <w:tr>
        <w:tc>
          <w:tcPr>
            <w:tcW w:type="dxa" w:w="230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حصص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Spark</w:t>
            </w:r>
          </w:p>
        </w:tc>
        <w:tc>
          <w:tcPr>
            <w:tcW w:type="dxa" w:w="340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سقف يومي للقراءة والكتابة</w:t>
            </w:r>
          </w:p>
        </w:tc>
        <w:tc>
          <w:tcPr>
            <w:tcW w:type="dxa" w:w="366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معمارية خفيفة الكتابة؛ الترقية قرار دقيقة</w:t>
            </w:r>
          </w:p>
        </w:tc>
      </w:tr>
      <w:tr>
        <w:tc>
          <w:tcPr>
            <w:tcW w:type="dxa" w:w="230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صور داخل الوثائق</w:t>
            </w:r>
          </w:p>
        </w:tc>
        <w:tc>
          <w:tcPr>
            <w:tcW w:type="dxa" w:w="340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نموّ حجم السجلات</w:t>
            </w:r>
          </w:p>
        </w:tc>
        <w:tc>
          <w:tcPr>
            <w:tcW w:type="dxa" w:w="366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حارس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980KB</w:t>
            </w: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 ووثيقة لكل لقطة؛ التحميل عند الطلب بند خارطة</w:t>
            </w:r>
          </w:p>
        </w:tc>
      </w:tr>
      <w:tr>
        <w:tc>
          <w:tcPr>
            <w:tcW w:type="dxa" w:w="230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واتساب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wa.me</w:t>
            </w:r>
          </w:p>
        </w:tc>
        <w:tc>
          <w:tcPr>
            <w:tcW w:type="dxa" w:w="340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فتح مُعبّأ لا إرسال خادمي</w:t>
            </w:r>
          </w:p>
        </w:tc>
        <w:tc>
          <w:tcPr>
            <w:tcW w:type="dxa" w:w="366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Business API</w:t>
            </w: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 بند مخطط</w:t>
            </w:r>
          </w:p>
        </w:tc>
      </w:tr>
      <w:tr>
        <w:tc>
          <w:tcPr>
            <w:tcW w:type="dxa" w:w="230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الفحص يتطلب جهاز شبكة</w:t>
            </w:r>
          </w:p>
        </w:tc>
        <w:tc>
          <w:tcPr>
            <w:tcW w:type="dxa" w:w="340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Mixed Content</w:t>
            </w: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 يمنع الفحص من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https</w:t>
            </w:r>
          </w:p>
        </w:tc>
        <w:tc>
          <w:tcPr>
            <w:tcW w:type="dxa" w:w="366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كشف وضع ذاتي + تنزيل محلي + حارس عاصفة</w:t>
            </w:r>
          </w:p>
        </w:tc>
      </w:tr>
      <w:tr>
        <w:tc>
          <w:tcPr>
            <w:tcW w:type="dxa" w:w="230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سرّ النسخ الليلي</w:t>
            </w:r>
          </w:p>
        </w:tc>
        <w:tc>
          <w:tcPr>
            <w:tcW w:type="dxa" w:w="340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بدونه تُحفظ أعدادٌ بلا بيانات</w:t>
            </w:r>
          </w:p>
        </w:tc>
        <w:tc>
          <w:tcPr>
            <w:tcW w:type="dxa" w:w="366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ضبط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BACKUP_KEY</w:t>
            </w: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 يدويًا في إعدادات المستودع — بند مفتوح</w:t>
            </w:r>
          </w:p>
        </w:tc>
      </w:tr>
    </w:tbl>
    <w:p>
      <w:pPr>
        <w:bidi/>
        <w:spacing w:after="170" w:line="28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</w:t>
      </w:r>
    </w:p>
    <w:p>
      <w:pPr>
        <w:bidi/>
        <w:jc w:val="center"/>
      </w:pPr>
      <w:r>
        <w:rPr>
          <w:rFonts w:ascii="Tahoma" w:cs="Tahoma" w:eastAsia="Tahoma" w:hAnsi="Tahoma"/>
          <w:b w:val="false"/>
          <w:bCs w:val="false"/>
          <w:color w:val="5A6068"/>
          <w:sz w:val="16"/>
          <w:szCs w:val="16"/>
          <w:rtl/>
        </w:rPr>
        <w:t xml:space="preserve">— سجل الإصدارات التفصيلي بجذور الأعطال: docs/system.md —</w:t>
      </w:r>
    </w:p>
    <w:sectPr>
      <w:pgSz w:w="11906" w:h="16838" w:orient="portrait"/>
      <w:pgMar w:top="950" w:right="950" w:bottom="950" w:left="95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start"/>
      <w:pPr>
        <w:ind w:left="320" w:hanging="175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Tahoma" w:cs="Tahoma" w:eastAsia="Tahoma" w:hAnsi="Tahoma"/>
        <w:sz w:val="20"/>
        <w:szCs w:val="20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document.xml.rels><?xml version='1.0' encoding='UTF-8' standalone='yes'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2026-08-19T10:22:02.405Z</dcterms:created>
  <dcterms:modified xsi:type="dcterms:W3CDTF">2026-08-19T10:22:02.406Z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