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color w:val="666666"/>
          <w:sz w:val="20"/>
          <w:szCs w:val="20"/>
          <w:rtl/>
        </w:rPr>
        <w:t xml:space="preserve">قارئات نُسُك — حج ١٤٤٨هـ</w:t>
      </w:r>
    </w:p>
    <w:p>
      <w:pPr>
        <w:pStyle w:val="Heading1"/>
        <w:bidi/>
        <w:spacing w:after="120"/>
        <w:jc w:val="start"/>
      </w:pPr>
      <w:r>
        <w:rPr>
          <w:rFonts w:ascii="Arial" w:cs="Arial" w:eastAsia="Arial" w:hAnsi="Arial"/>
          <w:b/>
          <w:bCs/>
          <w:sz w:val="32"/>
          <w:szCs w:val="32"/>
          <w:rtl/>
        </w:rPr>
        <w:t xml:space="preserve">دليل المستخدم — مساعد فني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color w:val="666666"/>
          <w:sz w:val="20"/>
          <w:szCs w:val="20"/>
          <w:rtl/>
        </w:rPr>
        <w:t xml:space="preserve">النسخة V16.7 · يُولَّد من صلاحيات الدور نفسِها — فلا يصف ما لا تملك.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4"/>
          <w:szCs w:val="24"/>
          <w:rtl/>
        </w:rPr>
        <w:t xml:space="preserve">يعمل مع الفنيّ ولا يُسنَد إليه وحدَه</w:t>
      </w:r>
    </w:p>
    <w:p>
      <w:pPr>
        <w:pStyle w:val="Heading2"/>
        <w:bidi/>
        <w:spacing w:after="120"/>
        <w:jc w:val="start"/>
      </w:pPr>
      <w:r>
        <w:rPr>
          <w:rFonts w:ascii="Arial" w:cs="Arial" w:eastAsia="Arial" w:hAnsi="Arial"/>
          <w:b/>
          <w:bCs/>
          <w:sz w:val="26"/>
          <w:szCs w:val="26"/>
          <w:rtl/>
        </w:rPr>
        <w:t xml:space="preserve">ما تستطيعه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3000"/>
        <w:gridCol w:w="6000"/>
      </w:tblGrid>
      <w:tr>
        <w:trPr>
          <w:tblHeader/>
        </w:trPr>
        <w:tc>
          <w:tcPr>
            <w:tcW w:type="dxa" w:w="30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القدرة</w:t>
            </w:r>
          </w:p>
        </w:tc>
        <w:tc>
          <w:tcPr>
            <w:tcW w:type="dxa" w:w="60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تعنيه</w:t>
            </w:r>
          </w:p>
        </w:tc>
      </w:tr>
      <w:tr>
        <w:tc>
          <w:tcPr>
            <w:tcW w:type="dxa" w:w="3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edit</w:t>
            </w:r>
          </w:p>
        </w:tc>
        <w:tc>
          <w:tcPr>
            <w:tcW w:type="dxa" w:w="6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يُسجّل ويعدّل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pStyle w:val="Heading2"/>
        <w:bidi/>
        <w:spacing w:after="120"/>
        <w:jc w:val="start"/>
      </w:pPr>
      <w:r>
        <w:rPr>
          <w:rFonts w:ascii="Arial" w:cs="Arial" w:eastAsia="Arial" w:hAnsi="Arial"/>
          <w:b/>
          <w:bCs/>
          <w:sz w:val="26"/>
          <w:szCs w:val="26"/>
          <w:rtl/>
        </w:rPr>
        <w:t xml:space="preserve">شاشاتك — 11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color w:val="666666"/>
          <w:sz w:val="20"/>
          <w:szCs w:val="20"/>
          <w:rtl/>
        </w:rPr>
        <w:t xml:space="preserve">كلُّ شاشةٍ تبلغها من القائمة الجانبية، وما تفعله فيها: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4"/>
          <w:szCs w:val="24"/>
          <w:rtl/>
        </w:rPr>
        <w:t xml:space="preserve">الميدان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600"/>
        <w:gridCol w:w="6400"/>
      </w:tblGrid>
      <w:tr>
        <w:trPr>
          <w:tblHeader/>
        </w:trPr>
        <w:tc>
          <w:tcPr>
            <w:tcW w:type="dxa" w:w="2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الشاشة</w:t>
            </w:r>
          </w:p>
        </w:tc>
        <w:tc>
          <w:tcPr>
            <w:tcW w:type="dxa" w:w="6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تفعله فيها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شغلي ← مهامي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أُسند إليك — وحالةُ كلِّ زيارةٍ منها.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المواقع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الأقرب أولًا — وبحث بالشاخص.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النماذج الميدانية ← المسح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المعلوم يُراجَع ولا يُعاد إدخاله — والمطلوب ما لا يُعرف.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النماذج الميدانية ← التركيب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يُوثَّق عند إتمام التركيب — بصوره وسيرياته.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شغلي ← جدولي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أُسند إليك — وترتيبك بلا أرقام زملائك.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شغلي ← أدائي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نقاطُك وترتيبُك ومستحقُّك.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شغلي ← فريقي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من تحتك ونقاطُهم.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شغلي ← شغل فريقي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على فريقك الميداني من عمل.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4"/>
          <w:szCs w:val="24"/>
          <w:rtl/>
        </w:rPr>
        <w:t xml:space="preserve">المساعدة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600"/>
        <w:gridCol w:w="6400"/>
      </w:tblGrid>
      <w:tr>
        <w:trPr>
          <w:tblHeader/>
        </w:trPr>
        <w:tc>
          <w:tcPr>
            <w:tcW w:type="dxa" w:w="2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الشاشة</w:t>
            </w:r>
          </w:p>
        </w:tc>
        <w:tc>
          <w:tcPr>
            <w:tcW w:type="dxa" w:w="6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تفعله فيها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الأدلة ← دليل الاستخدام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دليلك أنت — بما تملكه من شاشات لا بما لا تملك.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حسابي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دورك وصلاحياتك ونسختك.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الأدلة ← دورة العمل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كلُّ دورةٍ خطوةً خطوة — من يفعل ماذا وأين، حتى الاعتماد.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color w:val="888888"/>
          <w:sz w:val="18"/>
          <w:szCs w:val="18"/>
          <w:rtl/>
        </w:rPr>
        <w:t xml:space="preserve">هذا الدليل مُولَّدٌ آليًّا من تعريف الدور في النظام — من غيّر صلاحيةً ثم أعاد التوليدَ غيّر الدليلَ معها.</w:t>
      </w:r>
    </w:p>
    <w:sectPr>
      <w:pgSz w:w="11906" w:h="16838" w:orient="portrait"/>
      <w:pgMar w:top="1134" w:right="1134" w:bottom="1134" w:left="1134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Arial" w:cs="Arial" w:eastAsia="Arial" w:hAnsi="Arial"/>
        <w:sz w:val="22"/>
        <w:szCs w:val="22"/>
      </w:rPr>
    </w:rPrDefault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2026-09-07T15:43:04.046Z</dcterms:created>
  <dcterms:modified xsi:type="dcterms:W3CDTF">2026-09-07T15:43:04.046Z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