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V38.71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V38.71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حالة التركيب بإملاء واحد: «مركب» و«مُركّب» تُعدّ واحدًا في كل الشاشات (الوزارة والمتابعة واللوحة)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V38.70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نقل زيارة حُفظت على نقطة خطأ إلى نقطتها الصحيحة (بصورها)، وصور التركيب الملغى لا تُعرض صورًا للنقطة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V38.69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دفتر المخزن يصل المكتب فعلًا (كل حركة تركيب وفك وثيقتها) + تسوية بضغطة، ولا «أول نقطة» بديلًا في النافذة وصفحة النقطة والفرق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V38.68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عاجل: النموذج بلا نقطة كان يحفظ على أول نقطة في السجل (مخيم عرفات ٠٠٠١) — وأداة إلغاء التركيب المسجّل خطأً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V38.67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التركيب تظهر فعلًا (توقيت النقل للأجهزة)، والمحادثة على النقاط المجدولة للتركيب فقط، و«سجل المحادثات» للإدارة بفلاتر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