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V37.65  ·  ١٢ أكتوبر ٢٠٢٦</w:t>
      </w:r>
    </w:p>
    <w:p>
      <w:pPr>
        <w:bidi/>
        <w:spacing w:after="120"/>
        <w:jc w:val="start"/>
      </w:pPr>
      <w:r>
        <w:rPr>
          <w:rFonts w:ascii="Arial" w:cs="Arial" w:eastAsia="Arial" w:hAnsi="Arial"/>
          <w:b w:val="false"/>
          <w:bCs w:val="false"/>
          <w:sz w:val="20"/>
          <w:szCs w:val="20"/>
          <w:rtl/>
        </w:rPr>
        <w:t xml:space="preserve">•  «تنبيهات الأسبوع» فوق ملخص متابعة الوزارة — ٣ تنبيهات بحد أقصى، وكل واحد بيفتح نافذته وإكسله: «دعم من الوزارة» (مهام جهتها الوزارة وموعدها خلال أسبوع أو فات)، و«تحتاج تنسيق مع الجهة المالكة — جديدة هذا الأسبوع»، و«جاهزة لاعتماد الوزارة». لو مفيش حاجة الشريط مش بيظهر، ومخفي في عرض القاعة.</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