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الزمن شرطًا في التقارير: زيارة/تركيب في آخر ٧ أو ٣٠ يومًا، أو زيارة أقدم من ٣٠ يومًا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