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يعتمد للوزارة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الحساسات والجيت واي</w:t>
            </w:r>
          </w:p>
        </w:tc>
        <w:tc>
          <w:tcPr>
            <w:tcW w:type="dxa" w:w="6400"/>
          </w:tcPr>
          <w:p>
            <w:pPr>
              <w:bidi/>
              <w:jc w:val="start"/>
            </w:pPr>
            <w:r>
              <w:rPr>
                <w:rFonts w:ascii="Arial" w:cs="Arial" w:eastAsia="Arial" w:hAnsi="Arial"/>
                <w:b w:val="false"/>
                <w:bCs w:val="false"/>
                <w:sz w:val="20"/>
                <w:szCs w:val="20"/>
                <w:rtl/>
              </w:rPr>
              <w:t xml:space="preserve">كلُّ جهاز: محدَّثٌ أم لا، باسم النقطة والسيريال.</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المخيمات المركزية</w:t>
            </w:r>
          </w:p>
        </w:tc>
        <w:tc>
          <w:tcPr>
            <w:tcW w:type="dxa" w:w="6400"/>
          </w:tcPr>
          <w:p>
            <w:pPr>
              <w:bidi/>
              <w:jc w:val="start"/>
            </w:pPr>
            <w:r>
              <w:rPr>
                <w:rFonts w:ascii="Arial" w:cs="Arial" w:eastAsia="Arial" w:hAnsi="Arial"/>
                <w:b w:val="false"/>
                <w:bCs w:val="false"/>
                <w:sz w:val="20"/>
                <w:szCs w:val="20"/>
                <w:rtl/>
              </w:rPr>
              <w:t xml:space="preserve">حالةُ الإشغال الحيِّ لمخيمات منى من نظام البطاقات — مطابقةً برقم القارئ.</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نظرة عامة ← المضاف يدويًا</w:t>
            </w:r>
          </w:p>
        </w:tc>
        <w:tc>
          <w:tcPr>
            <w:tcW w:type="dxa" w:w="6400"/>
          </w:tcPr>
          <w:p>
            <w:pPr>
              <w:bidi/>
              <w:jc w:val="start"/>
            </w:pPr>
            <w:r>
              <w:rPr>
                <w:rFonts w:ascii="Arial" w:cs="Arial" w:eastAsia="Arial" w:hAnsi="Arial"/>
                <w:b w:val="false"/>
                <w:bCs w:val="false"/>
                <w:sz w:val="20"/>
                <w:szCs w:val="20"/>
                <w:rtl/>
              </w:rPr>
              <w:t xml:space="preserve">ما لم يكن في ملف العام الماضي: أضافه المكتب أو الميدان أو الوزارة — بمن أضافه ومتى وأين، وحالته.</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الربط</w:t>
            </w:r>
          </w:p>
        </w:tc>
        <w:tc>
          <w:tcPr>
            <w:tcW w:type="dxa" w:w="6400"/>
          </w:tcPr>
          <w:p>
            <w:pPr>
              <w:bidi/>
              <w:jc w:val="start"/>
            </w:pPr>
            <w:r>
              <w:rPr>
                <w:rFonts w:ascii="Arial" w:cs="Arial" w:eastAsia="Arial" w:hAnsi="Arial"/>
                <w:b w:val="false"/>
                <w:bCs w:val="false"/>
                <w:sz w:val="20"/>
                <w:szCs w:val="20"/>
                <w:rtl/>
              </w:rPr>
              <w:t xml:space="preserve">حساباتُ أفاقي برو ونظام البطاقات — تُحفظ هنا ويعمل الجسرُ وحده كلَّ ٥ دقائق، وزرُّ «حدّث الآن».</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جسر نظام البطاقات</w:t>
      </w:r>
    </w:p>
    <w:p>
      <w:pPr>
        <w:bidi/>
        <w:spacing w:after="120"/>
        <w:jc w:val="start"/>
      </w:pPr>
      <w:r>
        <w:rPr>
          <w:rFonts w:ascii="Arial" w:cs="Arial" w:eastAsia="Arial" w:hAnsi="Arial"/>
          <w:b w:val="false"/>
          <w:bCs w:val="false"/>
          <w:color w:val="666666"/>
          <w:sz w:val="20"/>
          <w:szCs w:val="20"/>
          <w:rtl/>
        </w:rPr>
        <w:t xml:space="preserve">ما يبدؤها: صباحًا ومساءً في الموسم — أو حين تقول البطاقةُ «قديم: جدّده» (أكثرُ من ست ساعات)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يسحب زرَّ «جسر البطاقات» إلى شريط الإشارات المرجعية في كروم — مرةً، ومن جديدٍ بعد ربط مخيماتٍ جديدة</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موقعَ نظام البطاقات على اللاب ويسجّل الدخولَ بحسابه</w:t>
            </w:r>
          </w:p>
        </w:tc>
        <w:tc>
          <w:tcPr>
            <w:tcW w:type="dxa" w:w="2400"/>
          </w:tcPr>
          <w:p>
            <w:pPr>
              <w:bidi/>
              <w:jc w:val="start"/>
            </w:pPr>
            <w:r>
              <w:rPr>
                <w:rFonts w:ascii="Arial" w:cs="Arial" w:eastAsia="Arial" w:hAnsi="Arial"/>
                <w:b w:val="false"/>
                <w:bCs w:val="false"/>
                <w:sz w:val="20"/>
                <w:szCs w:val="20"/>
                <w:rtl/>
              </w:rPr>
              <w:t xml:space="preserve">nusukcard.net</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يضغط الإشارةَ المرجعية</w:t>
            </w:r>
          </w:p>
        </w:tc>
        <w:tc>
          <w:tcPr>
            <w:tcW w:type="dxa" w:w="2400"/>
          </w:tcPr>
          <w:p>
            <w:pPr>
              <w:bidi/>
              <w:jc w:val="start"/>
            </w:pPr>
            <w:r>
              <w:rPr>
                <w:rFonts w:ascii="Arial" w:cs="Arial" w:eastAsia="Arial" w:hAnsi="Arial"/>
                <w:b w:val="false"/>
                <w:bCs w:val="false"/>
                <w:sz w:val="20"/>
                <w:szCs w:val="20"/>
                <w:rtl/>
              </w:rPr>
              <w:t xml:space="preserve">موقع نظام البطاقات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يجمع القرّاءَ والخيامَ وإشغالَ مخيماتنا ويفتح التطبيقَ وقد اعتمدها وحفظها لكلِّ الحسابات</w:t>
            </w:r>
          </w:p>
        </w:tc>
        <w:tc>
          <w:tcPr>
            <w:tcW w:type="dxa" w:w="2400"/>
          </w:tcPr>
          <w:p>
            <w:pPr>
              <w:bidi/>
              <w:jc w:val="start"/>
            </w:pPr>
            <w:r>
              <w:rPr>
                <w:rFonts w:ascii="Arial" w:cs="Arial" w:eastAsia="Arial" w:hAnsi="Arial"/>
                <w:b w:val="false"/>
                <w:bCs w:val="false"/>
                <w:sz w:val="20"/>
                <w:szCs w:val="20"/>
                <w:rtl/>
              </w:rPr>
              <w:t xml:space="preserve">المخيمات المركزية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ترى الإشغالَ وحالةَ القرّاء بوقت آخر جسر</w:t>
            </w:r>
          </w:p>
        </w:tc>
        <w:tc>
          <w:tcPr>
            <w:tcW w:type="dxa" w:w="2400"/>
          </w:tcPr>
          <w:p>
            <w:pPr>
              <w:bidi/>
              <w:jc w:val="start"/>
            </w:pPr>
            <w:r>
              <w:rPr>
                <w:rFonts w:ascii="Arial" w:cs="Arial" w:eastAsia="Arial" w:hAnsi="Arial"/>
                <w:b w:val="false"/>
                <w:bCs w:val="false"/>
                <w:sz w:val="20"/>
                <w:szCs w:val="20"/>
                <w:rtl/>
              </w:rPr>
              <w:t xml:space="preserve">التجارب والديمو · المخيمات المركزية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التطبيقُ لا يطلب من نظام البطاقات شيئًا بنفسه — سياسةُ الصفحة تمنعه، والجسرُ هو الطريق</w:t>
      </w:r>
    </w:p>
    <w:p>
      <w:pPr>
        <w:bidi/>
        <w:spacing w:after="120"/>
        <w:jc w:val="start"/>
      </w:pPr>
      <w:r>
        <w:rPr>
          <w:rFonts w:ascii="Arial" w:cs="Arial" w:eastAsia="Arial" w:hAnsi="Arial"/>
          <w:b w:val="false"/>
          <w:bCs w:val="false"/>
          <w:sz w:val="20"/>
          <w:szCs w:val="20"/>
          <w:rtl/>
        </w:rPr>
        <w:t xml:space="preserve">⚠ بديلان: ملفُّ تصديرٍ من شاشات النظام، أو الأمرُ واللصق</w:t>
      </w:r>
    </w:p>
    <w:p>
      <w:pPr>
        <w:bidi/>
        <w:spacing w:after="120"/>
        <w:jc w:val="start"/>
      </w:pPr>
      <w:r>
        <w:rPr>
          <w:rFonts w:ascii="Arial" w:cs="Arial" w:eastAsia="Arial" w:hAnsi="Arial"/>
          <w:b w:val="false"/>
          <w:bCs w:val="false"/>
          <w:sz w:val="20"/>
          <w:szCs w:val="20"/>
          <w:rtl/>
        </w:rPr>
        <w:t xml:space="preserve">⚠ حسابُ النظام شخصيّ — بديلُه قرارٌ مسمًّى</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