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مساعد فني</w:t>
      </w:r>
    </w:p>
    <w:p>
      <w:pPr>
        <w:bidi/>
        <w:spacing w:after="120"/>
        <w:jc w:val="start"/>
      </w:pPr>
      <w:r>
        <w:rPr>
          <w:rFonts w:ascii="Arial" w:cs="Arial" w:eastAsia="Arial" w:hAnsi="Arial"/>
          <w:b w:val="false"/>
          <w:bCs w:val="false"/>
          <w:color w:val="666666"/>
          <w:sz w:val="20"/>
          <w:szCs w:val="20"/>
          <w:rtl/>
        </w:rPr>
        <w:t xml:space="preserve">النسخة V40.9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يعمل مع الفنيّ ولا يُسنَد إليه وحدَه</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propose</w:t>
            </w:r>
          </w:p>
        </w:tc>
        <w:tc>
          <w:tcPr>
            <w:tcW w:type="dxa" w:w="6000"/>
          </w:tcPr>
          <w:p>
            <w:pPr>
              <w:bidi/>
              <w:jc w:val="start"/>
            </w:pPr>
            <w:r>
              <w:rPr>
                <w:rFonts w:ascii="Arial" w:cs="Arial" w:eastAsia="Arial" w:hAnsi="Arial"/>
                <w:b w:val="false"/>
                <w:bCs w:val="false"/>
                <w:sz w:val="20"/>
                <w:szCs w:val="20"/>
                <w:rtl/>
              </w:rPr>
              <w:t xml:space="preserve">يقترح نقاطًا جديدة</w:t>
            </w:r>
          </w:p>
        </w:tc>
      </w:tr>
      <w:tr>
        <w:tc>
          <w:tcPr>
            <w:tcW w:type="dxa" w:w="3000"/>
          </w:tcPr>
          <w:p>
            <w:pPr>
              <w:bidi/>
              <w:jc w:val="start"/>
            </w:pPr>
            <w:r>
              <w:rPr>
                <w:rFonts w:ascii="Arial" w:cs="Arial" w:eastAsia="Arial" w:hAnsi="Arial"/>
                <w:b w:val="false"/>
                <w:bCs w:val="false"/>
                <w:sz w:val="20"/>
                <w:szCs w:val="20"/>
                <w:rtl/>
              </w:rPr>
              <w:t xml:space="preserve">edit</w:t>
            </w:r>
          </w:p>
        </w:tc>
        <w:tc>
          <w:tcPr>
            <w:tcW w:type="dxa" w:w="6000"/>
          </w:tcPr>
          <w:p>
            <w:pPr>
              <w:bidi/>
              <w:jc w:val="start"/>
            </w:pPr>
            <w:r>
              <w:rPr>
                <w:rFonts w:ascii="Arial" w:cs="Arial" w:eastAsia="Arial" w:hAnsi="Arial"/>
                <w:b w:val="false"/>
                <w:bCs w:val="false"/>
                <w:sz w:val="20"/>
                <w:szCs w:val="20"/>
                <w:rtl/>
              </w:rPr>
              <w:t xml:space="preserve">يُسجّل ويعدّل</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15</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شغلي ← مهامي</w:t>
            </w:r>
          </w:p>
        </w:tc>
        <w:tc>
          <w:tcPr>
            <w:tcW w:type="dxa" w:w="6400"/>
          </w:tcPr>
          <w:p>
            <w:pPr>
              <w:bidi/>
              <w:jc w:val="start"/>
            </w:pPr>
            <w:r>
              <w:rPr>
                <w:rFonts w:ascii="Arial" w:cs="Arial" w:eastAsia="Arial" w:hAnsi="Arial"/>
                <w:b w:val="false"/>
                <w:bCs w:val="false"/>
                <w:sz w:val="20"/>
                <w:szCs w:val="20"/>
                <w:rtl/>
              </w:rPr>
              <w:t xml:space="preserve">ما أُسند إليك — وحالةُ كلِّ زيارةٍ منها.</w:t>
            </w:r>
          </w:p>
        </w:tc>
      </w:tr>
      <w:tr>
        <w:tc>
          <w:tcPr>
            <w:tcW w:type="dxa" w:w="2600"/>
          </w:tcPr>
          <w:p>
            <w:pPr>
              <w:bidi/>
              <w:jc w:val="start"/>
            </w:pPr>
            <w:r>
              <w:rPr>
                <w:rFonts w:ascii="Arial" w:cs="Arial" w:eastAsia="Arial" w:hAnsi="Arial"/>
                <w:b w:val="false"/>
                <w:bCs w:val="false"/>
                <w:sz w:val="20"/>
                <w:szCs w:val="20"/>
                <w:rtl/>
              </w:rPr>
              <w:t xml:space="preserve">المحادثات ← المحادثات</w:t>
            </w:r>
          </w:p>
        </w:tc>
        <w:tc>
          <w:tcPr>
            <w:tcW w:type="dxa" w:w="6400"/>
          </w:tcPr>
          <w:p>
            <w:pPr>
              <w:bidi/>
              <w:jc w:val="start"/>
            </w:pPr>
            <w:r>
              <w:rPr>
                <w:rFonts w:ascii="Arial" w:cs="Arial" w:eastAsia="Arial" w:hAnsi="Arial"/>
                <w:b w:val="false"/>
                <w:bCs w:val="false"/>
                <w:sz w:val="20"/>
                <w:szCs w:val="20"/>
                <w:rtl/>
              </w:rPr>
              <w:t xml:space="preserve">المهندسُ في المكتب والمنفِّذُ في الموقع يتكلّمان هنا — على نقطةٍ مجدولةٍ للتركيب أو مباشرةً، وكلُّ سطرٍ يبقى.</w:t>
            </w:r>
          </w:p>
        </w:tc>
      </w:tr>
      <w:tr>
        <w:tc>
          <w:tcPr>
            <w:tcW w:type="dxa" w:w="2600"/>
          </w:tcPr>
          <w:p>
            <w:pPr>
              <w:bidi/>
              <w:jc w:val="start"/>
            </w:pPr>
            <w:r>
              <w:rPr>
                <w:rFonts w:ascii="Arial" w:cs="Arial" w:eastAsia="Arial" w:hAnsi="Arial"/>
                <w:b w:val="false"/>
                <w:bCs w:val="false"/>
                <w:sz w:val="20"/>
                <w:szCs w:val="20"/>
                <w:rtl/>
              </w:rPr>
              <w:t xml:space="preserve">المواقع</w:t>
            </w:r>
          </w:p>
        </w:tc>
        <w:tc>
          <w:tcPr>
            <w:tcW w:type="dxa" w:w="6400"/>
          </w:tcPr>
          <w:p>
            <w:pPr>
              <w:bidi/>
              <w:jc w:val="start"/>
            </w:pPr>
            <w:r>
              <w:rPr>
                <w:rFonts w:ascii="Arial" w:cs="Arial" w:eastAsia="Arial" w:hAnsi="Arial"/>
                <w:b w:val="false"/>
                <w:bCs w:val="false"/>
                <w:sz w:val="20"/>
                <w:szCs w:val="20"/>
                <w:rtl/>
              </w:rPr>
              <w:t xml:space="preserve">الأقرب أولًا — وبحث بالشاخص.</w:t>
            </w:r>
          </w:p>
        </w:tc>
      </w:tr>
      <w:tr>
        <w:tc>
          <w:tcPr>
            <w:tcW w:type="dxa" w:w="2600"/>
          </w:tcPr>
          <w:p>
            <w:pPr>
              <w:bidi/>
              <w:jc w:val="start"/>
            </w:pPr>
            <w:r>
              <w:rPr>
                <w:rFonts w:ascii="Arial" w:cs="Arial" w:eastAsia="Arial" w:hAnsi="Arial"/>
                <w:b w:val="false"/>
                <w:bCs w:val="false"/>
                <w:sz w:val="20"/>
                <w:szCs w:val="20"/>
                <w:rtl/>
              </w:rPr>
              <w:t xml:space="preserve">النماذج الميدانية ← المسح</w:t>
            </w:r>
          </w:p>
        </w:tc>
        <w:tc>
          <w:tcPr>
            <w:tcW w:type="dxa" w:w="6400"/>
          </w:tcPr>
          <w:p>
            <w:pPr>
              <w:bidi/>
              <w:jc w:val="start"/>
            </w:pPr>
            <w:r>
              <w:rPr>
                <w:rFonts w:ascii="Arial" w:cs="Arial" w:eastAsia="Arial" w:hAnsi="Arial"/>
                <w:b w:val="false"/>
                <w:bCs w:val="false"/>
                <w:sz w:val="20"/>
                <w:szCs w:val="20"/>
                <w:rtl/>
              </w:rPr>
              <w:t xml:space="preserve">البياناتُ المسجَّلة تُراجَع فقط ولا تُكتَب من جديد — اكتب ما لا نعرفه عن الموقع.</w:t>
            </w:r>
          </w:p>
        </w:tc>
      </w:tr>
      <w:tr>
        <w:tc>
          <w:tcPr>
            <w:tcW w:type="dxa" w:w="2600"/>
          </w:tcPr>
          <w:p>
            <w:pPr>
              <w:bidi/>
              <w:jc w:val="start"/>
            </w:pPr>
            <w:r>
              <w:rPr>
                <w:rFonts w:ascii="Arial" w:cs="Arial" w:eastAsia="Arial" w:hAnsi="Arial"/>
                <w:b w:val="false"/>
                <w:bCs w:val="false"/>
                <w:sz w:val="20"/>
                <w:szCs w:val="20"/>
                <w:rtl/>
              </w:rPr>
              <w:t xml:space="preserve">النماذج الميدانية ← التركيب</w:t>
            </w:r>
          </w:p>
        </w:tc>
        <w:tc>
          <w:tcPr>
            <w:tcW w:type="dxa" w:w="6400"/>
          </w:tcPr>
          <w:p>
            <w:pPr>
              <w:bidi/>
              <w:jc w:val="start"/>
            </w:pPr>
            <w:r>
              <w:rPr>
                <w:rFonts w:ascii="Arial" w:cs="Arial" w:eastAsia="Arial" w:hAnsi="Arial"/>
                <w:b w:val="false"/>
                <w:bCs w:val="false"/>
                <w:sz w:val="20"/>
                <w:szCs w:val="20"/>
                <w:rtl/>
              </w:rPr>
              <w:t xml:space="preserve">ما يُوثَّق عند إتمام التركيب — بصوره وسيرياته.</w:t>
            </w:r>
          </w:p>
        </w:tc>
      </w:tr>
      <w:tr>
        <w:tc>
          <w:tcPr>
            <w:tcW w:type="dxa" w:w="2600"/>
          </w:tcPr>
          <w:p>
            <w:pPr>
              <w:bidi/>
              <w:jc w:val="start"/>
            </w:pPr>
            <w:r>
              <w:rPr>
                <w:rFonts w:ascii="Arial" w:cs="Arial" w:eastAsia="Arial" w:hAnsi="Arial"/>
                <w:b w:val="false"/>
                <w:bCs w:val="false"/>
                <w:sz w:val="20"/>
                <w:szCs w:val="20"/>
                <w:rtl/>
              </w:rPr>
              <w:t xml:space="preserve">النماذج الميدانية ← موقع جديد</w:t>
            </w:r>
          </w:p>
        </w:tc>
        <w:tc>
          <w:tcPr>
            <w:tcW w:type="dxa" w:w="6400"/>
          </w:tcPr>
          <w:p>
            <w:pPr>
              <w:bidi/>
              <w:jc w:val="start"/>
            </w:pPr>
            <w:r>
              <w:rPr>
                <w:rFonts w:ascii="Arial" w:cs="Arial" w:eastAsia="Arial" w:hAnsi="Arial"/>
                <w:b w:val="false"/>
                <w:bCs w:val="false"/>
                <w:sz w:val="20"/>
                <w:szCs w:val="20"/>
                <w:rtl/>
              </w:rPr>
              <w:t xml:space="preserve">ما لم يكن في القاعدة — يُسجَّل بموضعك ويُعتمَد لاحقًا.</w:t>
            </w:r>
          </w:p>
        </w:tc>
      </w:tr>
      <w:tr>
        <w:tc>
          <w:tcPr>
            <w:tcW w:type="dxa" w:w="2600"/>
          </w:tcPr>
          <w:p>
            <w:pPr>
              <w:bidi/>
              <w:jc w:val="start"/>
            </w:pPr>
            <w:r>
              <w:rPr>
                <w:rFonts w:ascii="Arial" w:cs="Arial" w:eastAsia="Arial" w:hAnsi="Arial"/>
                <w:b w:val="false"/>
                <w:bCs w:val="false"/>
                <w:sz w:val="20"/>
                <w:szCs w:val="20"/>
                <w:rtl/>
              </w:rPr>
              <w:t xml:space="preserve">شغلي ← جدولي</w:t>
            </w:r>
          </w:p>
        </w:tc>
        <w:tc>
          <w:tcPr>
            <w:tcW w:type="dxa" w:w="6400"/>
          </w:tcPr>
          <w:p>
            <w:pPr>
              <w:bidi/>
              <w:jc w:val="start"/>
            </w:pPr>
            <w:r>
              <w:rPr>
                <w:rFonts w:ascii="Arial" w:cs="Arial" w:eastAsia="Arial" w:hAnsi="Arial"/>
                <w:b w:val="false"/>
                <w:bCs w:val="false"/>
                <w:sz w:val="20"/>
                <w:szCs w:val="20"/>
                <w:rtl/>
              </w:rPr>
              <w:t xml:space="preserve">ما أُسند إليك — وترتيبك بلا أرقام زملائك.</w:t>
            </w:r>
          </w:p>
        </w:tc>
      </w:tr>
      <w:tr>
        <w:tc>
          <w:tcPr>
            <w:tcW w:type="dxa" w:w="2600"/>
          </w:tcPr>
          <w:p>
            <w:pPr>
              <w:bidi/>
              <w:jc w:val="start"/>
            </w:pPr>
            <w:r>
              <w:rPr>
                <w:rFonts w:ascii="Arial" w:cs="Arial" w:eastAsia="Arial" w:hAnsi="Arial"/>
                <w:b w:val="false"/>
                <w:bCs w:val="false"/>
                <w:sz w:val="20"/>
                <w:szCs w:val="20"/>
                <w:rtl/>
              </w:rPr>
              <w:t xml:space="preserve">المحادثات ← سجل المحادثات</w:t>
            </w:r>
          </w:p>
        </w:tc>
        <w:tc>
          <w:tcPr>
            <w:tcW w:type="dxa" w:w="6400"/>
          </w:tcPr>
          <w:p>
            <w:pPr>
              <w:bidi/>
              <w:jc w:val="start"/>
            </w:pPr>
            <w:r>
              <w:rPr>
                <w:rFonts w:ascii="Arial" w:cs="Arial" w:eastAsia="Arial" w:hAnsi="Arial"/>
                <w:b w:val="false"/>
                <w:bCs w:val="false"/>
                <w:sz w:val="20"/>
                <w:szCs w:val="20"/>
                <w:rtl/>
              </w:rPr>
              <w:t xml:space="preserve">كلُّ سطرٍ كُتب — بفلترٍ بالنقطة والشخص والتاريخ والنوع والنص.</w:t>
            </w:r>
          </w:p>
        </w:tc>
      </w:tr>
      <w:tr>
        <w:tc>
          <w:tcPr>
            <w:tcW w:type="dxa" w:w="2600"/>
          </w:tcPr>
          <w:p>
            <w:pPr>
              <w:bidi/>
              <w:jc w:val="start"/>
            </w:pPr>
            <w:r>
              <w:rPr>
                <w:rFonts w:ascii="Arial" w:cs="Arial" w:eastAsia="Arial" w:hAnsi="Arial"/>
                <w:b w:val="false"/>
                <w:bCs w:val="false"/>
                <w:sz w:val="20"/>
                <w:szCs w:val="20"/>
                <w:rtl/>
              </w:rPr>
              <w:t xml:space="preserve">شغلي ← أدائي</w:t>
            </w:r>
          </w:p>
        </w:tc>
        <w:tc>
          <w:tcPr>
            <w:tcW w:type="dxa" w:w="6400"/>
          </w:tcPr>
          <w:p>
            <w:pPr>
              <w:bidi/>
              <w:jc w:val="start"/>
            </w:pPr>
            <w:r>
              <w:rPr>
                <w:rFonts w:ascii="Arial" w:cs="Arial" w:eastAsia="Arial" w:hAnsi="Arial"/>
                <w:b w:val="false"/>
                <w:bCs w:val="false"/>
                <w:sz w:val="20"/>
                <w:szCs w:val="20"/>
                <w:rtl/>
              </w:rPr>
              <w:t xml:space="preserve">نقاطُك وترتيبُك ومستحقُّك.</w:t>
            </w:r>
          </w:p>
        </w:tc>
      </w:tr>
      <w:tr>
        <w:tc>
          <w:tcPr>
            <w:tcW w:type="dxa" w:w="2600"/>
          </w:tcPr>
          <w:p>
            <w:pPr>
              <w:bidi/>
              <w:jc w:val="start"/>
            </w:pPr>
            <w:r>
              <w:rPr>
                <w:rFonts w:ascii="Arial" w:cs="Arial" w:eastAsia="Arial" w:hAnsi="Arial"/>
                <w:b w:val="false"/>
                <w:bCs w:val="false"/>
                <w:sz w:val="20"/>
                <w:szCs w:val="20"/>
                <w:rtl/>
              </w:rPr>
              <w:t xml:space="preserve">شغلي ← فريقي</w:t>
            </w:r>
          </w:p>
        </w:tc>
        <w:tc>
          <w:tcPr>
            <w:tcW w:type="dxa" w:w="6400"/>
          </w:tcPr>
          <w:p>
            <w:pPr>
              <w:bidi/>
              <w:jc w:val="start"/>
            </w:pPr>
            <w:r>
              <w:rPr>
                <w:rFonts w:ascii="Arial" w:cs="Arial" w:eastAsia="Arial" w:hAnsi="Arial"/>
                <w:b w:val="false"/>
                <w:bCs w:val="false"/>
                <w:sz w:val="20"/>
                <w:szCs w:val="20"/>
                <w:rtl/>
              </w:rPr>
              <w:t xml:space="preserve">من تحتك ونقاطُهم.</w:t>
            </w:r>
          </w:p>
        </w:tc>
      </w:tr>
      <w:tr>
        <w:tc>
          <w:tcPr>
            <w:tcW w:type="dxa" w:w="2600"/>
          </w:tcPr>
          <w:p>
            <w:pPr>
              <w:bidi/>
              <w:jc w:val="start"/>
            </w:pPr>
            <w:r>
              <w:rPr>
                <w:rFonts w:ascii="Arial" w:cs="Arial" w:eastAsia="Arial" w:hAnsi="Arial"/>
                <w:b w:val="false"/>
                <w:bCs w:val="false"/>
                <w:sz w:val="20"/>
                <w:szCs w:val="20"/>
                <w:rtl/>
              </w:rPr>
              <w:t xml:space="preserve">شغلي ← لوحة الفريق</w:t>
            </w:r>
          </w:p>
        </w:tc>
        <w:tc>
          <w:tcPr>
            <w:tcW w:type="dxa" w:w="6400"/>
          </w:tcPr>
          <w:p>
            <w:pPr>
              <w:bidi/>
              <w:jc w:val="start"/>
            </w:pPr>
            <w:r>
              <w:rPr>
                <w:rFonts w:ascii="Arial" w:cs="Arial" w:eastAsia="Arial" w:hAnsi="Arial"/>
                <w:b w:val="false"/>
                <w:bCs w:val="false"/>
                <w:sz w:val="20"/>
                <w:szCs w:val="20"/>
                <w:rtl/>
              </w:rPr>
              <w:t xml:space="preserve">من تحتك في شاشةٍ واحدة: ما أُسند لكلٍّ، وما أنجزه اليوم، وما ينتظر اعتمادك، وآخر ظهور.</w:t>
            </w:r>
          </w:p>
        </w:tc>
      </w:tr>
      <w:tr>
        <w:tc>
          <w:tcPr>
            <w:tcW w:type="dxa" w:w="2600"/>
          </w:tcPr>
          <w:p>
            <w:pPr>
              <w:bidi/>
              <w:jc w:val="start"/>
            </w:pPr>
            <w:r>
              <w:rPr>
                <w:rFonts w:ascii="Arial" w:cs="Arial" w:eastAsia="Arial" w:hAnsi="Arial"/>
                <w:b w:val="false"/>
                <w:bCs w:val="false"/>
                <w:sz w:val="20"/>
                <w:szCs w:val="20"/>
                <w:rtl/>
              </w:rPr>
              <w:t xml:space="preserve">شغلي ← شغل فريقي</w:t>
            </w:r>
          </w:p>
        </w:tc>
        <w:tc>
          <w:tcPr>
            <w:tcW w:type="dxa" w:w="6400"/>
          </w:tcPr>
          <w:p>
            <w:pPr>
              <w:bidi/>
              <w:jc w:val="start"/>
            </w:pPr>
            <w:r>
              <w:rPr>
                <w:rFonts w:ascii="Arial" w:cs="Arial" w:eastAsia="Arial" w:hAnsi="Arial"/>
                <w:b w:val="false"/>
                <w:bCs w:val="false"/>
                <w:sz w:val="20"/>
                <w:szCs w:val="20"/>
                <w:rtl/>
              </w:rPr>
              <w:t xml:space="preserve">ما على فريقك الميداني من عمل.</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V40.9  ·  2026-10-28</w:t>
      </w:r>
    </w:p>
    <w:p>
      <w:pPr>
        <w:bidi/>
        <w:spacing w:after="120"/>
        <w:jc w:val="start"/>
      </w:pPr>
      <w:r>
        <w:rPr>
          <w:rFonts w:ascii="Arial" w:cs="Arial" w:eastAsia="Arial" w:hAnsi="Arial"/>
          <w:b w:val="false"/>
          <w:bCs w:val="false"/>
          <w:sz w:val="20"/>
          <w:szCs w:val="20"/>
          <w:rtl/>
        </w:rPr>
        <w:t xml:space="preserve">•  «الحساسات والجيت واي» كانت بتعرض ٢٦ جهاز بس، لأن خطة المخيمات الكاملة كانت بتتحمّل مع طبقة الحساسات في الخريطة بس، فالصفحة كانت شايفة المخيمين اللي اتعدّلوا وبس. دلوقتي بتحمّلها بنفسها، فكل الأجهزة بتظهر. والصفحة بقت ٣ تبويبات: «⛺ المخيمات» (فلتر بالمنطقة منى/عرفات، وبحث برقم المخيم زي 2/212 أو اسمه، وكل مخيم قصاده الحساسات المحدّثة والجيت واي المحدّث واللي محتاج تدخّل)، تضغط المخيم يفتحلك بوب فيه الجيت واي والحساسات بتوعه؛ و«🌡 الحساسات» و«📶 الجيت واي» كل واحدة قايمة لوحدها، وأي جهاز يفتح بوب فيه القراءة كبيرة (الحرارة والرطوبة والبطارية والإشارة، أو بطاريتين الجيت واي) والتعديل (السيريال والطراز والغرفة والعلامة والملاحظة). والجهاز اللي لسه ما اتكتبلوش سيريال ما بقاش بيتحسب «محتاج تدخّل»</w:t>
      </w:r>
    </w:p>
    <w:p>
      <w:pPr>
        <w:bidi/>
        <w:spacing w:after="120"/>
        <w:jc w:val="start"/>
      </w:pPr>
      <w:r>
        <w:rPr>
          <w:rFonts w:ascii="Arial" w:cs="Arial" w:eastAsia="Arial" w:hAnsi="Arial"/>
          <w:b/>
          <w:bCs/>
          <w:sz w:val="22"/>
          <w:szCs w:val="22"/>
          <w:rtl/>
        </w:rPr>
        <w:t xml:space="preserve">V40.8  ·  2026-10-28</w:t>
      </w:r>
    </w:p>
    <w:p>
      <w:pPr>
        <w:bidi/>
        <w:spacing w:after="120"/>
        <w:jc w:val="start"/>
      </w:pPr>
      <w:r>
        <w:rPr>
          <w:rFonts w:ascii="Arial" w:cs="Arial" w:eastAsia="Arial" w:hAnsi="Arial"/>
          <w:b w:val="false"/>
          <w:bCs w:val="false"/>
          <w:sz w:val="20"/>
          <w:szCs w:val="20"/>
          <w:rtl/>
        </w:rPr>
        <w:t xml:space="preserve">•  داشبورد الحساسات بقى صفحة لوحده في «الميدان» باسم «الحساسات والجيت واي» (للمدير والمهندس والمشرف)، بدل ما كان تبويب في «صحة النظام». وفي كارت «نظام البطاقات» في «الربط»: فحص كل ساعة بيقولك هل منصة نسك بترد على السحابة ولا بتقفلها حماية Cloudflare قبل أي دخول — لأن جهاز الاختبار عندنا اتقفل في وشه، وده لازم يتعرف قبل ما نبني الدخول بالكود</w:t>
      </w:r>
    </w:p>
    <w:p>
      <w:pPr>
        <w:bidi/>
        <w:spacing w:after="120"/>
        <w:jc w:val="start"/>
      </w:pPr>
      <w:r>
        <w:rPr>
          <w:rFonts w:ascii="Arial" w:cs="Arial" w:eastAsia="Arial" w:hAnsi="Arial"/>
          <w:b/>
          <w:bCs/>
          <w:sz w:val="22"/>
          <w:szCs w:val="22"/>
          <w:rtl/>
        </w:rPr>
        <w:t xml:space="preserve">V40.7  ·  2026-10-28</w:t>
      </w:r>
    </w:p>
    <w:p>
      <w:pPr>
        <w:bidi/>
        <w:spacing w:after="120"/>
        <w:jc w:val="start"/>
      </w:pPr>
      <w:r>
        <w:rPr>
          <w:rFonts w:ascii="Arial" w:cs="Arial" w:eastAsia="Arial" w:hAnsi="Arial"/>
          <w:b w:val="false"/>
          <w:bCs w:val="false"/>
          <w:sz w:val="20"/>
          <w:szCs w:val="20"/>
          <w:rtl/>
        </w:rPr>
        <w:t xml:space="preserve">•  داشبورد جديد «📡 تحديث الحساسات» في «صحة النظام» بعد «الربط»: كل جيت واي وكل حساس في خطة المخيمات، قصاده اسم النقطة ورقم الجهاز والسيريال المكتوب عليه، واسمه على أفاقي برو، وآخر تحديث، وقراءته، وحالته: 🟢 محدّث (أقل من ٢٠ دقيقة)، 🟡 متأخر (لحد ساعتين)، 🔴 منقطع، ⚫ السيريال مش على المنصة، ⚪ على المنصة بلا قراءة، ◻ بلا سيريال. فوق: العدادات وكل عداد بيفلتر بضغطة، وأكتر النقط محتاجة تدخّل. وبحث بالنقطة أو رقم الجهاز أو السيريال، والمشاكل والأقدم الأول، و١٠٠ صف في المرة، وتصدير إكسل. اتجرّب على ٥٬٠٠٠ جهاز: بيتحسب في أقل من ثانية</w:t>
      </w:r>
    </w:p>
    <w:p>
      <w:pPr>
        <w:bidi/>
        <w:spacing w:after="120"/>
        <w:jc w:val="start"/>
      </w:pPr>
      <w:r>
        <w:rPr>
          <w:rFonts w:ascii="Arial" w:cs="Arial" w:eastAsia="Arial" w:hAnsi="Arial"/>
          <w:b/>
          <w:bCs/>
          <w:sz w:val="22"/>
          <w:szCs w:val="22"/>
          <w:rtl/>
        </w:rPr>
        <w:t xml:space="preserve">V40.6  ·  2026-10-28</w:t>
      </w:r>
    </w:p>
    <w:p>
      <w:pPr>
        <w:bidi/>
        <w:spacing w:after="120"/>
        <w:jc w:val="start"/>
      </w:pPr>
      <w:r>
        <w:rPr>
          <w:rFonts w:ascii="Arial" w:cs="Arial" w:eastAsia="Arial" w:hAnsi="Arial"/>
          <w:b w:val="false"/>
          <w:bCs w:val="false"/>
          <w:sz w:val="20"/>
          <w:szCs w:val="20"/>
          <w:rtl/>
        </w:rPr>
        <w:t xml:space="preserve">•  ربط أفاقي برو شغّال (٦ من ٧ حساسات مطابقة). ومش محتاج تكتب حاجة كل ما تفتح التطبيق: الجلسة محفوظة على السيرفر والسحب كل ٥ دقايق لوحده. الجديد: «الربط» بيعرض الجلسة صالحة لحد إمتى وفاضل كام يوم، بشريط بيقلّ كل يوم (أخضر، أصفر تحت أسبوع، أحمر تحت يومين). المدة اتقرت من الجلسة نفسها: ٣٠ يوم بالظبط (لحد ٢٧ نوفمبر). قبل النهاية بيومين، التجديد بيبدأ لوحده والكود بيوصل إيميلك (مرة في اليوم بحد أقصى)، وجلستك الحالية شغّالة لحد ما تكتبه. والمدير والمهندس بيوصلهم تنبيه قبلها بـ٧ و٣ ويوم، وعند الانتهاء</w:t>
      </w:r>
    </w:p>
    <w:p>
      <w:pPr>
        <w:bidi/>
        <w:spacing w:after="120"/>
        <w:jc w:val="start"/>
      </w:pPr>
      <w:r>
        <w:rPr>
          <w:rFonts w:ascii="Arial" w:cs="Arial" w:eastAsia="Arial" w:hAnsi="Arial"/>
          <w:b/>
          <w:bCs/>
          <w:sz w:val="22"/>
          <w:szCs w:val="22"/>
          <w:rtl/>
        </w:rPr>
        <w:t xml:space="preserve">V40.5  ·  2026-10-28</w:t>
      </w:r>
    </w:p>
    <w:p>
      <w:pPr>
        <w:bidi/>
        <w:spacing w:after="120"/>
        <w:jc w:val="start"/>
      </w:pPr>
      <w:r>
        <w:rPr>
          <w:rFonts w:ascii="Arial" w:cs="Arial" w:eastAsia="Arial" w:hAnsi="Arial"/>
          <w:b w:val="false"/>
          <w:bCs w:val="false"/>
          <w:sz w:val="20"/>
          <w:szCs w:val="20"/>
          <w:rtl/>
        </w:rPr>
        <w:t xml:space="preserve">•  كود التحقق بيوصل الإيميل لوحده: التشخيص أكّد إن اليوزر والباسورد والعنوان صح — الدخول بـm.safwat وصل لخطوة الكود فعلًا الساعة ٧ م، والمنصة عرضت الإيميل بتاعك. بس الكود ما كانش بيتبعت غير لما تضغط «بالإيميل» في التطبيق، بعكس موقع أفاقي برو اللي بيبعته أول ما صفحة التحقق تفتح. دلوقتي أول ما تضغط «حدّث الآن» أو تحفظ الحساب، الكود بيتبعت على الإيميل على طول، وتكتبه وتضغط «تحقق». والسحب التلقائي كل ٥ دقايق ما بيبعتش كود، عشان ما تتغرقش إيميلات</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