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V37.11  ·  ٨ أكتوبر ٢٠٢٦</w:t>
      </w:r>
    </w:p>
    <w:p>
      <w:pPr>
        <w:bidi/>
        <w:spacing w:after="120"/>
        <w:jc w:val="start"/>
      </w:pPr>
      <w:r>
        <w:rPr>
          <w:rFonts w:ascii="Arial" w:cs="Arial" w:eastAsia="Arial" w:hAnsi="Arial"/>
          <w:b w:val="false"/>
          <w:bCs w:val="false"/>
          <w:sz w:val="20"/>
          <w:szCs w:val="20"/>
          <w:rtl/>
        </w:rPr>
        <w:t xml:space="preserve">•  تحسين داخلي: قاعدة الحذف النهائي في السحابة بقت أخف وأوضح.</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