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V38.40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V38.40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قياس التحميل البارد عند أول شاشة قابلة للاستخدام لا بعد الجزء المؤجَّل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V38.39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نواة + جزء مؤجَّل: index.html للميدان أولًا وapp-office.js يلحق — أول تحميل ٧٨٤ ← ٦١١ ك.ب مضغوطًا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V38.38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المرحلة أ من «نواة + أجزاء»: ٦٣٤ تعريفًا تحتاجها النواة نُقلت حرفيًا من المكتب والوزارة والتقارير إلى src/03z-shared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V38.37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بوابات القطار في مواضعها المقروءة من مخططات سار صفحةً صفحة — وباسم رقمها على الرسمة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V38.36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بوابات القطار على صالة المحطة نفسها — لا على الجبل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