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V37.64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V37.64  ·  ١٢ أكتوبر ٢٠٢٦</w:t>
      </w:r>
    </w:p>
    <w:p>
      <w:pPr>
        <w:bidi/>
        <w:spacing w:after="120"/>
        <w:jc w:val="start"/>
      </w:pPr>
      <w:r>
        <w:rPr>
          <w:rFonts w:ascii="Arial" w:cs="Arial" w:eastAsia="Arial" w:hAnsi="Arial"/>
          <w:b w:val="false"/>
          <w:bCs w:val="false"/>
          <w:sz w:val="20"/>
          <w:szCs w:val="20"/>
          <w:rtl/>
        </w:rPr>
        <w:t xml:space="preserve">•  توحيد الأسامي والأرقام بين الخريطة واللوحات: «معالجة التحديات» بقت بنفس الأرقام في فلتر الخريطة والملخص وتبويب التحديات (كل نقطة في مجموعة واحدة بأهم تحدي فيها)، وبأسامي المالك نفسها. والحالات اللي معناها واحد بقت بنفس الاسم واللون: مُركّبة، مجدولة للتركيب، تحتاج زيارة أخرى، لم تُزر.</w:t>
      </w:r>
    </w:p>
    <w:p>
      <w:pPr>
        <w:bidi/>
        <w:spacing w:after="12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0"/>
          <w:szCs w:val="20"/>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