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شاشات المتابعة أسرع: «التفاصيل الكاملة» تُرسم حين تُفتح، و«شغلي» ثلاثون لكل مشرف ثم «اعرض المزيد»، والتخزين الدائم يُطلب من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V39.0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الاسم الواحد رقم واحد في كل شاشة: «تحتاج زيارة أخرى» و«أعادها المهندس» بأسماء متابعة الوزارة، وجرد جديد يحرس ذلك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V38.99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بلاغ «الإصدار وقف» كاذب حين تُلغي قائمةُ التزامٍ أحدث قائمةَ الأقدم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V38.98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الميدان هي لوحة «التحديات والمعوقات» في متابعة الوزارة نفسها — الشكل والأرقام والنافذة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V38.97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صيانة: ٢٩ تحذيرًا أقل، ودالة الضغط العملاقة نصفان — وتصليح وقفة ٣٨٫٩٦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