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fontTable+xml" PartName="/word/fontTable.xml"/>
  <Override ContentType="application/vnd.openxmlformats-officedocument.theme+xml" PartName="/word/theme/theme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bidi/>
        <w:spacing w:after="120"/>
        <w:jc w:val="start"/>
      </w:pPr>
      <w:r>
        <w:rPr>
          <w:rFonts w:ascii="Arial" w:cs="Arial" w:eastAsia="Arial" w:hAnsi="Arial"/>
          <w:b w:val="false"/>
          <w:bCs w:val="false"/>
          <w:color w:val="666666"/>
          <w:sz w:val="20"/>
          <w:szCs w:val="20"/>
          <w:rtl/>
        </w:rPr>
        <w:t xml:space="preserve">قارئات أفاقي — حج ١٤٤٨هـ</w:t>
      </w:r>
    </w:p>
    <w:p>
      <w:pPr>
        <w:pStyle w:val="Heading1"/>
        <w:bidi/>
        <w:spacing w:after="120"/>
        <w:jc w:val="start"/>
      </w:pPr>
      <w:r>
        <w:rPr>
          <w:rFonts w:ascii="Arial" w:cs="Arial" w:eastAsia="Arial" w:hAnsi="Arial"/>
          <w:b/>
          <w:bCs/>
          <w:sz w:val="32"/>
          <w:szCs w:val="32"/>
          <w:rtl/>
        </w:rPr>
        <w:t xml:space="preserve">دليل المستخدم — محاسب</w:t>
      </w:r>
    </w:p>
    <w:p>
      <w:pPr>
        <w:bidi/>
        <w:spacing w:after="120"/>
        <w:jc w:val="start"/>
      </w:pPr>
      <w:r>
        <w:rPr>
          <w:rFonts w:ascii="Arial" w:cs="Arial" w:eastAsia="Arial" w:hAnsi="Arial"/>
          <w:b w:val="false"/>
          <w:bCs w:val="false"/>
          <w:color w:val="666666"/>
          <w:sz w:val="20"/>
          <w:szCs w:val="20"/>
          <w:rtl/>
        </w:rPr>
        <w:t xml:space="preserve">النسخة V37.61 · يُولَّد من صلاحيات الدور نفسِها — فلا يصف ما لا تملك.</w:t>
      </w:r>
    </w:p>
    <w:p>
      <w:pPr>
        <w:bidi/>
        <w:spacing w:after="120"/>
        <w:jc w:val="start"/>
      </w:pPr>
      <w:r>
        <w:rPr>
          <w:rFonts w:ascii="Arial" w:cs="Arial" w:eastAsia="Arial" w:hAnsi="Arial"/>
          <w:b w:val="false"/>
          <w:bCs w:val="false"/>
          <w:sz w:val="24"/>
          <w:szCs w:val="24"/>
          <w:rtl/>
        </w:rPr>
        <w:t xml:space="preserve">يقرأ المالَ ويصدّره — ولا يسجّل شراءً ولا يعتمده</w:t>
      </w:r>
    </w:p>
    <w:p>
      <w:pPr>
        <w:pStyle w:val="Heading2"/>
        <w:bidi/>
        <w:spacing w:after="120"/>
        <w:jc w:val="start"/>
      </w:pPr>
      <w:r>
        <w:rPr>
          <w:rFonts w:ascii="Arial" w:cs="Arial" w:eastAsia="Arial" w:hAnsi="Arial"/>
          <w:b/>
          <w:bCs/>
          <w:sz w:val="26"/>
          <w:szCs w:val="26"/>
          <w:rtl/>
        </w:rPr>
        <w:t xml:space="preserve">ما تستطيعه</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3000"/>
        <w:gridCol w:w="6000"/>
      </w:tblGrid>
      <w:tr>
        <w:trPr>
          <w:tblHeader/>
        </w:trPr>
        <w:tc>
          <w:tcPr>
            <w:tcW w:type="dxa" w:w="3000"/>
            <w:shd w:fill="E8F1FA" w:color="auto" w:val="clear"/>
          </w:tcPr>
          <w:p>
            <w:pPr>
              <w:bidi/>
              <w:jc w:val="start"/>
            </w:pPr>
            <w:r>
              <w:rPr>
                <w:rFonts w:ascii="Arial" w:cs="Arial" w:eastAsia="Arial" w:hAnsi="Arial"/>
                <w:b/>
                <w:bCs/>
                <w:sz w:val="20"/>
                <w:szCs w:val="20"/>
                <w:rtl/>
              </w:rPr>
              <w:t xml:space="preserve">القدرة</w:t>
            </w:r>
          </w:p>
        </w:tc>
        <w:tc>
          <w:tcPr>
            <w:tcW w:type="dxa" w:w="6000"/>
            <w:shd w:fill="E8F1FA" w:color="auto" w:val="clear"/>
          </w:tcPr>
          <w:p>
            <w:pPr>
              <w:bidi/>
              <w:jc w:val="start"/>
            </w:pPr>
            <w:r>
              <w:rPr>
                <w:rFonts w:ascii="Arial" w:cs="Arial" w:eastAsia="Arial" w:hAnsi="Arial"/>
                <w:b/>
                <w:bCs/>
                <w:sz w:val="20"/>
                <w:szCs w:val="20"/>
                <w:rtl/>
              </w:rPr>
              <w:t xml:space="preserve">ما تعنيه</w:t>
            </w:r>
          </w:p>
        </w:tc>
      </w:tr>
      <w:tr>
        <w:tc>
          <w:tcPr>
            <w:tcW w:type="dxa" w:w="3000"/>
          </w:tcPr>
          <w:p>
            <w:pPr>
              <w:bidi/>
              <w:jc w:val="start"/>
            </w:pPr>
            <w:r>
              <w:rPr>
                <w:rFonts w:ascii="Arial" w:cs="Arial" w:eastAsia="Arial" w:hAnsi="Arial"/>
                <w:b w:val="false"/>
                <w:bCs w:val="false"/>
                <w:sz w:val="20"/>
                <w:szCs w:val="20"/>
                <w:rtl/>
              </w:rPr>
              <w:t xml:space="preserve">money</w:t>
            </w:r>
          </w:p>
        </w:tc>
        <w:tc>
          <w:tcPr>
            <w:tcW w:type="dxa" w:w="6000"/>
          </w:tcPr>
          <w:p>
            <w:pPr>
              <w:bidi/>
              <w:jc w:val="start"/>
            </w:pPr>
            <w:r>
              <w:rPr>
                <w:rFonts w:ascii="Arial" w:cs="Arial" w:eastAsia="Arial" w:hAnsi="Arial"/>
                <w:b w:val="false"/>
                <w:bCs w:val="false"/>
                <w:sz w:val="20"/>
                <w:szCs w:val="20"/>
                <w:rtl/>
              </w:rPr>
              <w:t xml:space="preserve">يرى المال</w:t>
            </w:r>
          </w:p>
        </w:tc>
      </w:tr>
      <w:tr>
        <w:tc>
          <w:tcPr>
            <w:tcW w:type="dxa" w:w="3000"/>
          </w:tcPr>
          <w:p>
            <w:pPr>
              <w:bidi/>
              <w:jc w:val="start"/>
            </w:pPr>
            <w:r>
              <w:rPr>
                <w:rFonts w:ascii="Arial" w:cs="Arial" w:eastAsia="Arial" w:hAnsi="Arial"/>
                <w:b w:val="false"/>
                <w:bCs w:val="false"/>
                <w:sz w:val="20"/>
                <w:szCs w:val="20"/>
                <w:rtl/>
              </w:rPr>
              <w:t xml:space="preserve">exportAll</w:t>
            </w:r>
          </w:p>
        </w:tc>
        <w:tc>
          <w:tcPr>
            <w:tcW w:type="dxa" w:w="6000"/>
          </w:tcPr>
          <w:p>
            <w:pPr>
              <w:bidi/>
              <w:jc w:val="start"/>
            </w:pPr>
            <w:r>
              <w:rPr>
                <w:rFonts w:ascii="Arial" w:cs="Arial" w:eastAsia="Arial" w:hAnsi="Arial"/>
                <w:b w:val="false"/>
                <w:bCs w:val="false"/>
                <w:sz w:val="20"/>
                <w:szCs w:val="20"/>
                <w:rtl/>
              </w:rPr>
              <w:t xml:space="preserve">يصدّر الكل</w:t>
            </w:r>
          </w:p>
        </w:tc>
      </w:tr>
    </w:tbl>
    <w:p>
      <w:pPr>
        <w:bidi/>
        <w:spacing w:after="120"/>
        <w:jc w:val="start"/>
      </w:pPr>
      <w:r>
        <w:rPr>
          <w:rFonts w:ascii="Arial" w:cs="Arial" w:eastAsia="Arial" w:hAnsi="Arial"/>
          <w:b w:val="false"/>
          <w:bCs w:val="false"/>
          <w:sz w:val="22"/>
          <w:szCs w:val="22"/>
          <w:rtl/>
        </w:rPr>
        <w:t xml:space="preserve"/>
      </w:r>
    </w:p>
    <w:p>
      <w:pPr>
        <w:pStyle w:val="Heading2"/>
        <w:bidi/>
        <w:spacing w:after="120"/>
        <w:jc w:val="start"/>
      </w:pPr>
      <w:r>
        <w:rPr>
          <w:rFonts w:ascii="Arial" w:cs="Arial" w:eastAsia="Arial" w:hAnsi="Arial"/>
          <w:b/>
          <w:bCs/>
          <w:sz w:val="26"/>
          <w:szCs w:val="26"/>
          <w:rtl/>
        </w:rPr>
        <w:t xml:space="preserve">شاشاتك — 13</w:t>
      </w:r>
    </w:p>
    <w:p>
      <w:pPr>
        <w:bidi/>
        <w:spacing w:after="120"/>
        <w:jc w:val="start"/>
      </w:pPr>
      <w:r>
        <w:rPr>
          <w:rFonts w:ascii="Arial" w:cs="Arial" w:eastAsia="Arial" w:hAnsi="Arial"/>
          <w:b w:val="false"/>
          <w:bCs w:val="false"/>
          <w:color w:val="666666"/>
          <w:sz w:val="20"/>
          <w:szCs w:val="20"/>
          <w:rtl/>
        </w:rPr>
        <w:t xml:space="preserve">كلُّ شاشةٍ تبلغها من القائمة الجانبية، وما تفعله فيها:</w:t>
      </w:r>
    </w:p>
    <w:p>
      <w:pPr>
        <w:bidi/>
        <w:spacing w:after="120"/>
        <w:jc w:val="start"/>
      </w:pPr>
      <w:r>
        <w:rPr>
          <w:rFonts w:ascii="Arial" w:cs="Arial" w:eastAsia="Arial" w:hAnsi="Arial"/>
          <w:b/>
          <w:bCs/>
          <w:sz w:val="24"/>
          <w:szCs w:val="24"/>
          <w:rtl/>
        </w:rPr>
        <w:t xml:space="preserve">القسم المالي</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2600"/>
        <w:gridCol w:w="6400"/>
      </w:tblGrid>
      <w:tr>
        <w:trPr>
          <w:tblHeader/>
        </w:trPr>
        <w:tc>
          <w:tcPr>
            <w:tcW w:type="dxa" w:w="2600"/>
            <w:shd w:fill="E8F1FA" w:color="auto" w:val="clear"/>
          </w:tcPr>
          <w:p>
            <w:pPr>
              <w:bidi/>
              <w:jc w:val="start"/>
            </w:pPr>
            <w:r>
              <w:rPr>
                <w:rFonts w:ascii="Arial" w:cs="Arial" w:eastAsia="Arial" w:hAnsi="Arial"/>
                <w:b/>
                <w:bCs/>
                <w:sz w:val="20"/>
                <w:szCs w:val="20"/>
                <w:rtl/>
              </w:rPr>
              <w:t xml:space="preserve">الشاشة</w:t>
            </w:r>
          </w:p>
        </w:tc>
        <w:tc>
          <w:tcPr>
            <w:tcW w:type="dxa" w:w="6400"/>
            <w:shd w:fill="E8F1FA" w:color="auto" w:val="clear"/>
          </w:tcPr>
          <w:p>
            <w:pPr>
              <w:bidi/>
              <w:jc w:val="start"/>
            </w:pPr>
            <w:r>
              <w:rPr>
                <w:rFonts w:ascii="Arial" w:cs="Arial" w:eastAsia="Arial" w:hAnsi="Arial"/>
                <w:b/>
                <w:bCs/>
                <w:sz w:val="20"/>
                <w:szCs w:val="20"/>
                <w:rtl/>
              </w:rPr>
              <w:t xml:space="preserve">ما تفعله فيها</w:t>
            </w:r>
          </w:p>
        </w:tc>
      </w:tr>
      <w:tr>
        <w:tc>
          <w:tcPr>
            <w:tcW w:type="dxa" w:w="2600"/>
          </w:tcPr>
          <w:p>
            <w:pPr>
              <w:bidi/>
              <w:jc w:val="start"/>
            </w:pPr>
            <w:r>
              <w:rPr>
                <w:rFonts w:ascii="Arial" w:cs="Arial" w:eastAsia="Arial" w:hAnsi="Arial"/>
                <w:b w:val="false"/>
                <w:bCs w:val="false"/>
                <w:sz w:val="20"/>
                <w:szCs w:val="20"/>
                <w:rtl/>
              </w:rPr>
              <w:t xml:space="preserve">الشؤون المالية ← دفتر المشتريات</w:t>
            </w:r>
          </w:p>
        </w:tc>
        <w:tc>
          <w:tcPr>
            <w:tcW w:type="dxa" w:w="6400"/>
          </w:tcPr>
          <w:p>
            <w:pPr>
              <w:bidi/>
              <w:jc w:val="start"/>
            </w:pPr>
            <w:r>
              <w:rPr>
                <w:rFonts w:ascii="Arial" w:cs="Arial" w:eastAsia="Arial" w:hAnsi="Arial"/>
                <w:b w:val="false"/>
                <w:bCs w:val="false"/>
                <w:sz w:val="20"/>
                <w:szCs w:val="20"/>
                <w:rtl/>
              </w:rPr>
              <w:t xml:space="preserve">مصروفات السوق المحلي بفواتيرها ومورّديها ومشاعرها.</w:t>
            </w:r>
          </w:p>
        </w:tc>
      </w:tr>
      <w:tr>
        <w:tc>
          <w:tcPr>
            <w:tcW w:type="dxa" w:w="2600"/>
          </w:tcPr>
          <w:p>
            <w:pPr>
              <w:bidi/>
              <w:jc w:val="start"/>
            </w:pPr>
            <w:r>
              <w:rPr>
                <w:rFonts w:ascii="Arial" w:cs="Arial" w:eastAsia="Arial" w:hAnsi="Arial"/>
                <w:b w:val="false"/>
                <w:bCs w:val="false"/>
                <w:sz w:val="20"/>
                <w:szCs w:val="20"/>
                <w:rtl/>
              </w:rPr>
              <w:t xml:space="preserve">الشؤون المالية ← المستخلصات</w:t>
            </w:r>
          </w:p>
        </w:tc>
        <w:tc>
          <w:tcPr>
            <w:tcW w:type="dxa" w:w="6400"/>
          </w:tcPr>
          <w:p>
            <w:pPr>
              <w:bidi/>
              <w:jc w:val="start"/>
            </w:pPr>
            <w:r>
              <w:rPr>
                <w:rFonts w:ascii="Arial" w:cs="Arial" w:eastAsia="Arial" w:hAnsi="Arial"/>
                <w:b w:val="false"/>
                <w:bCs w:val="false"/>
                <w:sz w:val="20"/>
                <w:szCs w:val="20"/>
                <w:rtl/>
              </w:rPr>
              <w:t xml:space="preserve">ما أُنجز واعتُمد — يُقدَّم للعميل ويُتابَع صرفُه.</w:t>
            </w:r>
          </w:p>
        </w:tc>
      </w:tr>
      <w:tr>
        <w:tc>
          <w:tcPr>
            <w:tcW w:type="dxa" w:w="2600"/>
          </w:tcPr>
          <w:p>
            <w:pPr>
              <w:bidi/>
              <w:jc w:val="start"/>
            </w:pPr>
            <w:r>
              <w:rPr>
                <w:rFonts w:ascii="Arial" w:cs="Arial" w:eastAsia="Arial" w:hAnsi="Arial"/>
                <w:b w:val="false"/>
                <w:bCs w:val="false"/>
                <w:sz w:val="20"/>
                <w:szCs w:val="20"/>
                <w:rtl/>
              </w:rPr>
              <w:t xml:space="preserve">الشؤون المالية ← الميزانية والاعتماد</w:t>
            </w:r>
          </w:p>
        </w:tc>
        <w:tc>
          <w:tcPr>
            <w:tcW w:type="dxa" w:w="6400"/>
          </w:tcPr>
          <w:p>
            <w:pPr>
              <w:bidi/>
              <w:jc w:val="start"/>
            </w:pPr>
            <w:r>
              <w:rPr>
                <w:rFonts w:ascii="Arial" w:cs="Arial" w:eastAsia="Arial" w:hAnsi="Arial"/>
                <w:b w:val="false"/>
                <w:bCs w:val="false"/>
                <w:sz w:val="20"/>
                <w:szCs w:val="20"/>
                <w:rtl/>
              </w:rPr>
              <w:t xml:space="preserve">سقف الصرف وحدّ اعتماد المهندس.</w:t>
            </w:r>
          </w:p>
        </w:tc>
      </w:tr>
    </w:tbl>
    <w:p>
      <w:pPr>
        <w:bidi/>
        <w:spacing w:after="120"/>
        <w:jc w:val="start"/>
      </w:pPr>
      <w:r>
        <w:rPr>
          <w:rFonts w:ascii="Arial" w:cs="Arial" w:eastAsia="Arial" w:hAnsi="Arial"/>
          <w:b w:val="false"/>
          <w:bCs w:val="false"/>
          <w:sz w:val="22"/>
          <w:szCs w:val="22"/>
          <w:rtl/>
        </w:rPr>
        <w:t xml:space="preserve"/>
      </w:r>
    </w:p>
    <w:p>
      <w:pPr>
        <w:bidi/>
        <w:spacing w:after="120"/>
        <w:jc w:val="start"/>
      </w:pPr>
      <w:r>
        <w:rPr>
          <w:rFonts w:ascii="Arial" w:cs="Arial" w:eastAsia="Arial" w:hAnsi="Arial"/>
          <w:b/>
          <w:bCs/>
          <w:sz w:val="24"/>
          <w:szCs w:val="24"/>
          <w:rtl/>
        </w:rPr>
        <w:t xml:space="preserve">التخطيط</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2600"/>
        <w:gridCol w:w="6400"/>
      </w:tblGrid>
      <w:tr>
        <w:trPr>
          <w:tblHeader/>
        </w:trPr>
        <w:tc>
          <w:tcPr>
            <w:tcW w:type="dxa" w:w="2600"/>
            <w:shd w:fill="E8F1FA" w:color="auto" w:val="clear"/>
          </w:tcPr>
          <w:p>
            <w:pPr>
              <w:bidi/>
              <w:jc w:val="start"/>
            </w:pPr>
            <w:r>
              <w:rPr>
                <w:rFonts w:ascii="Arial" w:cs="Arial" w:eastAsia="Arial" w:hAnsi="Arial"/>
                <w:b/>
                <w:bCs/>
                <w:sz w:val="20"/>
                <w:szCs w:val="20"/>
                <w:rtl/>
              </w:rPr>
              <w:t xml:space="preserve">الشاشة</w:t>
            </w:r>
          </w:p>
        </w:tc>
        <w:tc>
          <w:tcPr>
            <w:tcW w:type="dxa" w:w="6400"/>
            <w:shd w:fill="E8F1FA" w:color="auto" w:val="clear"/>
          </w:tcPr>
          <w:p>
            <w:pPr>
              <w:bidi/>
              <w:jc w:val="start"/>
            </w:pPr>
            <w:r>
              <w:rPr>
                <w:rFonts w:ascii="Arial" w:cs="Arial" w:eastAsia="Arial" w:hAnsi="Arial"/>
                <w:b/>
                <w:bCs/>
                <w:sz w:val="20"/>
                <w:szCs w:val="20"/>
                <w:rtl/>
              </w:rPr>
              <w:t xml:space="preserve">ما تفعله فيها</w:t>
            </w:r>
          </w:p>
        </w:tc>
      </w:tr>
      <w:tr>
        <w:tc>
          <w:tcPr>
            <w:tcW w:type="dxa" w:w="2600"/>
          </w:tcPr>
          <w:p>
            <w:pPr>
              <w:bidi/>
              <w:jc w:val="start"/>
            </w:pPr>
            <w:r>
              <w:rPr>
                <w:rFonts w:ascii="Arial" w:cs="Arial" w:eastAsia="Arial" w:hAnsi="Arial"/>
                <w:b w:val="false"/>
                <w:bCs w:val="false"/>
                <w:sz w:val="20"/>
                <w:szCs w:val="20"/>
                <w:rtl/>
              </w:rPr>
              <w:t xml:space="preserve">التجارب</w:t>
            </w:r>
          </w:p>
        </w:tc>
        <w:tc>
          <w:tcPr>
            <w:tcW w:type="dxa" w:w="6400"/>
          </w:tcPr>
          <w:p>
            <w:pPr>
              <w:bidi/>
              <w:jc w:val="start"/>
            </w:pPr>
            <w:r>
              <w:rPr>
                <w:rFonts w:ascii="Arial" w:cs="Arial" w:eastAsia="Arial" w:hAnsi="Arial"/>
                <w:b w:val="false"/>
                <w:bCs w:val="false"/>
                <w:sz w:val="20"/>
                <w:szCs w:val="20"/>
                <w:rtl/>
              </w:rPr>
              <w:t xml:space="preserve">كلُّ ريالٍ وكلُّ ساعةٍ في التجارب — وقرارُ دخولها في تكاليف المشروع.</w:t>
            </w:r>
          </w:p>
        </w:tc>
      </w:tr>
      <w:tr>
        <w:tc>
          <w:tcPr>
            <w:tcW w:type="dxa" w:w="2600"/>
          </w:tcPr>
          <w:p>
            <w:pPr>
              <w:bidi/>
              <w:jc w:val="start"/>
            </w:pPr>
            <w:r>
              <w:rPr>
                <w:rFonts w:ascii="Arial" w:cs="Arial" w:eastAsia="Arial" w:hAnsi="Arial"/>
                <w:b w:val="false"/>
                <w:bCs w:val="false"/>
                <w:sz w:val="20"/>
                <w:szCs w:val="20"/>
                <w:rtl/>
              </w:rPr>
              <w:t xml:space="preserve">التخطيط والمخاطر ← خط الأساس والقيمة</w:t>
            </w:r>
          </w:p>
        </w:tc>
        <w:tc>
          <w:tcPr>
            <w:tcW w:type="dxa" w:w="6400"/>
          </w:tcPr>
          <w:p>
            <w:pPr>
              <w:bidi/>
              <w:jc w:val="start"/>
            </w:pPr>
            <w:r>
              <w:rPr>
                <w:rFonts w:ascii="Arial" w:cs="Arial" w:eastAsia="Arial" w:hAnsi="Arial"/>
                <w:b w:val="false"/>
                <w:bCs w:val="false"/>
                <w:sz w:val="20"/>
                <w:szCs w:val="20"/>
                <w:rtl/>
              </w:rPr>
              <w:t xml:space="preserve">أين نحن من المخطَّط — بلغةِ التقارير المعتمدة.</w:t>
            </w:r>
          </w:p>
        </w:tc>
      </w:tr>
    </w:tbl>
    <w:p>
      <w:pPr>
        <w:bidi/>
        <w:spacing w:after="120"/>
        <w:jc w:val="start"/>
      </w:pPr>
      <w:r>
        <w:rPr>
          <w:rFonts w:ascii="Arial" w:cs="Arial" w:eastAsia="Arial" w:hAnsi="Arial"/>
          <w:b w:val="false"/>
          <w:bCs w:val="false"/>
          <w:sz w:val="22"/>
          <w:szCs w:val="22"/>
          <w:rtl/>
        </w:rPr>
        <w:t xml:space="preserve"/>
      </w:r>
    </w:p>
    <w:p>
      <w:pPr>
        <w:bidi/>
        <w:spacing w:after="120"/>
        <w:jc w:val="start"/>
      </w:pPr>
      <w:r>
        <w:rPr>
          <w:rFonts w:ascii="Arial" w:cs="Arial" w:eastAsia="Arial" w:hAnsi="Arial"/>
          <w:b/>
          <w:bCs/>
          <w:sz w:val="24"/>
          <w:szCs w:val="24"/>
          <w:rtl/>
        </w:rPr>
        <w:t xml:space="preserve">المتابعة</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2600"/>
        <w:gridCol w:w="6400"/>
      </w:tblGrid>
      <w:tr>
        <w:trPr>
          <w:tblHeader/>
        </w:trPr>
        <w:tc>
          <w:tcPr>
            <w:tcW w:type="dxa" w:w="2600"/>
            <w:shd w:fill="E8F1FA" w:color="auto" w:val="clear"/>
          </w:tcPr>
          <w:p>
            <w:pPr>
              <w:bidi/>
              <w:jc w:val="start"/>
            </w:pPr>
            <w:r>
              <w:rPr>
                <w:rFonts w:ascii="Arial" w:cs="Arial" w:eastAsia="Arial" w:hAnsi="Arial"/>
                <w:b/>
                <w:bCs/>
                <w:sz w:val="20"/>
                <w:szCs w:val="20"/>
                <w:rtl/>
              </w:rPr>
              <w:t xml:space="preserve">الشاشة</w:t>
            </w:r>
          </w:p>
        </w:tc>
        <w:tc>
          <w:tcPr>
            <w:tcW w:type="dxa" w:w="6400"/>
            <w:shd w:fill="E8F1FA" w:color="auto" w:val="clear"/>
          </w:tcPr>
          <w:p>
            <w:pPr>
              <w:bidi/>
              <w:jc w:val="start"/>
            </w:pPr>
            <w:r>
              <w:rPr>
                <w:rFonts w:ascii="Arial" w:cs="Arial" w:eastAsia="Arial" w:hAnsi="Arial"/>
                <w:b/>
                <w:bCs/>
                <w:sz w:val="20"/>
                <w:szCs w:val="20"/>
                <w:rtl/>
              </w:rPr>
              <w:t xml:space="preserve">ما تفعله فيها</w:t>
            </w:r>
          </w:p>
        </w:tc>
      </w:tr>
      <w:tr>
        <w:tc>
          <w:tcPr>
            <w:tcW w:type="dxa" w:w="2600"/>
          </w:tcPr>
          <w:p>
            <w:pPr>
              <w:bidi/>
              <w:jc w:val="start"/>
            </w:pPr>
            <w:r>
              <w:rPr>
                <w:rFonts w:ascii="Arial" w:cs="Arial" w:eastAsia="Arial" w:hAnsi="Arial"/>
                <w:b w:val="false"/>
                <w:bCs w:val="false"/>
                <w:sz w:val="20"/>
                <w:szCs w:val="20"/>
                <w:rtl/>
              </w:rPr>
              <w:t xml:space="preserve">التقارير التنفيذية ← الملخّص المالي</w:t>
            </w:r>
          </w:p>
        </w:tc>
        <w:tc>
          <w:tcPr>
            <w:tcW w:type="dxa" w:w="6400"/>
          </w:tcPr>
          <w:p>
            <w:pPr>
              <w:bidi/>
              <w:jc w:val="start"/>
            </w:pPr>
            <w:r>
              <w:rPr>
                <w:rFonts w:ascii="Arial" w:cs="Arial" w:eastAsia="Arial" w:hAnsi="Arial"/>
                <w:b w:val="false"/>
                <w:bCs w:val="false"/>
                <w:sz w:val="20"/>
                <w:szCs w:val="20"/>
                <w:rtl/>
              </w:rPr>
              <w:t xml:space="preserve">المنصرفُ من الميزانية بأبوابه — بلا مورّدين ولا فواتير.</w:t>
            </w:r>
          </w:p>
        </w:tc>
      </w:tr>
      <w:tr>
        <w:tc>
          <w:tcPr>
            <w:tcW w:type="dxa" w:w="2600"/>
          </w:tcPr>
          <w:p>
            <w:pPr>
              <w:bidi/>
              <w:jc w:val="start"/>
            </w:pPr>
            <w:r>
              <w:rPr>
                <w:rFonts w:ascii="Arial" w:cs="Arial" w:eastAsia="Arial" w:hAnsi="Arial"/>
                <w:b w:val="false"/>
                <w:bCs w:val="false"/>
                <w:sz w:val="20"/>
                <w:szCs w:val="20"/>
                <w:rtl/>
              </w:rPr>
              <w:t xml:space="preserve">التقارير التنفيذية ← اللوحة التنفيذية</w:t>
            </w:r>
          </w:p>
        </w:tc>
        <w:tc>
          <w:tcPr>
            <w:tcW w:type="dxa" w:w="6400"/>
          </w:tcPr>
          <w:p>
            <w:pPr>
              <w:bidi/>
              <w:jc w:val="start"/>
            </w:pPr>
            <w:r>
              <w:rPr>
                <w:rFonts w:ascii="Arial" w:cs="Arial" w:eastAsia="Arial" w:hAnsi="Arial"/>
                <w:b w:val="false"/>
                <w:bCs w:val="false"/>
                <w:sz w:val="20"/>
                <w:szCs w:val="20"/>
                <w:rtl/>
              </w:rPr>
              <w:t xml:space="preserve">ما يحتاجه القرار في شاشةٍ واحدة.</w:t>
            </w:r>
          </w:p>
        </w:tc>
      </w:tr>
      <w:tr>
        <w:tc>
          <w:tcPr>
            <w:tcW w:type="dxa" w:w="2600"/>
          </w:tcPr>
          <w:p>
            <w:pPr>
              <w:bidi/>
              <w:jc w:val="start"/>
            </w:pPr>
            <w:r>
              <w:rPr>
                <w:rFonts w:ascii="Arial" w:cs="Arial" w:eastAsia="Arial" w:hAnsi="Arial"/>
                <w:b w:val="false"/>
                <w:bCs w:val="false"/>
                <w:sz w:val="20"/>
                <w:szCs w:val="20"/>
                <w:rtl/>
              </w:rPr>
              <w:t xml:space="preserve">نظرة عامة ← الصورة العامة</w:t>
            </w:r>
          </w:p>
        </w:tc>
        <w:tc>
          <w:tcPr>
            <w:tcW w:type="dxa" w:w="6400"/>
          </w:tcPr>
          <w:p>
            <w:pPr>
              <w:bidi/>
              <w:jc w:val="start"/>
            </w:pPr>
            <w:r>
              <w:rPr>
                <w:rFonts w:ascii="Arial" w:cs="Arial" w:eastAsia="Arial" w:hAnsi="Arial"/>
                <w:b w:val="false"/>
                <w:bCs w:val="false"/>
                <w:sz w:val="20"/>
                <w:szCs w:val="20"/>
                <w:rtl/>
              </w:rPr>
              <w:t xml:space="preserve">الصورة التنفيذية لحظيًّا — تُحدَّث مع كل عملية ميدانية.</w:t>
            </w:r>
          </w:p>
        </w:tc>
      </w:tr>
    </w:tbl>
    <w:p>
      <w:pPr>
        <w:bidi/>
        <w:spacing w:after="120"/>
        <w:jc w:val="start"/>
      </w:pPr>
      <w:r>
        <w:rPr>
          <w:rFonts w:ascii="Arial" w:cs="Arial" w:eastAsia="Arial" w:hAnsi="Arial"/>
          <w:b w:val="false"/>
          <w:bCs w:val="false"/>
          <w:sz w:val="22"/>
          <w:szCs w:val="22"/>
          <w:rtl/>
        </w:rPr>
        <w:t xml:space="preserve"/>
      </w:r>
    </w:p>
    <w:p>
      <w:pPr>
        <w:bidi/>
        <w:spacing w:after="120"/>
        <w:jc w:val="start"/>
      </w:pPr>
      <w:r>
        <w:rPr>
          <w:rFonts w:ascii="Arial" w:cs="Arial" w:eastAsia="Arial" w:hAnsi="Arial"/>
          <w:b/>
          <w:bCs/>
          <w:sz w:val="24"/>
          <w:szCs w:val="24"/>
          <w:rtl/>
        </w:rPr>
        <w:t xml:space="preserve">الميدان</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2600"/>
        <w:gridCol w:w="6400"/>
      </w:tblGrid>
      <w:tr>
        <w:trPr>
          <w:tblHeader/>
        </w:trPr>
        <w:tc>
          <w:tcPr>
            <w:tcW w:type="dxa" w:w="2600"/>
            <w:shd w:fill="E8F1FA" w:color="auto" w:val="clear"/>
          </w:tcPr>
          <w:p>
            <w:pPr>
              <w:bidi/>
              <w:jc w:val="start"/>
            </w:pPr>
            <w:r>
              <w:rPr>
                <w:rFonts w:ascii="Arial" w:cs="Arial" w:eastAsia="Arial" w:hAnsi="Arial"/>
                <w:b/>
                <w:bCs/>
                <w:sz w:val="20"/>
                <w:szCs w:val="20"/>
                <w:rtl/>
              </w:rPr>
              <w:t xml:space="preserve">الشاشة</w:t>
            </w:r>
          </w:p>
        </w:tc>
        <w:tc>
          <w:tcPr>
            <w:tcW w:type="dxa" w:w="6400"/>
            <w:shd w:fill="E8F1FA" w:color="auto" w:val="clear"/>
          </w:tcPr>
          <w:p>
            <w:pPr>
              <w:bidi/>
              <w:jc w:val="start"/>
            </w:pPr>
            <w:r>
              <w:rPr>
                <w:rFonts w:ascii="Arial" w:cs="Arial" w:eastAsia="Arial" w:hAnsi="Arial"/>
                <w:b/>
                <w:bCs/>
                <w:sz w:val="20"/>
                <w:szCs w:val="20"/>
                <w:rtl/>
              </w:rPr>
              <w:t xml:space="preserve">ما تفعله فيها</w:t>
            </w:r>
          </w:p>
        </w:tc>
      </w:tr>
      <w:tr>
        <w:tc>
          <w:tcPr>
            <w:tcW w:type="dxa" w:w="2600"/>
          </w:tcPr>
          <w:p>
            <w:pPr>
              <w:bidi/>
              <w:jc w:val="start"/>
            </w:pPr>
            <w:r>
              <w:rPr>
                <w:rFonts w:ascii="Arial" w:cs="Arial" w:eastAsia="Arial" w:hAnsi="Arial"/>
                <w:b w:val="false"/>
                <w:bCs w:val="false"/>
                <w:sz w:val="20"/>
                <w:szCs w:val="20"/>
                <w:rtl/>
              </w:rPr>
              <w:t xml:space="preserve">السيارات ← التكلفة</w:t>
            </w:r>
          </w:p>
        </w:tc>
        <w:tc>
          <w:tcPr>
            <w:tcW w:type="dxa" w:w="6400"/>
          </w:tcPr>
          <w:p>
            <w:pPr>
              <w:bidi/>
              <w:jc w:val="start"/>
            </w:pPr>
            <w:r>
              <w:rPr>
                <w:rFonts w:ascii="Arial" w:cs="Arial" w:eastAsia="Arial" w:hAnsi="Arial"/>
                <w:b w:val="false"/>
                <w:bCs w:val="false"/>
                <w:sz w:val="20"/>
                <w:szCs w:val="20"/>
                <w:rtl/>
              </w:rPr>
              <w:t xml:space="preserve">ما تكلّفه السياراتُ شهريًّا ومنذ متى تعمل.</w:t>
            </w:r>
          </w:p>
        </w:tc>
      </w:tr>
    </w:tbl>
    <w:p>
      <w:pPr>
        <w:bidi/>
        <w:spacing w:after="120"/>
        <w:jc w:val="start"/>
      </w:pPr>
      <w:r>
        <w:rPr>
          <w:rFonts w:ascii="Arial" w:cs="Arial" w:eastAsia="Arial" w:hAnsi="Arial"/>
          <w:b w:val="false"/>
          <w:bCs w:val="false"/>
          <w:sz w:val="22"/>
          <w:szCs w:val="22"/>
          <w:rtl/>
        </w:rPr>
        <w:t xml:space="preserve"/>
      </w:r>
    </w:p>
    <w:p>
      <w:pPr>
        <w:bidi/>
        <w:spacing w:after="120"/>
        <w:jc w:val="start"/>
      </w:pPr>
      <w:r>
        <w:rPr>
          <w:rFonts w:ascii="Arial" w:cs="Arial" w:eastAsia="Arial" w:hAnsi="Arial"/>
          <w:b/>
          <w:bCs/>
          <w:sz w:val="24"/>
          <w:szCs w:val="24"/>
          <w:rtl/>
        </w:rPr>
        <w:t xml:space="preserve">المساعدة</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2600"/>
        <w:gridCol w:w="6400"/>
      </w:tblGrid>
      <w:tr>
        <w:trPr>
          <w:tblHeader/>
        </w:trPr>
        <w:tc>
          <w:tcPr>
            <w:tcW w:type="dxa" w:w="2600"/>
            <w:shd w:fill="E8F1FA" w:color="auto" w:val="clear"/>
          </w:tcPr>
          <w:p>
            <w:pPr>
              <w:bidi/>
              <w:jc w:val="start"/>
            </w:pPr>
            <w:r>
              <w:rPr>
                <w:rFonts w:ascii="Arial" w:cs="Arial" w:eastAsia="Arial" w:hAnsi="Arial"/>
                <w:b/>
                <w:bCs/>
                <w:sz w:val="20"/>
                <w:szCs w:val="20"/>
                <w:rtl/>
              </w:rPr>
              <w:t xml:space="preserve">الشاشة</w:t>
            </w:r>
          </w:p>
        </w:tc>
        <w:tc>
          <w:tcPr>
            <w:tcW w:type="dxa" w:w="6400"/>
            <w:shd w:fill="E8F1FA" w:color="auto" w:val="clear"/>
          </w:tcPr>
          <w:p>
            <w:pPr>
              <w:bidi/>
              <w:jc w:val="start"/>
            </w:pPr>
            <w:r>
              <w:rPr>
                <w:rFonts w:ascii="Arial" w:cs="Arial" w:eastAsia="Arial" w:hAnsi="Arial"/>
                <w:b/>
                <w:bCs/>
                <w:sz w:val="20"/>
                <w:szCs w:val="20"/>
                <w:rtl/>
              </w:rPr>
              <w:t xml:space="preserve">ما تفعله فيها</w:t>
            </w:r>
          </w:p>
        </w:tc>
      </w:tr>
      <w:tr>
        <w:tc>
          <w:tcPr>
            <w:tcW w:type="dxa" w:w="2600"/>
          </w:tcPr>
          <w:p>
            <w:pPr>
              <w:bidi/>
              <w:jc w:val="start"/>
            </w:pPr>
            <w:r>
              <w:rPr>
                <w:rFonts w:ascii="Arial" w:cs="Arial" w:eastAsia="Arial" w:hAnsi="Arial"/>
                <w:b w:val="false"/>
                <w:bCs w:val="false"/>
                <w:sz w:val="20"/>
                <w:szCs w:val="20"/>
                <w:rtl/>
              </w:rPr>
              <w:t xml:space="preserve">الأدلة ← دليل الاستخدام</w:t>
            </w:r>
          </w:p>
        </w:tc>
        <w:tc>
          <w:tcPr>
            <w:tcW w:type="dxa" w:w="6400"/>
          </w:tcPr>
          <w:p>
            <w:pPr>
              <w:bidi/>
              <w:jc w:val="start"/>
            </w:pPr>
            <w:r>
              <w:rPr>
                <w:rFonts w:ascii="Arial" w:cs="Arial" w:eastAsia="Arial" w:hAnsi="Arial"/>
                <w:b w:val="false"/>
                <w:bCs w:val="false"/>
                <w:sz w:val="20"/>
                <w:szCs w:val="20"/>
                <w:rtl/>
              </w:rPr>
              <w:t xml:space="preserve">دليلك أنت — بما تملكه من شاشات لا بما لا تملك.</w:t>
            </w:r>
          </w:p>
        </w:tc>
      </w:tr>
      <w:tr>
        <w:tc>
          <w:tcPr>
            <w:tcW w:type="dxa" w:w="2600"/>
          </w:tcPr>
          <w:p>
            <w:pPr>
              <w:bidi/>
              <w:jc w:val="start"/>
            </w:pPr>
            <w:r>
              <w:rPr>
                <w:rFonts w:ascii="Arial" w:cs="Arial" w:eastAsia="Arial" w:hAnsi="Arial"/>
                <w:b w:val="false"/>
                <w:bCs w:val="false"/>
                <w:sz w:val="20"/>
                <w:szCs w:val="20"/>
                <w:rtl/>
              </w:rPr>
              <w:t xml:space="preserve">حسابي</w:t>
            </w:r>
          </w:p>
        </w:tc>
        <w:tc>
          <w:tcPr>
            <w:tcW w:type="dxa" w:w="6400"/>
          </w:tcPr>
          <w:p>
            <w:pPr>
              <w:bidi/>
              <w:jc w:val="start"/>
            </w:pPr>
            <w:r>
              <w:rPr>
                <w:rFonts w:ascii="Arial" w:cs="Arial" w:eastAsia="Arial" w:hAnsi="Arial"/>
                <w:b w:val="false"/>
                <w:bCs w:val="false"/>
                <w:sz w:val="20"/>
                <w:szCs w:val="20"/>
                <w:rtl/>
              </w:rPr>
              <w:t xml:space="preserve">دورك وصلاحياتك ونسختك — وإعداداتُ هذا الجهاز.</w:t>
            </w:r>
          </w:p>
        </w:tc>
      </w:tr>
      <w:tr>
        <w:tc>
          <w:tcPr>
            <w:tcW w:type="dxa" w:w="2600"/>
          </w:tcPr>
          <w:p>
            <w:pPr>
              <w:bidi/>
              <w:jc w:val="start"/>
            </w:pPr>
            <w:r>
              <w:rPr>
                <w:rFonts w:ascii="Arial" w:cs="Arial" w:eastAsia="Arial" w:hAnsi="Arial"/>
                <w:b w:val="false"/>
                <w:bCs w:val="false"/>
                <w:sz w:val="20"/>
                <w:szCs w:val="20"/>
                <w:rtl/>
              </w:rPr>
              <w:t xml:space="preserve">الأدلة ← دورة العمل</w:t>
            </w:r>
          </w:p>
        </w:tc>
        <w:tc>
          <w:tcPr>
            <w:tcW w:type="dxa" w:w="6400"/>
          </w:tcPr>
          <w:p>
            <w:pPr>
              <w:bidi/>
              <w:jc w:val="start"/>
            </w:pPr>
            <w:r>
              <w:rPr>
                <w:rFonts w:ascii="Arial" w:cs="Arial" w:eastAsia="Arial" w:hAnsi="Arial"/>
                <w:b w:val="false"/>
                <w:bCs w:val="false"/>
                <w:sz w:val="20"/>
                <w:szCs w:val="20"/>
                <w:rtl/>
              </w:rPr>
              <w:t xml:space="preserve">كلُّ دورةٍ خطوةً خطوة — من يفعل ماذا وأين، حتى الاعتماد.</w:t>
            </w:r>
          </w:p>
        </w:tc>
      </w:tr>
    </w:tbl>
    <w:p>
      <w:pPr>
        <w:bidi/>
        <w:spacing w:after="120"/>
        <w:jc w:val="start"/>
      </w:pPr>
      <w:r>
        <w:rPr>
          <w:rFonts w:ascii="Arial" w:cs="Arial" w:eastAsia="Arial" w:hAnsi="Arial"/>
          <w:b w:val="false"/>
          <w:bCs w:val="false"/>
          <w:sz w:val="22"/>
          <w:szCs w:val="22"/>
          <w:rtl/>
        </w:rPr>
        <w:t xml:space="preserve"/>
      </w:r>
    </w:p>
    <w:p>
      <w:pPr>
        <w:bidi/>
        <w:spacing w:after="120"/>
        <w:jc w:val="start"/>
      </w:pPr>
      <w:r>
        <w:rPr>
          <w:rFonts w:ascii="Arial" w:cs="Arial" w:eastAsia="Arial" w:hAnsi="Arial"/>
          <w:b/>
          <w:bCs/>
          <w:sz w:val="24"/>
          <w:szCs w:val="24"/>
          <w:rtl/>
        </w:rPr>
        <w:t xml:space="preserve">النظام</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2600"/>
        <w:gridCol w:w="6400"/>
      </w:tblGrid>
      <w:tr>
        <w:trPr>
          <w:tblHeader/>
        </w:trPr>
        <w:tc>
          <w:tcPr>
            <w:tcW w:type="dxa" w:w="2600"/>
            <w:shd w:fill="E8F1FA" w:color="auto" w:val="clear"/>
          </w:tcPr>
          <w:p>
            <w:pPr>
              <w:bidi/>
              <w:jc w:val="start"/>
            </w:pPr>
            <w:r>
              <w:rPr>
                <w:rFonts w:ascii="Arial" w:cs="Arial" w:eastAsia="Arial" w:hAnsi="Arial"/>
                <w:b/>
                <w:bCs/>
                <w:sz w:val="20"/>
                <w:szCs w:val="20"/>
                <w:rtl/>
              </w:rPr>
              <w:t xml:space="preserve">الشاشة</w:t>
            </w:r>
          </w:p>
        </w:tc>
        <w:tc>
          <w:tcPr>
            <w:tcW w:type="dxa" w:w="6400"/>
            <w:shd w:fill="E8F1FA" w:color="auto" w:val="clear"/>
          </w:tcPr>
          <w:p>
            <w:pPr>
              <w:bidi/>
              <w:jc w:val="start"/>
            </w:pPr>
            <w:r>
              <w:rPr>
                <w:rFonts w:ascii="Arial" w:cs="Arial" w:eastAsia="Arial" w:hAnsi="Arial"/>
                <w:b/>
                <w:bCs/>
                <w:sz w:val="20"/>
                <w:szCs w:val="20"/>
                <w:rtl/>
              </w:rPr>
              <w:t xml:space="preserve">ما تفعله فيها</w:t>
            </w:r>
          </w:p>
        </w:tc>
      </w:tr>
      <w:tr>
        <w:tc>
          <w:tcPr>
            <w:tcW w:type="dxa" w:w="2600"/>
          </w:tcPr>
          <w:p>
            <w:pPr>
              <w:bidi/>
              <w:jc w:val="start"/>
            </w:pPr>
            <w:r>
              <w:rPr>
                <w:rFonts w:ascii="Arial" w:cs="Arial" w:eastAsia="Arial" w:hAnsi="Arial"/>
                <w:b w:val="false"/>
                <w:bCs w:val="false"/>
                <w:sz w:val="20"/>
                <w:szCs w:val="20"/>
                <w:rtl/>
              </w:rPr>
              <w:t xml:space="preserve">السجلات والإشعارات ← الإشعارات</w:t>
            </w:r>
          </w:p>
        </w:tc>
        <w:tc>
          <w:tcPr>
            <w:tcW w:type="dxa" w:w="6400"/>
          </w:tcPr>
          <w:p>
            <w:pPr>
              <w:bidi/>
              <w:jc w:val="start"/>
            </w:pPr>
            <w:r>
              <w:rPr>
                <w:rFonts w:ascii="Arial" w:cs="Arial" w:eastAsia="Arial" w:hAnsi="Arial"/>
                <w:b w:val="false"/>
                <w:bCs w:val="false"/>
                <w:sz w:val="20"/>
                <w:szCs w:val="20"/>
                <w:rtl/>
              </w:rPr>
              <w:t xml:space="preserve">ما يجب أن يعرفه أحدٌ الآن — وبأيِّ قناةٍ يصله.</w:t>
            </w:r>
          </w:p>
        </w:tc>
      </w:tr>
    </w:tbl>
    <w:p>
      <w:pPr>
        <w:bidi/>
        <w:spacing w:after="120"/>
        <w:jc w:val="start"/>
      </w:pPr>
      <w:r>
        <w:rPr>
          <w:rFonts w:ascii="Arial" w:cs="Arial" w:eastAsia="Arial" w:hAnsi="Arial"/>
          <w:b w:val="false"/>
          <w:bCs w:val="false"/>
          <w:sz w:val="22"/>
          <w:szCs w:val="22"/>
          <w:rtl/>
        </w:rPr>
        <w:t xml:space="preserve"/>
      </w:r>
    </w:p>
    <w:p>
      <w:pPr>
        <w:pStyle w:val="Heading2"/>
        <w:bidi/>
        <w:spacing w:after="120"/>
        <w:jc w:val="start"/>
      </w:pPr>
      <w:r>
        <w:rPr>
          <w:rFonts w:ascii="Arial" w:cs="Arial" w:eastAsia="Arial" w:hAnsi="Arial"/>
          <w:b/>
          <w:bCs/>
          <w:sz w:val="26"/>
          <w:szCs w:val="26"/>
          <w:rtl/>
        </w:rPr>
        <w:t xml:space="preserve">المصطلحات</w:t>
      </w:r>
    </w:p>
    <w:p>
      <w:pPr>
        <w:bidi/>
        <w:spacing w:after="120"/>
        <w:jc w:val="start"/>
      </w:pPr>
      <w:r>
        <w:rPr>
          <w:rFonts w:ascii="Arial" w:cs="Arial" w:eastAsia="Arial" w:hAnsi="Arial"/>
          <w:b/>
          <w:bCs/>
          <w:sz w:val="22"/>
          <w:szCs w:val="22"/>
          <w:rtl/>
        </w:rPr>
        <w:t xml:space="preserve">تمت الزيارة</w:t>
      </w:r>
    </w:p>
    <w:p>
      <w:pPr>
        <w:bidi/>
        <w:spacing w:after="120"/>
        <w:jc w:val="start"/>
      </w:pPr>
      <w:r>
        <w:rPr>
          <w:rFonts w:ascii="Arial" w:cs="Arial" w:eastAsia="Arial" w:hAnsi="Arial"/>
          <w:b w:val="false"/>
          <w:bCs w:val="false"/>
          <w:sz w:val="20"/>
          <w:szCs w:val="20"/>
          <w:rtl/>
        </w:rPr>
        <w:t xml:space="preserve">كلُّ نقطةٍ زارها الميدانُ بأيِّ نتيجة — وُصل إليها أو لم يُوصَل. هي رقمُ التقدّم في كلِّ الشاشات والتقارير وملفات الوزارة، والمتبقي ما لم يُزَر أصلًا.</w:t>
      </w:r>
    </w:p>
    <w:p>
      <w:pPr>
        <w:bidi/>
        <w:spacing w:after="120"/>
        <w:jc w:val="start"/>
      </w:pPr>
      <w:r>
        <w:rPr>
          <w:rFonts w:ascii="Arial" w:cs="Arial" w:eastAsia="Arial" w:hAnsi="Arial"/>
          <w:b/>
          <w:bCs/>
          <w:sz w:val="22"/>
          <w:szCs w:val="22"/>
          <w:rtl/>
        </w:rPr>
        <w:t xml:space="preserve">تم الوصول</w:t>
      </w:r>
    </w:p>
    <w:p>
      <w:pPr>
        <w:bidi/>
        <w:spacing w:after="120"/>
        <w:jc w:val="start"/>
      </w:pPr>
      <w:r>
        <w:rPr>
          <w:rFonts w:ascii="Arial" w:cs="Arial" w:eastAsia="Arial" w:hAnsi="Arial"/>
          <w:b w:val="false"/>
          <w:bCs w:val="false"/>
          <w:sz w:val="20"/>
          <w:szCs w:val="20"/>
          <w:rtl/>
        </w:rPr>
        <w:t xml:space="preserve">زيارةٌ وصل فيها الفريقُ إلى النقطة وأكمل نموذجَها. تقسيمٌ داخل «تمت الزيارة» في شاشة المسح.</w:t>
      </w:r>
    </w:p>
    <w:p>
      <w:pPr>
        <w:bidi/>
        <w:spacing w:after="120"/>
        <w:jc w:val="start"/>
      </w:pPr>
      <w:r>
        <w:rPr>
          <w:rFonts w:ascii="Arial" w:cs="Arial" w:eastAsia="Arial" w:hAnsi="Arial"/>
          <w:b/>
          <w:bCs/>
          <w:sz w:val="22"/>
          <w:szCs w:val="22"/>
          <w:rtl/>
        </w:rPr>
        <w:t xml:space="preserve">تحتاج زيارة أخرى</w:t>
      </w:r>
    </w:p>
    <w:p>
      <w:pPr>
        <w:bidi/>
        <w:spacing w:after="120"/>
        <w:jc w:val="start"/>
      </w:pPr>
      <w:r>
        <w:rPr>
          <w:rFonts w:ascii="Arial" w:cs="Arial" w:eastAsia="Arial" w:hAnsi="Arial"/>
          <w:b w:val="false"/>
          <w:bCs w:val="false"/>
          <w:sz w:val="20"/>
          <w:szCs w:val="20"/>
          <w:rtl/>
        </w:rPr>
        <w:t xml:space="preserve">نقطةٌ تمت زيارتُها ولم يُستكمَل مسحُها (لم يُوصَل إليها أو رُدَّت لزيارةٍ أخرى). تظهر هكذا للوزارة؛ وسببُها التفصيليُّ في سجلّ النقطة لسير العمل.</w:t>
      </w:r>
    </w:p>
    <w:p>
      <w:pPr>
        <w:bidi/>
        <w:spacing w:after="120"/>
        <w:jc w:val="start"/>
      </w:pPr>
      <w:r>
        <w:rPr>
          <w:rFonts w:ascii="Arial" w:cs="Arial" w:eastAsia="Arial" w:hAnsi="Arial"/>
          <w:b/>
          <w:bCs/>
          <w:sz w:val="22"/>
          <w:szCs w:val="22"/>
          <w:rtl/>
        </w:rPr>
        <w:t xml:space="preserve">بدون عوائق</w:t>
      </w:r>
    </w:p>
    <w:p>
      <w:pPr>
        <w:bidi/>
        <w:spacing w:after="120"/>
        <w:jc w:val="start"/>
      </w:pPr>
      <w:r>
        <w:rPr>
          <w:rFonts w:ascii="Arial" w:cs="Arial" w:eastAsia="Arial" w:hAnsi="Arial"/>
          <w:b w:val="false"/>
          <w:bCs w:val="false"/>
          <w:sz w:val="20"/>
          <w:szCs w:val="20"/>
          <w:rtl/>
        </w:rPr>
        <w:t xml:space="preserve">تمت الزيارة وتم الوصول ولا تحدّيَ مسجّلًا — الأخضر في شاشة القاعة وبطاقة «نقاط بلا عوائق».</w:t>
      </w:r>
    </w:p>
    <w:p>
      <w:pPr>
        <w:bidi/>
        <w:spacing w:after="120"/>
        <w:jc w:val="start"/>
      </w:pPr>
      <w:r>
        <w:rPr>
          <w:rFonts w:ascii="Arial" w:cs="Arial" w:eastAsia="Arial" w:hAnsi="Arial"/>
          <w:b/>
          <w:bCs/>
          <w:sz w:val="22"/>
          <w:szCs w:val="22"/>
          <w:rtl/>
        </w:rPr>
        <w:t xml:space="preserve">بعوائق</w:t>
      </w:r>
    </w:p>
    <w:p>
      <w:pPr>
        <w:bidi/>
        <w:spacing w:after="120"/>
        <w:jc w:val="start"/>
      </w:pPr>
      <w:r>
        <w:rPr>
          <w:rFonts w:ascii="Arial" w:cs="Arial" w:eastAsia="Arial" w:hAnsi="Arial"/>
          <w:b w:val="false"/>
          <w:bCs w:val="false"/>
          <w:sz w:val="20"/>
          <w:szCs w:val="20"/>
          <w:rtl/>
        </w:rPr>
        <w:t xml:space="preserve">ما تمت زيارتُه وفيه تحدٍّ أو تحتاج زيارةً أخرى تقنيًا — الأحمر في شاشة القاعة وبطاقة «نقاط بعوائق». بدون عوائق + بعوائق = تمت الزيارة.</w:t>
      </w:r>
    </w:p>
    <w:p>
      <w:pPr>
        <w:bidi/>
        <w:spacing w:after="120"/>
        <w:jc w:val="start"/>
      </w:pPr>
      <w:r>
        <w:rPr>
          <w:rFonts w:ascii="Arial" w:cs="Arial" w:eastAsia="Arial" w:hAnsi="Arial"/>
          <w:b/>
          <w:bCs/>
          <w:sz w:val="22"/>
          <w:szCs w:val="22"/>
          <w:rtl/>
        </w:rPr>
        <w:t xml:space="preserve">شاشة القاعة</w:t>
      </w:r>
    </w:p>
    <w:p>
      <w:pPr>
        <w:bidi/>
        <w:spacing w:after="120"/>
        <w:jc w:val="start"/>
      </w:pPr>
      <w:r>
        <w:rPr>
          <w:rFonts w:ascii="Arial" w:cs="Arial" w:eastAsia="Arial" w:hAnsi="Arial"/>
          <w:b w:val="false"/>
          <w:bCs w:val="false"/>
          <w:sz w:val="20"/>
          <w:szCs w:val="20"/>
          <w:rtl/>
        </w:rPr>
        <w:t xml:space="preserve">عرضٌ كبيرٌ للاجتماعات يتجدّد كلَّ دقيقة: نسبةُ الزيارة والتركيب، والمشاعر، والنقاطُ بعوائق وبدونها للإجمالي ولكلِّ نوع. من «متابعة الوزارة» ← «شاشة القاعة» ← «عرضٌ كامل».</w:t>
      </w:r>
    </w:p>
    <w:p>
      <w:pPr>
        <w:bidi/>
        <w:spacing w:after="120"/>
        <w:jc w:val="start"/>
      </w:pPr>
      <w:r>
        <w:rPr>
          <w:rFonts w:ascii="Arial" w:cs="Arial" w:eastAsia="Arial" w:hAnsi="Arial"/>
          <w:b/>
          <w:bCs/>
          <w:sz w:val="22"/>
          <w:szCs w:val="22"/>
          <w:rtl/>
        </w:rPr>
        <w:t xml:space="preserve">رقم الشاخص</w:t>
      </w:r>
    </w:p>
    <w:p>
      <w:pPr>
        <w:bidi/>
        <w:spacing w:after="120"/>
        <w:jc w:val="start"/>
      </w:pPr>
      <w:r>
        <w:rPr>
          <w:rFonts w:ascii="Arial" w:cs="Arial" w:eastAsia="Arial" w:hAnsi="Arial"/>
          <w:b w:val="false"/>
          <w:bCs w:val="false"/>
          <w:sz w:val="20"/>
          <w:szCs w:val="20"/>
          <w:rtl/>
        </w:rPr>
        <w:t xml:space="preserve">المعرّفُ الأوّلُ لكلِّ مخيمٍ في منى وعرفات: رقمُ المخيم/رقمُ الشارع — مثل 25/56 = المخيمُ ٢٥ في الشارع ٥٦. يظهر أوّلًا في كلِّ نافذةٍ وجدولٍ وتصدير، ومعرّفُ النظام (NSK-…) تحته ثانيًا، وكلاهما يُبحَث به. وقد يكون في المخيم الواحد أكثرُ من شركة، فيظهر الشاخصُ نفسُه بسطرٍ لكلِّ شركةٍ واسمُها تحته.</w:t>
      </w:r>
    </w:p>
    <w:p>
      <w:pPr>
        <w:bidi/>
        <w:spacing w:after="120"/>
        <w:jc w:val="start"/>
      </w:pPr>
      <w:r>
        <w:rPr>
          <w:rFonts w:ascii="Arial" w:cs="Arial" w:eastAsia="Arial" w:hAnsi="Arial"/>
          <w:b/>
          <w:bCs/>
          <w:sz w:val="22"/>
          <w:szCs w:val="22"/>
          <w:rtl/>
        </w:rPr>
        <w:t xml:space="preserve">اسم الممر في ١٤٤٧</w:t>
      </w:r>
    </w:p>
    <w:p>
      <w:pPr>
        <w:bidi/>
        <w:spacing w:after="120"/>
        <w:jc w:val="start"/>
      </w:pPr>
      <w:r>
        <w:rPr>
          <w:rFonts w:ascii="Arial" w:cs="Arial" w:eastAsia="Arial" w:hAnsi="Arial"/>
          <w:b w:val="false"/>
          <w:bCs w:val="false"/>
          <w:sz w:val="20"/>
          <w:szCs w:val="20"/>
          <w:rtl/>
        </w:rPr>
        <w:t xml:space="preserve">المعرّفُ الأوّلُ للممرات المركّبة في الموسم الماضي — اسمُها المعروف مثل Path-Shaded-3R. والممراتُ الجديدةُ معرّفُها الأوّلُ المقترح (NSK-MIN-RDR-…) حتى تُسمّى.</w:t>
      </w:r>
    </w:p>
    <w:p>
      <w:pPr>
        <w:bidi/>
        <w:spacing w:after="120"/>
        <w:jc w:val="start"/>
      </w:pPr>
      <w:r>
        <w:rPr>
          <w:rFonts w:ascii="Arial" w:cs="Arial" w:eastAsia="Arial" w:hAnsi="Arial"/>
          <w:b/>
          <w:bCs/>
          <w:sz w:val="22"/>
          <w:szCs w:val="22"/>
          <w:rtl/>
        </w:rPr>
        <w:t xml:space="preserve">حذف نقطة</w:t>
      </w:r>
    </w:p>
    <w:p>
      <w:pPr>
        <w:bidi/>
        <w:spacing w:after="120"/>
        <w:jc w:val="start"/>
      </w:pPr>
      <w:r>
        <w:rPr>
          <w:rFonts w:ascii="Arial" w:cs="Arial" w:eastAsia="Arial" w:hAnsi="Arial"/>
          <w:b w:val="false"/>
          <w:bCs w:val="false"/>
          <w:sz w:val="20"/>
          <w:szCs w:val="20"/>
          <w:rtl/>
        </w:rPr>
        <w:t xml:space="preserve">للمهندس فما فوق: افتح النقطةَ على الخريطة ثم «🗑 حذف النقطة» وأكّد — أو من «تعديل بيانات النقطة» في تفاصيلها. تُحذَف ولو تمت زيارتُها: تختفي من كلِّ الأرقام وتبقى سجلّاتُها، وتُستعاد من «نقاطٌ مخفية» أسفل قائمة المواقع. أما ما رُكّب أو سُلّم أو فُكّ فلا يُحذَف (قرارُ المالك) ويظهر عليه قفل.</w:t>
      </w:r>
    </w:p>
    <w:p>
      <w:pPr>
        <w:bidi/>
        <w:spacing w:after="120"/>
        <w:jc w:val="start"/>
      </w:pPr>
      <w:r>
        <w:rPr>
          <w:rFonts w:ascii="Arial" w:cs="Arial" w:eastAsia="Arial" w:hAnsi="Arial"/>
          <w:b/>
          <w:bCs/>
          <w:sz w:val="22"/>
          <w:szCs w:val="22"/>
          <w:rtl/>
        </w:rPr>
        <w:t xml:space="preserve">الحفظ المحلي</w:t>
      </w:r>
    </w:p>
    <w:p>
      <w:pPr>
        <w:bidi/>
        <w:spacing w:after="120"/>
        <w:jc w:val="start"/>
      </w:pPr>
      <w:r>
        <w:rPr>
          <w:rFonts w:ascii="Arial" w:cs="Arial" w:eastAsia="Arial" w:hAnsi="Arial"/>
          <w:b w:val="false"/>
          <w:bCs w:val="false"/>
          <w:sz w:val="20"/>
          <w:szCs w:val="20"/>
          <w:rtl/>
        </w:rPr>
        <w:t xml:space="preserve">كلُّ ما تُدخله يُحفَظ على جهازك فورًا ويُرفَع حين تتوفر الشبكة. إن ظهرت لافتةٌ حمراء «الحفظ المحلي لا يعمل» فزامِن الآن ولا تُغلق التطبيقَ حتى يُرفَع عملُك — والتطبيقُ يعيد فتحَ المخزن وحدَه.</w:t>
      </w:r>
    </w:p>
    <w:p>
      <w:pPr>
        <w:bidi/>
        <w:spacing w:after="120"/>
        <w:jc w:val="start"/>
      </w:pPr>
      <w:r>
        <w:rPr>
          <w:rFonts w:ascii="Arial" w:cs="Arial" w:eastAsia="Arial" w:hAnsi="Arial"/>
          <w:b w:val="false"/>
          <w:bCs w:val="false"/>
          <w:sz w:val="22"/>
          <w:szCs w:val="22"/>
          <w:rtl/>
        </w:rPr>
        <w:t xml:space="preserve"/>
      </w:r>
    </w:p>
    <w:p>
      <w:pPr>
        <w:pStyle w:val="Heading2"/>
        <w:bidi/>
        <w:spacing w:after="120"/>
        <w:jc w:val="start"/>
      </w:pPr>
      <w:r>
        <w:rPr>
          <w:rFonts w:ascii="Arial" w:cs="Arial" w:eastAsia="Arial" w:hAnsi="Arial"/>
          <w:b/>
          <w:bCs/>
          <w:sz w:val="26"/>
          <w:szCs w:val="26"/>
          <w:rtl/>
        </w:rPr>
        <w:t xml:space="preserve">ما الجديد في آخر النسخ</w:t>
      </w:r>
    </w:p>
    <w:p>
      <w:pPr>
        <w:bidi/>
        <w:spacing w:after="120"/>
        <w:jc w:val="start"/>
      </w:pPr>
      <w:r>
        <w:rPr>
          <w:rFonts w:ascii="Arial" w:cs="Arial" w:eastAsia="Arial" w:hAnsi="Arial"/>
          <w:b/>
          <w:bCs/>
          <w:sz w:val="22"/>
          <w:szCs w:val="22"/>
          <w:rtl/>
        </w:rPr>
        <w:t xml:space="preserve">V37.61  ·  ١٢ أكتوبر ٢٠٢٦</w:t>
      </w:r>
    </w:p>
    <w:p>
      <w:pPr>
        <w:bidi/>
        <w:spacing w:after="120"/>
        <w:jc w:val="start"/>
      </w:pPr>
      <w:r>
        <w:rPr>
          <w:rFonts w:ascii="Arial" w:cs="Arial" w:eastAsia="Arial" w:hAnsi="Arial"/>
          <w:b w:val="false"/>
          <w:bCs w:val="false"/>
          <w:sz w:val="20"/>
          <w:szCs w:val="20"/>
          <w:rtl/>
        </w:rPr>
        <w:t xml:space="preserve">•  تنفيذ توصيات المراجعة: وحدة التقرير التنفيذي اتنقلت لملف لوحدها (ملف المتابعة نزل من ٤٨٩ لـ٤٦٥ ك.ب قبل التبويبات الخمسة). وقرارات كاميرات منى اتنقلت من الكود للسحابة مرة واحدة، فبقى المهندس يغيّرها من نافذة النقطة.</w:t>
      </w:r>
    </w:p>
    <w:p>
      <w:pPr>
        <w:bidi/>
        <w:spacing w:after="120"/>
        <w:jc w:val="start"/>
      </w:pPr>
      <w:r>
        <w:rPr>
          <w:rFonts w:ascii="Arial" w:cs="Arial" w:eastAsia="Arial" w:hAnsi="Arial"/>
          <w:b w:val="false"/>
          <w:bCs w:val="false"/>
          <w:sz w:val="20"/>
          <w:szCs w:val="20"/>
          <w:rtl/>
        </w:rPr>
        <w:t xml:space="preserve">•  ومسكت خطأ: تصنيف المهندس اليدوي للتقرير التنفيذي ما كانش بيوصل للأجهزة التانية (كان بيفضل على جهازه بس) — اتصلّح.</w:t>
      </w:r>
    </w:p>
    <w:p>
      <w:pPr>
        <w:bidi/>
        <w:spacing w:after="120"/>
        <w:jc w:val="start"/>
      </w:pPr>
      <w:r>
        <w:rPr>
          <w:rFonts w:ascii="Arial" w:cs="Arial" w:eastAsia="Arial" w:hAnsi="Arial"/>
          <w:b/>
          <w:bCs/>
          <w:sz w:val="22"/>
          <w:szCs w:val="22"/>
          <w:rtl/>
        </w:rPr>
        <w:t xml:space="preserve">V37.60  ·  ١٢ أكتوبر ٢٠٢٦</w:t>
      </w:r>
    </w:p>
    <w:p>
      <w:pPr>
        <w:bidi/>
        <w:spacing w:after="120"/>
        <w:jc w:val="start"/>
      </w:pPr>
      <w:r>
        <w:rPr>
          <w:rFonts w:ascii="Arial" w:cs="Arial" w:eastAsia="Arial" w:hAnsi="Arial"/>
          <w:b w:val="false"/>
          <w:bCs w:val="false"/>
          <w:sz w:val="20"/>
          <w:szCs w:val="20"/>
          <w:rtl/>
        </w:rPr>
        <w:t xml:space="preserve">•  مراجعة الكود: اتشال ١٠ متغيرات عامة ما حدش بيقراها، ودالة حساب التصنيف التلقائي بقت ما بتلمسش الإعدادات السحابية، وثلاث نسخ مكررة لإعادة رسم النافذة بقت دالة واحدة. مفيش تغيير في الشكل ولا الأرقام.</w:t>
      </w:r>
    </w:p>
    <w:p>
      <w:pPr>
        <w:bidi/>
        <w:spacing w:after="120"/>
        <w:jc w:val="start"/>
      </w:pPr>
      <w:r>
        <w:rPr>
          <w:rFonts w:ascii="Arial" w:cs="Arial" w:eastAsia="Arial" w:hAnsi="Arial"/>
          <w:b/>
          <w:bCs/>
          <w:sz w:val="22"/>
          <w:szCs w:val="22"/>
          <w:rtl/>
        </w:rPr>
        <w:t xml:space="preserve">V37.59  ·  ١٢ أكتوبر ٢٠٢٦</w:t>
      </w:r>
    </w:p>
    <w:p>
      <w:pPr>
        <w:bidi/>
        <w:spacing w:after="120"/>
        <w:jc w:val="start"/>
      </w:pPr>
      <w:r>
        <w:rPr>
          <w:rFonts w:ascii="Arial" w:cs="Arial" w:eastAsia="Arial" w:hAnsi="Arial"/>
          <w:b w:val="false"/>
          <w:bCs w:val="false"/>
          <w:sz w:val="20"/>
          <w:szCs w:val="20"/>
          <w:rtl/>
        </w:rPr>
        <w:t xml:space="preserve">•  اللوحات بقت أرقامها بتجمع على بعض: كل نقطة محسوبة مرة واحدة بأهم تحدي فيها (عائق، ثم هيكل، ثم المدخل، ثم العارضة، ثم ارتفاع)، فـ«تحتاج تجهيز» = هيكل + مدخل + عارضة + ارتفاع بالظبط، و«يحتاج هيكل» نفس الرقم في كل شاشة. و«ليه؟» بقت تحت «تحتاج تجهيز».</w:t>
      </w:r>
    </w:p>
    <w:p>
      <w:pPr>
        <w:bidi/>
        <w:spacing w:after="120"/>
        <w:jc w:val="start"/>
      </w:pPr>
      <w:r>
        <w:rPr>
          <w:rFonts w:ascii="Arial" w:cs="Arial" w:eastAsia="Arial" w:hAnsi="Arial"/>
          <w:b w:val="false"/>
          <w:bCs w:val="false"/>
          <w:sz w:val="20"/>
          <w:szCs w:val="20"/>
          <w:rtl/>
        </w:rPr>
        <w:t xml:space="preserve">•  جوه أي مربع: زرار «→ رجوع» للشاشة اللي قبلها (حتى لو دخلت أكتر من مستوى)، والعنوان جملة واحدة «٧٤٢ نقطة — تحتاج تجهيز» من غير حلقة حمرا ولا نسبة، و«حالها الآن» بتختفي لما تبقى لون واحد.</w:t>
      </w:r>
    </w:p>
    <w:p>
      <w:pPr>
        <w:bidi/>
        <w:spacing w:after="120"/>
        <w:jc w:val="start"/>
      </w:pPr>
      <w:r>
        <w:rPr>
          <w:rFonts w:ascii="Arial" w:cs="Arial" w:eastAsia="Arial" w:hAnsi="Arial"/>
          <w:b/>
          <w:bCs/>
          <w:sz w:val="22"/>
          <w:szCs w:val="22"/>
          <w:rtl/>
        </w:rPr>
        <w:t xml:space="preserve">V37.58  ·  ١٢ أكتوبر ٢٠٢٦</w:t>
      </w:r>
    </w:p>
    <w:p>
      <w:pPr>
        <w:bidi/>
        <w:spacing w:after="120"/>
        <w:jc w:val="start"/>
      </w:pPr>
      <w:r>
        <w:rPr>
          <w:rFonts w:ascii="Arial" w:cs="Arial" w:eastAsia="Arial" w:hAnsi="Arial"/>
          <w:b w:val="false"/>
          <w:bCs w:val="false"/>
          <w:sz w:val="20"/>
          <w:szCs w:val="20"/>
          <w:rtl/>
        </w:rPr>
        <w:t xml:space="preserve">•  في كل لوحة: أي مربع بتضغطه (جاهزة، تحتاج تجهيز، تحتاج تنسيق، زيارة أخرى، يحتاج هيكل، المدخل، العارضة، عائق، ارتفاع، قيد المراجعة) بيفتح نافذته بلوحتها وإكسلها، ومعاه «↩ رجوع للكل». والإكسل بقى بينزّل اللي شايفه في النافذة بالظبط (المشعر والمربع)، وكان قبل كده بينزّل الكل.</w:t>
      </w:r>
    </w:p>
    <w:p>
      <w:pPr>
        <w:bidi/>
        <w:spacing w:after="120"/>
        <w:jc w:val="start"/>
      </w:pPr>
      <w:r>
        <w:rPr>
          <w:rFonts w:ascii="Arial" w:cs="Arial" w:eastAsia="Arial" w:hAnsi="Arial"/>
          <w:b w:val="false"/>
          <w:bCs w:val="false"/>
          <w:sz w:val="20"/>
          <w:szCs w:val="20"/>
          <w:rtl/>
        </w:rPr>
        <w:t xml:space="preserve">•  واتشال من اللوحة سطر الأسبوع والخريطة بطلبك.</w:t>
      </w:r>
    </w:p>
    <w:p>
      <w:pPr>
        <w:bidi/>
        <w:spacing w:after="120"/>
        <w:jc w:val="start"/>
      </w:pPr>
      <w:r>
        <w:rPr>
          <w:rFonts w:ascii="Arial" w:cs="Arial" w:eastAsia="Arial" w:hAnsi="Arial"/>
          <w:b/>
          <w:bCs/>
          <w:sz w:val="22"/>
          <w:szCs w:val="22"/>
          <w:rtl/>
        </w:rPr>
        <w:t xml:space="preserve">V37.57  ·  ١٢ أكتوبر ٢٠٢٦</w:t>
      </w:r>
    </w:p>
    <w:p>
      <w:pPr>
        <w:bidi/>
        <w:spacing w:after="120"/>
        <w:jc w:val="start"/>
      </w:pPr>
      <w:r>
        <w:rPr>
          <w:rFonts w:ascii="Arial" w:cs="Arial" w:eastAsia="Arial" w:hAnsi="Arial"/>
          <w:b w:val="false"/>
          <w:bCs w:val="false"/>
          <w:sz w:val="20"/>
          <w:szCs w:val="20"/>
          <w:rtl/>
        </w:rPr>
        <w:t xml:space="preserve">•  تصحيح لفحص التوثيق على الأصل: سمة داخلية في أقسام التصفية كان جرد الأزرار بيعتبرها زرار من غير معالج.</w:t>
      </w:r>
    </w:p>
    <w:p>
      <w:pPr>
        <w:bidi/>
        <w:spacing w:after="120"/>
        <w:jc w:val="start"/>
      </w:pPr>
      <w:r>
        <w:rPr>
          <w:rFonts w:ascii="Arial" w:cs="Arial" w:eastAsia="Arial" w:hAnsi="Arial"/>
          <w:b w:val="false"/>
          <w:bCs w:val="false"/>
          <w:sz w:val="22"/>
          <w:szCs w:val="22"/>
          <w:rtl/>
        </w:rPr>
        <w:t xml:space="preserve"/>
      </w:r>
    </w:p>
    <w:p>
      <w:pPr>
        <w:bidi/>
        <w:spacing w:after="120"/>
        <w:jc w:val="start"/>
      </w:pPr>
      <w:r>
        <w:rPr>
          <w:rFonts w:ascii="Arial" w:cs="Arial" w:eastAsia="Arial" w:hAnsi="Arial"/>
          <w:b w:val="false"/>
          <w:bCs w:val="false"/>
          <w:color w:val="888888"/>
          <w:sz w:val="18"/>
          <w:szCs w:val="18"/>
          <w:rtl/>
        </w:rPr>
        <w:t xml:space="preserve">هذا الدليل مُولَّدٌ آليًّا من تعريف الدور في النظام — من غيّر صلاحيةً ثم أعاد التوليدَ غيّر الدليلَ معها.</w:t>
      </w:r>
    </w:p>
    <w:sectPr>
      <w:pgSz w:w="11906" w:h="16838" w:orient="portrait"/>
      <w:pgMar w:top="1134" w:right="1134" w:bottom="1134" w:left="1134" w:header="708" w:footer="708" w:gutter="0"/>
      <w:pgNumType/>
      <w:docGrid w:linePitch="360"/>
    </w:sectPr>
  </w:body>
</w:document>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tentative="1">
      <w:start w:val="1"/>
      <w:numFmt w:val="bullet"/>
      <w:lvlText w:val="●"/>
      <w:lvlJc w:val="left"/>
      <w:pPr>
        <w:ind w:left="720" w:hanging="360"/>
      </w:pPr>
    </w:lvl>
    <w:lvl w:ilvl="1" w:tentative="1">
      <w:start w:val="1"/>
      <w:numFmt w:val="bullet"/>
      <w:lvlText w:val="○"/>
      <w:lvlJc w:val="left"/>
      <w:pPr>
        <w:ind w:left="1440" w:hanging="360"/>
      </w:pPr>
    </w:lvl>
    <w:lvl w:ilvl="2" w:tentative="1">
      <w:start w:val="1"/>
      <w:numFmt w:val="bullet"/>
      <w:lvlText w:val="■"/>
      <w:lvlJc w:val="left"/>
      <w:pPr>
        <w:ind w:left="2160" w:hanging="360"/>
      </w:pPr>
    </w:lvl>
    <w:lvl w:ilvl="3" w:tentative="1">
      <w:start w:val="1"/>
      <w:numFmt w:val="bullet"/>
      <w:lvlText w:val="●"/>
      <w:lvlJc w:val="left"/>
      <w:pPr>
        <w:ind w:left="2880" w:hanging="360"/>
      </w:pPr>
    </w:lvl>
    <w:lvl w:ilvl="4" w:tentative="1">
      <w:start w:val="1"/>
      <w:numFmt w:val="bullet"/>
      <w:lvlText w:val="○"/>
      <w:lvlJc w:val="left"/>
      <w:pPr>
        <w:ind w:left="3600" w:hanging="360"/>
      </w:pPr>
    </w:lvl>
    <w:lvl w:ilvl="5" w:tentative="1">
      <w:start w:val="1"/>
      <w:numFmt w:val="bullet"/>
      <w:lvlText w:val="■"/>
      <w:lvlJc w:val="left"/>
      <w:pPr>
        <w:ind w:left="4320" w:hanging="360"/>
      </w:pPr>
    </w:lvl>
    <w:lvl w:ilvl="6" w:tentative="1">
      <w:start w:val="1"/>
      <w:numFmt w:val="bullet"/>
      <w:lvlText w:val="●"/>
      <w:lvlJc w:val="left"/>
      <w:pPr>
        <w:ind w:left="5040" w:hanging="360"/>
      </w:pPr>
    </w:lvl>
    <w:lvl w:ilvl="7" w:tentative="1">
      <w:start w:val="1"/>
      <w:numFmt w:val="bullet"/>
      <w:lvlText w:val="●"/>
      <w:lvlJc w:val="left"/>
      <w:pPr>
        <w:ind w:left="5760" w:hanging="360"/>
      </w:pPr>
    </w:lvl>
    <w:lvl w:ilvl="8" w: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Arial" w:cs="Arial" w:eastAsia="Arial" w:hAnsi="Arial"/>
        <w:sz w:val="22"/>
        <w:szCs w:val="22"/>
      </w:rPr>
    </w:rPrDefault>
    <w:pPrDefault/>
  </w:docDefaults>
  <w:style w:type="paragraph" w:styleId="Normal" w:default="1">
    <w:name w:val="Normal"/>
    <w:qFormat/>
  </w:style>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theme" Target="theme/theme1.xml"/><Relationship Id="rId7"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true">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false"/>
        </a:gradFill>
        <a:gradFill rotWithShape="true">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false"/>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false">
              <a:srgbClr val="000000">
                <a:alpha val="63000"/>
              </a:srgbClr>
            </a:outerShdw>
          </a:effectLst>
        </a:effectStyle>
      </a:effectStyleLst>
      <a:bgFillStyleLst>
        <a:solidFill>
          <a:schemeClr val="phClr"/>
        </a:solidFill>
        <a:solidFill>
          <a:schemeClr val="phClr">
            <a:tint val="95000"/>
            <a:satMod val="170000"/>
          </a:schemeClr>
        </a:solidFill>
        <a:gradFill rotWithShape="true">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false"/>
        </a:gradFill>
      </a:bgFillStyleLst>
    </a:fmtScheme>
  </a:themeElements>
  <a:objectDefaults/>
  <a:extraClrSchemeLst/>
</a:theme>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2026-01-01T00:00:00Z</dcterms:created>
  <dcterms:modified xsi:type="dcterms:W3CDTF">2026-01-01T00:00:00Z</dcterms:modified>
</cp:coreProperties>
</file>

<file path=docProps/custom.xml><?xml version="1.0" encoding="utf-8"?>
<Properties xmlns="http://schemas.openxmlformats.org/officeDocument/2006/custom-properties" xmlns:vt="http://schemas.openxmlformats.org/officeDocument/2006/docPropsVTypes"/>
</file>