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V36.0  ·  ٧ أكتوبر ٢٠٢٦</w:t>
      </w:r>
    </w:p>
    <w:p>
      <w:pPr>
        <w:bidi/>
        <w:spacing w:after="120"/>
        <w:jc w:val="start"/>
      </w:pPr>
      <w:r>
        <w:rPr>
          <w:rFonts w:ascii="Arial" w:cs="Arial" w:eastAsia="Arial" w:hAnsi="Arial"/>
          <w:b w:val="false"/>
          <w:bCs w:val="false"/>
          <w:sz w:val="20"/>
          <w:szCs w:val="20"/>
          <w:rtl/>
        </w:rPr>
        <w:t xml:space="preserve">•  داخلي للفريق (من غير أي تغيير في الشاشات): كل تعريفات حالة النقطة — تمت الزيارة، وبعوائق وبدون، والتركيب والتسليم والفك، ورقم الشاخص — اتجمعت في ملف واحد، عشان أي تعديل في تعريف يحصل في مكان واحد وما يتكررش خطأ زي محطات القطار.</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