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V38.84  ·  2026-10-23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من يقرأ القاعدة بالاسم، ونقل الصور بلا هدر، وسجل الصفحات الصحيح، وصور لوح التعديل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V38.83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بلا وقفات كاذبة: فحص الأزرار يمهل الزر البطيء حتى ثانية ونصف، والبوابة لا تُلغيها القائمة التي تُطلقها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V38.82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سلسلة النشر تكمل وحدها على الخادم: البوابة الخضراء تُطلق القائمة الكاملة، والقائمة الخضراء ترقّي الالتزام نفسه إلى الإنتاج، وبلاغ للمالك عند الوقوف وحده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V38.81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القاعدة بالسنت: مهمة التكلفة تقرأ عدّادات جوجل ساعاتٍ على رأس الساعة فيطابق كل يوم يوم الفوترة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