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التجميع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V38.31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تجميعًا وحده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V38.31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قطار المشاعر: ٩ محطات بإحداثيات مرجعية و٦٢ بوابة إلكترونية أولية بلا إحداثيات حتى تُحقَّق — ومهلة ما ينتظر الرفع ٧ أيام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V38.30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ما ينتظر الرفع: مهلة تجاهل يحددها المالك، وملف انتظار يُصدَّر من الجهاز ويُستورد عند 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التطبيق لا يكتب عنوانه بيد — تمهيدًا للدومين الخاص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المصدر مجلّدات بالمجال — ٩٤ ملفًا بدل ١٧، بلا تغيير بايت واحد في الناتج، وخريطة كود مولَّدة وسقف ١٥٠٠ سطر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V38.27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التقارير بالكلام تفهم «موقع النقطة»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