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V43.4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نظرة عامة ← المضاف يدويًا</w:t>
            </w:r>
          </w:p>
        </w:tc>
        <w:tc>
          <w:tcPr>
            <w:tcW w:type="dxa" w:w="6400"/>
          </w:tcPr>
          <w:p>
            <w:pPr>
              <w:bidi/>
              <w:jc w:val="start"/>
            </w:pPr>
            <w:r>
              <w:rPr>
                <w:rFonts w:ascii="Arial" w:cs="Arial" w:eastAsia="Arial" w:hAnsi="Arial"/>
                <w:b w:val="false"/>
                <w:bCs w:val="false"/>
                <w:sz w:val="20"/>
                <w:szCs w:val="20"/>
                <w:rtl/>
              </w:rPr>
              <w:t xml:space="preserve">ما لم يكن في ملف العام الماضي: أضافه المكتب أو الميدان أو الوزارة — بمن أضافه ومتى وأين، وحالته.</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