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المظهر: الشكل القديم اتشال، و«غرفة التحكم» بقت هي «الافتراضي» لكل الأجهزة، و«هوية أفاقي» اسمها بقى «النهاري» (الفاتح). يعني اختيارين بس: الافتراضي والنهاري.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كلام في نموذج الموقع الجديد للميدان: كان بيقول إن الموقع الجديد «ما بيدخلش الأرقام لحد الاعتماد»، والصح إنه بيدخل الأرقام على طول وعليه علامة «جديد بانتظار الاعتماد».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V37.72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بقت ظاهرة في نافذة أي نقطة على الخريطة لكل الحسابات، والوزارة أولهم: صور مصغّرة بتتحمّل أول ما تفتح النقطة، وتضغط على أي صورة تتفتح كاملة. وزرار «◈ التفاصيل» بقى بيفتح صفحة التفاصيل للوزارة (كان بيرجّعها للخريطة).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V37.71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النقطة الجديدة لحساب الوزارة بقى على قدّها: من غير «السبب» ولا «التحديات» ولا الصور (دي شغل المسح الميداني)، والشركة اختيارية، والزرار «🏛 أرسل المقترحة للمهندس»، وتحته: «لا تدخل الأرقام ولا التقارير قبل اعتماده».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