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مدير المشروع</w:t>
      </w:r>
    </w:p>
    <w:p>
      <w:pPr>
        <w:bidi/>
        <w:spacing w:after="120"/>
        <w:jc w:val="start"/>
      </w:pPr>
      <w:r>
        <w:rPr>
          <w:rFonts w:ascii="Arial" w:cs="Arial" w:eastAsia="Arial" w:hAnsi="Arial"/>
          <w:b w:val="false"/>
          <w:bCs w:val="false"/>
          <w:color w:val="666666"/>
          <w:sz w:val="20"/>
          <w:szCs w:val="20"/>
          <w:rtl/>
        </w:rPr>
        <w:t xml:space="preserve">النسخة V41.4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صلاحيةٌ كاملة — ويُدير الأدوارَ والحسابات</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يفعّل الحسابات الجديدة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approve</w:t>
            </w:r>
          </w:p>
        </w:tc>
        <w:tc>
          <w:tcPr>
            <w:tcW w:type="dxa" w:w="6000"/>
          </w:tcPr>
          <w:p>
            <w:pPr>
              <w:bidi/>
              <w:jc w:val="start"/>
            </w:pPr>
            <w:r>
              <w:rPr>
                <w:rFonts w:ascii="Arial" w:cs="Arial" w:eastAsia="Arial" w:hAnsi="Arial"/>
                <w:b w:val="false"/>
                <w:bCs w:val="false"/>
                <w:sz w:val="20"/>
                <w:szCs w:val="20"/>
                <w:rtl/>
              </w:rPr>
              <w:t xml:space="preserve">يعتمد ويردّ</w:t>
            </w:r>
          </w:p>
        </w:tc>
      </w:tr>
      <w:tr>
        <w:tc>
          <w:tcPr>
            <w:tcW w:type="dxa" w:w="3000"/>
          </w:tcPr>
          <w:p>
            <w:pPr>
              <w:bidi/>
              <w:jc w:val="start"/>
            </w:pPr>
            <w:r>
              <w:rPr>
                <w:rFonts w:ascii="Arial" w:cs="Arial" w:eastAsia="Arial" w:hAnsi="Arial"/>
                <w:b w:val="false"/>
                <w:bCs w:val="false"/>
                <w:sz w:val="20"/>
                <w:szCs w:val="20"/>
                <w:rtl/>
              </w:rPr>
              <w:t xml:space="preserve">settings</w:t>
            </w:r>
          </w:p>
        </w:tc>
        <w:tc>
          <w:tcPr>
            <w:tcW w:type="dxa" w:w="6000"/>
          </w:tcPr>
          <w:p>
            <w:pPr>
              <w:bidi/>
              <w:jc w:val="start"/>
            </w:pPr>
            <w:r>
              <w:rPr>
                <w:rFonts w:ascii="Arial" w:cs="Arial" w:eastAsia="Arial" w:hAnsi="Arial"/>
                <w:b w:val="false"/>
                <w:bCs w:val="false"/>
                <w:sz w:val="20"/>
                <w:szCs w:val="20"/>
                <w:rtl/>
              </w:rPr>
              <w:t xml:space="preserve">يضبط الإعدادات</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delete</w:t>
            </w:r>
          </w:p>
        </w:tc>
        <w:tc>
          <w:tcPr>
            <w:tcW w:type="dxa" w:w="6000"/>
          </w:tcPr>
          <w:p>
            <w:pPr>
              <w:bidi/>
              <w:jc w:val="start"/>
            </w:pPr>
            <w:r>
              <w:rPr>
                <w:rFonts w:ascii="Arial" w:cs="Arial" w:eastAsia="Arial" w:hAnsi="Arial"/>
                <w:b w:val="false"/>
                <w:bCs w:val="false"/>
                <w:sz w:val="20"/>
                <w:szCs w:val="20"/>
                <w:rtl/>
              </w:rPr>
              <w:t xml:space="preserve">يحذف</w:t>
            </w:r>
          </w:p>
        </w:tc>
      </w:tr>
      <w:tr>
        <w:tc>
          <w:tcPr>
            <w:tcW w:type="dxa" w:w="3000"/>
          </w:tcPr>
          <w:p>
            <w:pPr>
              <w:bidi/>
              <w:jc w:val="start"/>
            </w:pPr>
            <w:r>
              <w:rPr>
                <w:rFonts w:ascii="Arial" w:cs="Arial" w:eastAsia="Arial" w:hAnsi="Arial"/>
                <w:b w:val="false"/>
                <w:bCs w:val="false"/>
                <w:sz w:val="20"/>
                <w:szCs w:val="20"/>
                <w:rtl/>
              </w:rPr>
              <w:t xml:space="preserve">users</w:t>
            </w:r>
          </w:p>
        </w:tc>
        <w:tc>
          <w:tcPr>
            <w:tcW w:type="dxa" w:w="6000"/>
          </w:tcPr>
          <w:p>
            <w:pPr>
              <w:bidi/>
              <w:jc w:val="start"/>
            </w:pPr>
            <w:r>
              <w:rPr>
                <w:rFonts w:ascii="Arial" w:cs="Arial" w:eastAsia="Arial" w:hAnsi="Arial"/>
                <w:b w:val="false"/>
                <w:bCs w:val="false"/>
                <w:sz w:val="20"/>
                <w:szCs w:val="20"/>
                <w:rtl/>
              </w:rPr>
              <w:t xml:space="preserve">يدير الحسابات</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roles</w:t>
            </w:r>
          </w:p>
        </w:tc>
        <w:tc>
          <w:tcPr>
            <w:tcW w:type="dxa" w:w="6000"/>
          </w:tcPr>
          <w:p>
            <w:pPr>
              <w:bidi/>
              <w:jc w:val="start"/>
            </w:pPr>
            <w:r>
              <w:rPr>
                <w:rFonts w:ascii="Arial" w:cs="Arial" w:eastAsia="Arial" w:hAnsi="Arial"/>
                <w:b w:val="false"/>
                <w:bCs w:val="false"/>
                <w:sz w:val="20"/>
                <w:szCs w:val="20"/>
                <w:rtl/>
              </w:rPr>
              <w:t xml:space="preserve">يدير الأدوار</w:t>
            </w:r>
          </w:p>
        </w:tc>
      </w:tr>
      <w:tr>
        <w:tc>
          <w:tcPr>
            <w:tcW w:type="dxa" w:w="3000"/>
          </w:tcPr>
          <w:p>
            <w:pPr>
              <w:bidi/>
              <w:jc w:val="start"/>
            </w:pPr>
            <w:r>
              <w:rPr>
                <w:rFonts w:ascii="Arial" w:cs="Arial" w:eastAsia="Arial" w:hAnsi="Arial"/>
                <w:b w:val="false"/>
                <w:bCs w:val="false"/>
                <w:sz w:val="20"/>
                <w:szCs w:val="20"/>
                <w:rtl/>
              </w:rPr>
              <w:t xml:space="preserve">fleet</w:t>
            </w:r>
          </w:p>
        </w:tc>
        <w:tc>
          <w:tcPr>
            <w:tcW w:type="dxa" w:w="6000"/>
          </w:tcPr>
          <w:p>
            <w:pPr>
              <w:bidi/>
              <w:jc w:val="start"/>
            </w:pPr>
            <w:r>
              <w:rPr>
                <w:rFonts w:ascii="Arial" w:cs="Arial" w:eastAsia="Arial" w:hAnsi="Arial"/>
                <w:b w:val="false"/>
                <w:bCs w:val="false"/>
                <w:sz w:val="20"/>
                <w:szCs w:val="20"/>
                <w:rtl/>
              </w:rPr>
              <w:t xml:space="preserve">يدير الأسطول</w:t>
            </w:r>
          </w:p>
        </w:tc>
      </w:tr>
      <w:tr>
        <w:tc>
          <w:tcPr>
            <w:tcW w:type="dxa" w:w="3000"/>
          </w:tcPr>
          <w:p>
            <w:pPr>
              <w:bidi/>
              <w:jc w:val="start"/>
            </w:pPr>
            <w:r>
              <w:rPr>
                <w:rFonts w:ascii="Arial" w:cs="Arial" w:eastAsia="Arial" w:hAnsi="Arial"/>
                <w:b w:val="false"/>
                <w:bCs w:val="false"/>
                <w:sz w:val="20"/>
                <w:szCs w:val="20"/>
                <w:rtl/>
              </w:rPr>
              <w:t xml:space="preserve">perms</w:t>
            </w:r>
          </w:p>
        </w:tc>
        <w:tc>
          <w:tcPr>
            <w:tcW w:type="dxa" w:w="6000"/>
          </w:tcPr>
          <w:p>
            <w:pPr>
              <w:bidi/>
              <w:jc w:val="start"/>
            </w:pPr>
            <w:r>
              <w:rPr>
                <w:rFonts w:ascii="Arial" w:cs="Arial" w:eastAsia="Arial" w:hAnsi="Arial"/>
                <w:b w:val="false"/>
                <w:bCs w:val="false"/>
                <w:sz w:val="20"/>
                <w:szCs w:val="20"/>
                <w:rtl/>
              </w:rPr>
              <w:t xml:space="preserve">يضبط صلاحيات القاعدة</w:t>
            </w:r>
          </w:p>
        </w:tc>
      </w:tr>
      <w:tr>
        <w:tc>
          <w:tcPr>
            <w:tcW w:type="dxa" w:w="3000"/>
          </w:tcPr>
          <w:p>
            <w:pPr>
              <w:bidi/>
              <w:jc w:val="start"/>
            </w:pPr>
            <w:r>
              <w:rPr>
                <w:rFonts w:ascii="Arial" w:cs="Arial" w:eastAsia="Arial" w:hAnsi="Arial"/>
                <w:b w:val="false"/>
                <w:bCs w:val="false"/>
                <w:sz w:val="20"/>
                <w:szCs w:val="20"/>
                <w:rtl/>
              </w:rPr>
              <w:t xml:space="preserve">minapprove</w:t>
            </w:r>
          </w:p>
        </w:tc>
        <w:tc>
          <w:tcPr>
            <w:tcW w:type="dxa" w:w="6000"/>
          </w:tcPr>
          <w:p>
            <w:pPr>
              <w:bidi/>
              <w:jc w:val="start"/>
            </w:pPr>
            <w:r>
              <w:rPr>
                <w:rFonts w:ascii="Arial" w:cs="Arial" w:eastAsia="Arial" w:hAnsi="Arial"/>
                <w:b w:val="false"/>
                <w:bCs w:val="false"/>
                <w:sz w:val="20"/>
                <w:szCs w:val="20"/>
                <w:rtl/>
              </w:rPr>
              <w:t xml:space="preserve">يعتمد للوزارة</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128</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تفاصيل الموقع</w:t>
            </w:r>
          </w:p>
        </w:tc>
        <w:tc>
          <w:tcPr>
            <w:tcW w:type="dxa" w:w="6400"/>
          </w:tcPr>
          <w:p>
            <w:pPr>
              <w:bidi/>
              <w:jc w:val="start"/>
            </w:pPr>
            <w:r>
              <w:rPr>
                <w:rFonts w:ascii="Arial" w:cs="Arial" w:eastAsia="Arial" w:hAnsi="Arial"/>
                <w:b w:val="false"/>
                <w:bCs w:val="false"/>
                <w:sz w:val="20"/>
                <w:szCs w:val="20"/>
                <w:rtl/>
              </w:rPr>
              <w:t xml:space="preserve">كلُّ ما عن نقطةٍ واحدة: بيانُها وزيارتُها وتركيبُها وصورُها وسجلُّها — تُفتَح من الخريطة أو من القوائم.</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رسم المسارات من وإلى الجمرات</w:t>
            </w:r>
          </w:p>
        </w:tc>
        <w:tc>
          <w:tcPr>
            <w:tcW w:type="dxa" w:w="6400"/>
          </w:tcPr>
          <w:p>
            <w:pPr>
              <w:bidi/>
              <w:jc w:val="start"/>
            </w:pPr>
            <w:r>
              <w:rPr>
                <w:rFonts w:ascii="Arial" w:cs="Arial" w:eastAsia="Arial" w:hAnsi="Arial"/>
                <w:b w:val="false"/>
                <w:bCs w:val="false"/>
                <w:sz w:val="20"/>
                <w:szCs w:val="20"/>
                <w:rtl/>
              </w:rPr>
              <w:t xml:space="preserve">ارسم بيدك على الخريطة مسارَ كلِّ دورٍ ذهابًا وعودة — يلتصق بالشوارع ويُعرَض على الأجهزة كلِّها بدل المولَّد.</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الحساسات والجيت واي</w:t>
            </w:r>
          </w:p>
        </w:tc>
        <w:tc>
          <w:tcPr>
            <w:tcW w:type="dxa" w:w="6400"/>
          </w:tcPr>
          <w:p>
            <w:pPr>
              <w:bidi/>
              <w:jc w:val="start"/>
            </w:pPr>
            <w:r>
              <w:rPr>
                <w:rFonts w:ascii="Arial" w:cs="Arial" w:eastAsia="Arial" w:hAnsi="Arial"/>
                <w:b w:val="false"/>
                <w:bCs w:val="false"/>
                <w:sz w:val="20"/>
                <w:szCs w:val="20"/>
                <w:rtl/>
              </w:rPr>
              <w:t xml:space="preserve">كلُّ جهاز: محدَّثٌ أم لا، باسم النقطة والسيريال.</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سجل العُهدة</w:t>
            </w:r>
          </w:p>
        </w:tc>
        <w:tc>
          <w:tcPr>
            <w:tcW w:type="dxa" w:w="6400"/>
          </w:tcPr>
          <w:p>
            <w:pPr>
              <w:bidi/>
              <w:jc w:val="start"/>
            </w:pPr>
            <w:r>
              <w:rPr>
                <w:rFonts w:ascii="Arial" w:cs="Arial" w:eastAsia="Arial" w:hAnsi="Arial"/>
                <w:b w:val="false"/>
                <w:bCs w:val="false"/>
                <w:sz w:val="20"/>
                <w:szCs w:val="20"/>
                <w:rtl/>
              </w:rPr>
              <w:t xml:space="preserve">من كانت معه أيُّ سيارةٍ وفي أيِّ يوم — للمخالفات والمساءلة.</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الفك والعُهدة</w:t>
            </w:r>
          </w:p>
        </w:tc>
        <w:tc>
          <w:tcPr>
            <w:tcW w:type="dxa" w:w="6400"/>
          </w:tcPr>
          <w:p>
            <w:pPr>
              <w:bidi/>
              <w:jc w:val="start"/>
            </w:pPr>
            <w:r>
              <w:rPr>
                <w:rFonts w:ascii="Arial" w:cs="Arial" w:eastAsia="Arial" w:hAnsi="Arial"/>
                <w:b w:val="false"/>
                <w:bCs w:val="false"/>
                <w:sz w:val="20"/>
                <w:szCs w:val="20"/>
                <w:rtl/>
              </w:rPr>
              <w:t xml:space="preserve">ما رُكِّب — يُجدوَل للفك وتُرجَع عُهدتُه بحالتها.</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النماذج الميدانية ← التسليم والضمان</w:t>
            </w:r>
          </w:p>
        </w:tc>
        <w:tc>
          <w:tcPr>
            <w:tcW w:type="dxa" w:w="6400"/>
          </w:tcPr>
          <w:p>
            <w:pPr>
              <w:bidi/>
              <w:jc w:val="start"/>
            </w:pPr>
            <w:r>
              <w:rPr>
                <w:rFonts w:ascii="Arial" w:cs="Arial" w:eastAsia="Arial" w:hAnsi="Arial"/>
                <w:b w:val="false"/>
                <w:bCs w:val="false"/>
                <w:sz w:val="20"/>
                <w:szCs w:val="20"/>
                <w:rtl/>
              </w:rPr>
              <w:t xml:space="preserve">ما سُلِّم للعميل وما هو في الضمان.</w:t>
            </w:r>
          </w:p>
        </w:tc>
      </w:tr>
      <w:tr>
        <w:tc>
          <w:tcPr>
            <w:tcW w:type="dxa" w:w="2600"/>
          </w:tcPr>
          <w:p>
            <w:pPr>
              <w:bidi/>
              <w:jc w:val="start"/>
            </w:pPr>
            <w:r>
              <w:rPr>
                <w:rFonts w:ascii="Arial" w:cs="Arial" w:eastAsia="Arial" w:hAnsi="Arial"/>
                <w:b w:val="false"/>
                <w:bCs w:val="false"/>
                <w:sz w:val="20"/>
                <w:szCs w:val="20"/>
                <w:rtl/>
              </w:rPr>
              <w:t xml:space="preserve">النماذج الميدانية ← الصيانة</w:t>
            </w:r>
          </w:p>
        </w:tc>
        <w:tc>
          <w:tcPr>
            <w:tcW w:type="dxa" w:w="6400"/>
          </w:tcPr>
          <w:p>
            <w:pPr>
              <w:bidi/>
              <w:jc w:val="start"/>
            </w:pPr>
            <w:r>
              <w:rPr>
                <w:rFonts w:ascii="Arial" w:cs="Arial" w:eastAsia="Arial" w:hAnsi="Arial"/>
                <w:b w:val="false"/>
                <w:bCs w:val="false"/>
                <w:sz w:val="20"/>
                <w:szCs w:val="20"/>
                <w:rtl/>
              </w:rPr>
              <w:t xml:space="preserve">عطلٌ يُسجَّل وإصلاحٌ يُوثَّق — فتُغلَق مهمةُ الصيانة.</w:t>
            </w:r>
          </w:p>
        </w:tc>
      </w:tr>
      <w:tr>
        <w:tc>
          <w:tcPr>
            <w:tcW w:type="dxa" w:w="2600"/>
          </w:tcPr>
          <w:p>
            <w:pPr>
              <w:bidi/>
              <w:jc w:val="start"/>
            </w:pPr>
            <w:r>
              <w:rPr>
                <w:rFonts w:ascii="Arial" w:cs="Arial" w:eastAsia="Arial" w:hAnsi="Arial"/>
                <w:b w:val="false"/>
                <w:bCs w:val="false"/>
                <w:sz w:val="20"/>
                <w:szCs w:val="20"/>
                <w:rtl/>
              </w:rPr>
              <w:t xml:space="preserve">النماذج الميدانية ← عناوين الشبكة</w:t>
            </w:r>
          </w:p>
        </w:tc>
        <w:tc>
          <w:tcPr>
            <w:tcW w:type="dxa" w:w="6400"/>
          </w:tcPr>
          <w:p>
            <w:pPr>
              <w:bidi/>
              <w:jc w:val="start"/>
            </w:pPr>
            <w:r>
              <w:rPr>
                <w:rFonts w:ascii="Arial" w:cs="Arial" w:eastAsia="Arial" w:hAnsi="Arial"/>
                <w:b w:val="false"/>
                <w:bCs w:val="false"/>
                <w:sz w:val="20"/>
                <w:szCs w:val="20"/>
                <w:rtl/>
              </w:rPr>
              <w:t xml:space="preserve">بادئةُ كلِّ نقطةٍ وعناوينُ أجهزتها — تُستورَد وتُصدَّر.</w:t>
            </w:r>
          </w:p>
        </w:tc>
      </w:tr>
      <w:tr>
        <w:tc>
          <w:tcPr>
            <w:tcW w:type="dxa" w:w="2600"/>
          </w:tcPr>
          <w:p>
            <w:pPr>
              <w:bidi/>
              <w:jc w:val="start"/>
            </w:pPr>
            <w:r>
              <w:rPr>
                <w:rFonts w:ascii="Arial" w:cs="Arial" w:eastAsia="Arial" w:hAnsi="Arial"/>
                <w:b w:val="false"/>
                <w:bCs w:val="false"/>
                <w:sz w:val="20"/>
                <w:szCs w:val="20"/>
                <w:rtl/>
              </w:rPr>
              <w:t xml:space="preserve">الطبقات والمحدَّد ← الطبقات الثلاث</w:t>
            </w:r>
          </w:p>
        </w:tc>
        <w:tc>
          <w:tcPr>
            <w:tcW w:type="dxa" w:w="6400"/>
          </w:tcPr>
          <w:p>
            <w:pPr>
              <w:bidi/>
              <w:jc w:val="start"/>
            </w:pPr>
            <w:r>
              <w:rPr>
                <w:rFonts w:ascii="Arial" w:cs="Arial" w:eastAsia="Arial" w:hAnsi="Arial"/>
                <w:b w:val="false"/>
                <w:bCs w:val="false"/>
                <w:sz w:val="20"/>
                <w:szCs w:val="20"/>
                <w:rtl/>
              </w:rPr>
              <w:t xml:space="preserve">ما تُظهره كلُّ طبقةٍ وما تُسنده — ونقاطُها المحسوبة.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الاعتماد التقني</w:t>
            </w:r>
          </w:p>
        </w:tc>
        <w:tc>
          <w:tcPr>
            <w:tcW w:type="dxa" w:w="6400"/>
          </w:tcPr>
          <w:p>
            <w:pPr>
              <w:bidi/>
              <w:jc w:val="start"/>
            </w:pPr>
            <w:r>
              <w:rPr>
                <w:rFonts w:ascii="Arial" w:cs="Arial" w:eastAsia="Arial" w:hAnsi="Arial"/>
                <w:b w:val="false"/>
                <w:bCs w:val="false"/>
                <w:sz w:val="20"/>
                <w:szCs w:val="20"/>
                <w:rtl/>
              </w:rPr>
              <w:t xml:space="preserve">ما زاره المشرفون ببياناته الجديدة — يعتمده المهندسُ تقنيًّا أو يردُّه لزيارةٍ أخرى، ثم يقترح حلَّه.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حل التركيب</w:t>
            </w:r>
          </w:p>
        </w:tc>
        <w:tc>
          <w:tcPr>
            <w:tcW w:type="dxa" w:w="6400"/>
          </w:tcPr>
          <w:p>
            <w:pPr>
              <w:bidi/>
              <w:jc w:val="start"/>
            </w:pPr>
            <w:r>
              <w:rPr>
                <w:rFonts w:ascii="Arial" w:cs="Arial" w:eastAsia="Arial" w:hAnsi="Arial"/>
                <w:b w:val="false"/>
                <w:bCs w:val="false"/>
                <w:sz w:val="20"/>
                <w:szCs w:val="20"/>
                <w:rtl/>
              </w:rPr>
              <w:t xml:space="preserve">الأجهزةُ المقترحة لكل نقطة — يعتمدها المهندس قبل أن تصير طلبَ 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جاهز للتركيب</w:t>
            </w:r>
          </w:p>
        </w:tc>
        <w:tc>
          <w:tcPr>
            <w:tcW w:type="dxa" w:w="6400"/>
          </w:tcPr>
          <w:p>
            <w:pPr>
              <w:bidi/>
              <w:jc w:val="start"/>
            </w:pPr>
            <w:r>
              <w:rPr>
                <w:rFonts w:ascii="Arial" w:cs="Arial" w:eastAsia="Arial" w:hAnsi="Arial"/>
                <w:b w:val="false"/>
                <w:bCs w:val="false"/>
                <w:sz w:val="20"/>
                <w:szCs w:val="20"/>
                <w:rtl/>
              </w:rPr>
              <w:t xml:space="preserve">ما اعتمدته الوزارةُ وحلُّه معتمدٌ ولم يُسنَد تركيبُه بعد — يُجدوَل من هنا.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التدقيق الهندسي</w:t>
            </w:r>
          </w:p>
        </w:tc>
        <w:tc>
          <w:tcPr>
            <w:tcW w:type="dxa" w:w="6400"/>
          </w:tcPr>
          <w:p>
            <w:pPr>
              <w:bidi/>
              <w:jc w:val="start"/>
            </w:pPr>
            <w:r>
              <w:rPr>
                <w:rFonts w:ascii="Arial" w:cs="Arial" w:eastAsia="Arial" w:hAnsi="Arial"/>
                <w:b w:val="false"/>
                <w:bCs w:val="false"/>
                <w:sz w:val="20"/>
                <w:szCs w:val="20"/>
                <w:rtl/>
              </w:rPr>
              <w:t xml:space="preserve">اعتماد التركيبات والسيريالات قبل الإقفال — ولا نقاطَ قبله.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الراكد</w:t>
            </w:r>
          </w:p>
        </w:tc>
        <w:tc>
          <w:tcPr>
            <w:tcW w:type="dxa" w:w="6400"/>
          </w:tcPr>
          <w:p>
            <w:pPr>
              <w:bidi/>
              <w:jc w:val="start"/>
            </w:pPr>
            <w:r>
              <w:rPr>
                <w:rFonts w:ascii="Arial" w:cs="Arial" w:eastAsia="Arial" w:hAnsi="Arial"/>
                <w:b w:val="false"/>
                <w:bCs w:val="false"/>
                <w:sz w:val="20"/>
                <w:szCs w:val="20"/>
                <w:rtl/>
              </w:rPr>
              <w:t xml:space="preserve">زيارةٌ تمّت ولم يُركَّب موقعُها — بعمر الركود وسببه.</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الفرق</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الفرق والأداء ← الأداء</w:t>
            </w:r>
          </w:p>
        </w:tc>
        <w:tc>
          <w:tcPr>
            <w:tcW w:type="dxa" w:w="6400"/>
          </w:tcPr>
          <w:p>
            <w:pPr>
              <w:bidi/>
              <w:jc w:val="start"/>
            </w:pPr>
            <w:r>
              <w:rPr>
                <w:rFonts w:ascii="Arial" w:cs="Arial" w:eastAsia="Arial" w:hAnsi="Arial"/>
                <w:b w:val="false"/>
                <w:bCs w:val="false"/>
                <w:sz w:val="20"/>
                <w:szCs w:val="20"/>
                <w:rtl/>
              </w:rPr>
              <w:t xml:space="preserve">أداءُ المشروع على خمسة مستويات: الترتيب العام، بالمرحلة، بالوظيفة، بالفريق، وللمشروع كله.</w:t>
            </w:r>
          </w:p>
        </w:tc>
      </w:tr>
      <w:tr>
        <w:tc>
          <w:tcPr>
            <w:tcW w:type="dxa" w:w="2600"/>
          </w:tcPr>
          <w:p>
            <w:pPr>
              <w:bidi/>
              <w:jc w:val="start"/>
            </w:pPr>
            <w:r>
              <w:rPr>
                <w:rFonts w:ascii="Arial" w:cs="Arial" w:eastAsia="Arial" w:hAnsi="Arial"/>
                <w:b w:val="false"/>
                <w:bCs w:val="false"/>
                <w:sz w:val="20"/>
                <w:szCs w:val="20"/>
                <w:rtl/>
              </w:rPr>
              <w:t xml:space="preserve">الفرق والأداء ← الفرق</w:t>
            </w:r>
          </w:p>
        </w:tc>
        <w:tc>
          <w:tcPr>
            <w:tcW w:type="dxa" w:w="6400"/>
          </w:tcPr>
          <w:p>
            <w:pPr>
              <w:bidi/>
              <w:jc w:val="start"/>
            </w:pPr>
            <w:r>
              <w:rPr>
                <w:rFonts w:ascii="Arial" w:cs="Arial" w:eastAsia="Arial" w:hAnsi="Arial"/>
                <w:b w:val="false"/>
                <w:bCs w:val="false"/>
                <w:sz w:val="20"/>
                <w:szCs w:val="20"/>
                <w:rtl/>
              </w:rPr>
              <w:t xml:space="preserve">كلُّ فريقٍ صفحتُه وحده: موظفوه وفرقُه الفرعية معًا.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r>
        <w:tc>
          <w:tcPr>
            <w:tcW w:type="dxa" w:w="2600"/>
          </w:tcPr>
          <w:p>
            <w:pPr>
              <w:bidi/>
              <w:jc w:val="start"/>
            </w:pPr>
            <w:r>
              <w:rPr>
                <w:rFonts w:ascii="Arial" w:cs="Arial" w:eastAsia="Arial" w:hAnsi="Arial"/>
                <w:b w:val="false"/>
                <w:bCs w:val="false"/>
                <w:sz w:val="20"/>
                <w:szCs w:val="20"/>
                <w:rtl/>
              </w:rPr>
              <w:t xml:space="preserve">الكتالوج والقوائم ← القطع والأسعار</w:t>
            </w:r>
          </w:p>
        </w:tc>
        <w:tc>
          <w:tcPr>
            <w:tcW w:type="dxa" w:w="6400"/>
          </w:tcPr>
          <w:p>
            <w:pPr>
              <w:bidi/>
              <w:jc w:val="start"/>
            </w:pPr>
            <w:r>
              <w:rPr>
                <w:rFonts w:ascii="Arial" w:cs="Arial" w:eastAsia="Arial" w:hAnsi="Arial"/>
                <w:b w:val="false"/>
                <w:bCs w:val="false"/>
                <w:sz w:val="20"/>
                <w:szCs w:val="20"/>
                <w:rtl/>
              </w:rPr>
              <w:t xml:space="preserve">كتالوج القطع وسعر كل قطعة.</w:t>
            </w:r>
          </w:p>
        </w:tc>
      </w:tr>
      <w:tr>
        <w:tc>
          <w:tcPr>
            <w:tcW w:type="dxa" w:w="2600"/>
          </w:tcPr>
          <w:p>
            <w:pPr>
              <w:bidi/>
              <w:jc w:val="start"/>
            </w:pPr>
            <w:r>
              <w:rPr>
                <w:rFonts w:ascii="Arial" w:cs="Arial" w:eastAsia="Arial" w:hAnsi="Arial"/>
                <w:b w:val="false"/>
                <w:bCs w:val="false"/>
                <w:sz w:val="20"/>
                <w:szCs w:val="20"/>
                <w:rtl/>
              </w:rPr>
              <w:t xml:space="preserve">المستخدمون والأدوار ← إسناد الأدوار</w:t>
            </w:r>
          </w:p>
        </w:tc>
        <w:tc>
          <w:tcPr>
            <w:tcW w:type="dxa" w:w="6400"/>
          </w:tcPr>
          <w:p>
            <w:pPr>
              <w:bidi/>
              <w:jc w:val="start"/>
            </w:pPr>
            <w:r>
              <w:rPr>
                <w:rFonts w:ascii="Arial" w:cs="Arial" w:eastAsia="Arial" w:hAnsi="Arial"/>
                <w:b w:val="false"/>
                <w:bCs w:val="false"/>
                <w:sz w:val="20"/>
                <w:szCs w:val="20"/>
                <w:rtl/>
              </w:rPr>
              <w:t xml:space="preserve">من في أيِّ وظيفةٍ وأيِّ فريق.</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الأدوار والصلاحيات</w:t>
            </w:r>
          </w:p>
        </w:tc>
        <w:tc>
          <w:tcPr>
            <w:tcW w:type="dxa" w:w="6400"/>
          </w:tcPr>
          <w:p>
            <w:pPr>
              <w:bidi/>
              <w:jc w:val="start"/>
            </w:pPr>
            <w:r>
              <w:rPr>
                <w:rFonts w:ascii="Arial" w:cs="Arial" w:eastAsia="Arial" w:hAnsi="Arial"/>
                <w:b w:val="false"/>
                <w:bCs w:val="false"/>
                <w:sz w:val="20"/>
                <w:szCs w:val="20"/>
                <w:rtl/>
              </w:rPr>
              <w:t xml:space="preserve">الدورُ ما يستطيعه الشخصُ في النظام — لا ما يعمله في الميدان.</w:t>
            </w:r>
          </w:p>
        </w:tc>
      </w:tr>
      <w:tr>
        <w:tc>
          <w:tcPr>
            <w:tcW w:type="dxa" w:w="2600"/>
          </w:tcPr>
          <w:p>
            <w:pPr>
              <w:bidi/>
              <w:jc w:val="start"/>
            </w:pPr>
            <w:r>
              <w:rPr>
                <w:rFonts w:ascii="Arial" w:cs="Arial" w:eastAsia="Arial" w:hAnsi="Arial"/>
                <w:b w:val="false"/>
                <w:bCs w:val="false"/>
                <w:sz w:val="20"/>
                <w:szCs w:val="20"/>
                <w:rtl/>
              </w:rPr>
              <w:t xml:space="preserve">المستخدمون والأدوار ← الوظائف</w:t>
            </w:r>
          </w:p>
        </w:tc>
        <w:tc>
          <w:tcPr>
            <w:tcW w:type="dxa" w:w="6400"/>
          </w:tcPr>
          <w:p>
            <w:pPr>
              <w:bidi/>
              <w:jc w:val="start"/>
            </w:pPr>
            <w:r>
              <w:rPr>
                <w:rFonts w:ascii="Arial" w:cs="Arial" w:eastAsia="Arial" w:hAnsi="Arial"/>
                <w:b w:val="false"/>
                <w:bCs w:val="false"/>
                <w:sz w:val="20"/>
                <w:szCs w:val="20"/>
                <w:rtl/>
              </w:rPr>
              <w:t xml:space="preserve">ما يعمله الشخصُ — ومنه يُشتقُّ دورُه وصلاحيتُه.</w:t>
            </w:r>
          </w:p>
        </w:tc>
      </w:tr>
      <w:tr>
        <w:tc>
          <w:tcPr>
            <w:tcW w:type="dxa" w:w="2600"/>
          </w:tcPr>
          <w:p>
            <w:pPr>
              <w:bidi/>
              <w:jc w:val="start"/>
            </w:pPr>
            <w:r>
              <w:rPr>
                <w:rFonts w:ascii="Arial" w:cs="Arial" w:eastAsia="Arial" w:hAnsi="Arial"/>
                <w:b w:val="false"/>
                <w:bCs w:val="false"/>
                <w:sz w:val="20"/>
                <w:szCs w:val="20"/>
                <w:rtl/>
              </w:rPr>
              <w:t xml:space="preserve">المستخدمون والأدوار ← صلاحيات القاعدة</w:t>
            </w:r>
          </w:p>
        </w:tc>
        <w:tc>
          <w:tcPr>
            <w:tcW w:type="dxa" w:w="6400"/>
          </w:tcPr>
          <w:p>
            <w:pPr>
              <w:bidi/>
              <w:jc w:val="start"/>
            </w:pPr>
            <w:r>
              <w:rPr>
                <w:rFonts w:ascii="Arial" w:cs="Arial" w:eastAsia="Arial" w:hAnsi="Arial"/>
                <w:b w:val="false"/>
                <w:bCs w:val="false"/>
                <w:sz w:val="20"/>
                <w:szCs w:val="20"/>
                <w:rtl/>
              </w:rPr>
              <w:t xml:space="preserve">ما تقبله قاعدةُ البيانات لكلِّ دور — يُحفَظ هنا وينفذ في القاعدة فورًا.</w:t>
            </w:r>
          </w:p>
        </w:tc>
      </w:tr>
      <w:tr>
        <w:tc>
          <w:tcPr>
            <w:tcW w:type="dxa" w:w="2600"/>
          </w:tcPr>
          <w:p>
            <w:pPr>
              <w:bidi/>
              <w:jc w:val="start"/>
            </w:pPr>
            <w:r>
              <w:rPr>
                <w:rFonts w:ascii="Arial" w:cs="Arial" w:eastAsia="Arial" w:hAnsi="Arial"/>
                <w:b w:val="false"/>
                <w:bCs w:val="false"/>
                <w:sz w:val="20"/>
                <w:szCs w:val="20"/>
                <w:rtl/>
              </w:rPr>
              <w:t xml:space="preserve">الكتالوج والقوائم ← فئات المشتريات</w:t>
            </w:r>
          </w:p>
        </w:tc>
        <w:tc>
          <w:tcPr>
            <w:tcW w:type="dxa" w:w="6400"/>
          </w:tcPr>
          <w:p>
            <w:pPr>
              <w:bidi/>
              <w:jc w:val="start"/>
            </w:pPr>
            <w:r>
              <w:rPr>
                <w:rFonts w:ascii="Arial" w:cs="Arial" w:eastAsia="Arial" w:hAnsi="Arial"/>
                <w:b w:val="false"/>
                <w:bCs w:val="false"/>
                <w:sz w:val="20"/>
                <w:szCs w:val="20"/>
                <w:rtl/>
              </w:rPr>
              <w:t xml:space="preserve">تبويب مشتريات السوق المحلي.</w:t>
            </w:r>
          </w:p>
        </w:tc>
      </w:tr>
      <w:tr>
        <w:tc>
          <w:tcPr>
            <w:tcW w:type="dxa" w:w="2600"/>
          </w:tcPr>
          <w:p>
            <w:pPr>
              <w:bidi/>
              <w:jc w:val="start"/>
            </w:pPr>
            <w:r>
              <w:rPr>
                <w:rFonts w:ascii="Arial" w:cs="Arial" w:eastAsia="Arial" w:hAnsi="Arial"/>
                <w:b w:val="false"/>
                <w:bCs w:val="false"/>
                <w:sz w:val="20"/>
                <w:szCs w:val="20"/>
                <w:rtl/>
              </w:rPr>
              <w:t xml:space="preserve">الكتالوج والقوائم ← المورّدون</w:t>
            </w:r>
          </w:p>
        </w:tc>
        <w:tc>
          <w:tcPr>
            <w:tcW w:type="dxa" w:w="6400"/>
          </w:tcPr>
          <w:p>
            <w:pPr>
              <w:bidi/>
              <w:jc w:val="start"/>
            </w:pPr>
            <w:r>
              <w:rPr>
                <w:rFonts w:ascii="Arial" w:cs="Arial" w:eastAsia="Arial" w:hAnsi="Arial"/>
                <w:b w:val="false"/>
                <w:bCs w:val="false"/>
                <w:sz w:val="20"/>
                <w:szCs w:val="20"/>
                <w:rtl/>
              </w:rPr>
              <w:t xml:space="preserve">قائمة موحّدة لمن نشتري منهم.</w:t>
            </w:r>
          </w:p>
        </w:tc>
      </w:tr>
      <w:tr>
        <w:tc>
          <w:tcPr>
            <w:tcW w:type="dxa" w:w="2600"/>
          </w:tcPr>
          <w:p>
            <w:pPr>
              <w:bidi/>
              <w:jc w:val="start"/>
            </w:pPr>
            <w:r>
              <w:rPr>
                <w:rFonts w:ascii="Arial" w:cs="Arial" w:eastAsia="Arial" w:hAnsi="Arial"/>
                <w:b w:val="false"/>
                <w:bCs w:val="false"/>
                <w:sz w:val="20"/>
                <w:szCs w:val="20"/>
                <w:rtl/>
              </w:rPr>
              <w:t xml:space="preserve">الكتالوج والقوائم ← ثوابت النظام</w:t>
            </w:r>
          </w:p>
        </w:tc>
        <w:tc>
          <w:tcPr>
            <w:tcW w:type="dxa" w:w="6400"/>
          </w:tcPr>
          <w:p>
            <w:pPr>
              <w:bidi/>
              <w:jc w:val="start"/>
            </w:pPr>
            <w:r>
              <w:rPr>
                <w:rFonts w:ascii="Arial" w:cs="Arial" w:eastAsia="Arial" w:hAnsi="Arial"/>
                <w:b w:val="false"/>
                <w:bCs w:val="false"/>
                <w:sz w:val="20"/>
                <w:szCs w:val="20"/>
                <w:rtl/>
              </w:rPr>
              <w:t xml:space="preserve">أيام العمل وساعات اليوم.</w:t>
            </w:r>
          </w:p>
        </w:tc>
      </w:tr>
      <w:tr>
        <w:tc>
          <w:tcPr>
            <w:tcW w:type="dxa" w:w="2600"/>
          </w:tcPr>
          <w:p>
            <w:pPr>
              <w:bidi/>
              <w:jc w:val="start"/>
            </w:pPr>
            <w:r>
              <w:rPr>
                <w:rFonts w:ascii="Arial" w:cs="Arial" w:eastAsia="Arial" w:hAnsi="Arial"/>
                <w:b w:val="false"/>
                <w:bCs w:val="false"/>
                <w:sz w:val="20"/>
                <w:szCs w:val="20"/>
                <w:rtl/>
              </w:rPr>
              <w:t xml:space="preserve">الكتالوج والقوائم ← أسماء العرض</w:t>
            </w:r>
          </w:p>
        </w:tc>
        <w:tc>
          <w:tcPr>
            <w:tcW w:type="dxa" w:w="6400"/>
          </w:tcPr>
          <w:p>
            <w:pPr>
              <w:bidi/>
              <w:jc w:val="start"/>
            </w:pPr>
            <w:r>
              <w:rPr>
                <w:rFonts w:ascii="Arial" w:cs="Arial" w:eastAsia="Arial" w:hAnsi="Arial"/>
                <w:b w:val="false"/>
                <w:bCs w:val="false"/>
                <w:sz w:val="20"/>
                <w:szCs w:val="20"/>
                <w:rtl/>
              </w:rPr>
              <w:t xml:space="preserve">كيف تُكتَب أسماءُ الأشخاص والشركات بالإنجليزية — تصحيحٌ يُكتَب مرةً ويثبت.</w:t>
            </w:r>
          </w:p>
        </w:tc>
      </w:tr>
      <w:tr>
        <w:tc>
          <w:tcPr>
            <w:tcW w:type="dxa" w:w="2600"/>
          </w:tcPr>
          <w:p>
            <w:pPr>
              <w:bidi/>
              <w:jc w:val="start"/>
            </w:pPr>
            <w:r>
              <w:rPr>
                <w:rFonts w:ascii="Arial" w:cs="Arial" w:eastAsia="Arial" w:hAnsi="Arial"/>
                <w:b w:val="false"/>
                <w:bCs w:val="false"/>
                <w:sz w:val="20"/>
                <w:szCs w:val="20"/>
                <w:rtl/>
              </w:rPr>
              <w:t xml:space="preserve">الكتالوج والقوائم ← أنواع السيارات</w:t>
            </w:r>
          </w:p>
        </w:tc>
        <w:tc>
          <w:tcPr>
            <w:tcW w:type="dxa" w:w="6400"/>
          </w:tcPr>
          <w:p>
            <w:pPr>
              <w:bidi/>
              <w:jc w:val="start"/>
            </w:pPr>
            <w:r>
              <w:rPr>
                <w:rFonts w:ascii="Arial" w:cs="Arial" w:eastAsia="Arial" w:hAnsi="Arial"/>
                <w:b w:val="false"/>
                <w:bCs w:val="false"/>
                <w:sz w:val="20"/>
                <w:szCs w:val="20"/>
                <w:rtl/>
              </w:rPr>
              <w:t xml:space="preserve">أنواعُ الأسطول وسعةُ كلٍّ — والعددُ يُشتقُّ مما أُضيف.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نقاط المراحل ← الزيارات</w:t>
            </w:r>
          </w:p>
        </w:tc>
        <w:tc>
          <w:tcPr>
            <w:tcW w:type="dxa" w:w="6400"/>
          </w:tcPr>
          <w:p>
            <w:pPr>
              <w:bidi/>
              <w:jc w:val="start"/>
            </w:pPr>
            <w:r>
              <w:rPr>
                <w:rFonts w:ascii="Arial" w:cs="Arial" w:eastAsia="Arial" w:hAnsi="Arial"/>
                <w:b w:val="false"/>
                <w:bCs w:val="false"/>
                <w:sz w:val="20"/>
                <w:szCs w:val="20"/>
                <w:rtl/>
              </w:rPr>
              <w:t xml:space="preserve">وزن زيارة كل نوع وتارجت المسح.</w:t>
            </w:r>
          </w:p>
        </w:tc>
      </w:tr>
      <w:tr>
        <w:tc>
          <w:tcPr>
            <w:tcW w:type="dxa" w:w="2600"/>
          </w:tcPr>
          <w:p>
            <w:pPr>
              <w:bidi/>
              <w:jc w:val="start"/>
            </w:pPr>
            <w:r>
              <w:rPr>
                <w:rFonts w:ascii="Arial" w:cs="Arial" w:eastAsia="Arial" w:hAnsi="Arial"/>
                <w:b w:val="false"/>
                <w:bCs w:val="false"/>
                <w:sz w:val="20"/>
                <w:szCs w:val="20"/>
                <w:rtl/>
              </w:rPr>
              <w:t xml:space="preserve">نقاط المراحل ← التهيئة</w:t>
            </w:r>
          </w:p>
        </w:tc>
        <w:tc>
          <w:tcPr>
            <w:tcW w:type="dxa" w:w="6400"/>
          </w:tcPr>
          <w:p>
            <w:pPr>
              <w:bidi/>
              <w:jc w:val="start"/>
            </w:pPr>
            <w:r>
              <w:rPr>
                <w:rFonts w:ascii="Arial" w:cs="Arial" w:eastAsia="Arial" w:hAnsi="Arial"/>
                <w:b w:val="false"/>
                <w:bCs w:val="false"/>
                <w:sz w:val="20"/>
                <w:szCs w:val="20"/>
                <w:rtl/>
              </w:rPr>
              <w:t xml:space="preserve">نقاط تهيئة كل جهاز في الورشة.</w:t>
            </w:r>
          </w:p>
        </w:tc>
      </w:tr>
      <w:tr>
        <w:tc>
          <w:tcPr>
            <w:tcW w:type="dxa" w:w="2600"/>
          </w:tcPr>
          <w:p>
            <w:pPr>
              <w:bidi/>
              <w:jc w:val="start"/>
            </w:pPr>
            <w:r>
              <w:rPr>
                <w:rFonts w:ascii="Arial" w:cs="Arial" w:eastAsia="Arial" w:hAnsi="Arial"/>
                <w:b w:val="false"/>
                <w:bCs w:val="false"/>
                <w:sz w:val="20"/>
                <w:szCs w:val="20"/>
                <w:rtl/>
              </w:rPr>
              <w:t xml:space="preserve">نقاط المراحل ← التجميع</w:t>
            </w:r>
          </w:p>
        </w:tc>
        <w:tc>
          <w:tcPr>
            <w:tcW w:type="dxa" w:w="6400"/>
          </w:tcPr>
          <w:p>
            <w:pPr>
              <w:bidi/>
              <w:jc w:val="start"/>
            </w:pPr>
            <w:r>
              <w:rPr>
                <w:rFonts w:ascii="Arial" w:cs="Arial" w:eastAsia="Arial" w:hAnsi="Arial"/>
                <w:b w:val="false"/>
                <w:bCs w:val="false"/>
                <w:sz w:val="20"/>
                <w:szCs w:val="20"/>
                <w:rtl/>
              </w:rPr>
              <w:t xml:space="preserve">نقاط تجميع مكوّنات البوكس.</w:t>
            </w:r>
          </w:p>
        </w:tc>
      </w:tr>
      <w:tr>
        <w:tc>
          <w:tcPr>
            <w:tcW w:type="dxa" w:w="2600"/>
          </w:tcPr>
          <w:p>
            <w:pPr>
              <w:bidi/>
              <w:jc w:val="start"/>
            </w:pPr>
            <w:r>
              <w:rPr>
                <w:rFonts w:ascii="Arial" w:cs="Arial" w:eastAsia="Arial" w:hAnsi="Arial"/>
                <w:b w:val="false"/>
                <w:bCs w:val="false"/>
                <w:sz w:val="20"/>
                <w:szCs w:val="20"/>
                <w:rtl/>
              </w:rPr>
              <w:t xml:space="preserve">نقاط المراحل ← التركيب</w:t>
            </w:r>
          </w:p>
        </w:tc>
        <w:tc>
          <w:tcPr>
            <w:tcW w:type="dxa" w:w="6400"/>
          </w:tcPr>
          <w:p>
            <w:pPr>
              <w:bidi/>
              <w:jc w:val="start"/>
            </w:pPr>
            <w:r>
              <w:rPr>
                <w:rFonts w:ascii="Arial" w:cs="Arial" w:eastAsia="Arial" w:hAnsi="Arial"/>
                <w:b w:val="false"/>
                <w:bCs w:val="false"/>
                <w:sz w:val="20"/>
                <w:szCs w:val="20"/>
                <w:rtl/>
              </w:rPr>
              <w:t xml:space="preserve">نقاط كل قطعة وتارجت التركيب.</w:t>
            </w:r>
          </w:p>
        </w:tc>
      </w:tr>
      <w:tr>
        <w:tc>
          <w:tcPr>
            <w:tcW w:type="dxa" w:w="2600"/>
          </w:tcPr>
          <w:p>
            <w:pPr>
              <w:bidi/>
              <w:jc w:val="start"/>
            </w:pPr>
            <w:r>
              <w:rPr>
                <w:rFonts w:ascii="Arial" w:cs="Arial" w:eastAsia="Arial" w:hAnsi="Arial"/>
                <w:b w:val="false"/>
                <w:bCs w:val="false"/>
                <w:sz w:val="20"/>
                <w:szCs w:val="20"/>
                <w:rtl/>
              </w:rPr>
              <w:t xml:space="preserve">نقاط المراحل ← الفك</w:t>
            </w:r>
          </w:p>
        </w:tc>
        <w:tc>
          <w:tcPr>
            <w:tcW w:type="dxa" w:w="6400"/>
          </w:tcPr>
          <w:p>
            <w:pPr>
              <w:bidi/>
              <w:jc w:val="start"/>
            </w:pPr>
            <w:r>
              <w:rPr>
                <w:rFonts w:ascii="Arial" w:cs="Arial" w:eastAsia="Arial" w:hAnsi="Arial"/>
                <w:b w:val="false"/>
                <w:bCs w:val="false"/>
                <w:sz w:val="20"/>
                <w:szCs w:val="20"/>
                <w:rtl/>
              </w:rPr>
              <w:t xml:space="preserve">وزن الفك ومعاملا الحالة.</w:t>
            </w:r>
          </w:p>
        </w:tc>
      </w:tr>
      <w:tr>
        <w:tc>
          <w:tcPr>
            <w:tcW w:type="dxa" w:w="2600"/>
          </w:tcPr>
          <w:p>
            <w:pPr>
              <w:bidi/>
              <w:jc w:val="start"/>
            </w:pPr>
            <w:r>
              <w:rPr>
                <w:rFonts w:ascii="Arial" w:cs="Arial" w:eastAsia="Arial" w:hAnsi="Arial"/>
                <w:b w:val="false"/>
                <w:bCs w:val="false"/>
                <w:sz w:val="20"/>
                <w:szCs w:val="20"/>
                <w:rtl/>
              </w:rPr>
              <w:t xml:space="preserve">التنظيم والسلامة ← خريطة التغطية</w:t>
            </w:r>
          </w:p>
        </w:tc>
        <w:tc>
          <w:tcPr>
            <w:tcW w:type="dxa" w:w="6400"/>
          </w:tcPr>
          <w:p>
            <w:pPr>
              <w:bidi/>
              <w:jc w:val="start"/>
            </w:pPr>
            <w:r>
              <w:rPr>
                <w:rFonts w:ascii="Arial" w:cs="Arial" w:eastAsia="Arial" w:hAnsi="Arial"/>
                <w:b w:val="false"/>
                <w:bCs w:val="false"/>
                <w:sz w:val="20"/>
                <w:szCs w:val="20"/>
                <w:rtl/>
              </w:rPr>
              <w:t xml:space="preserve">كلُّ قسمٍ في الشركة وكلُّ إدارةٍ عند العميل — وما يخصّه.</w:t>
            </w:r>
          </w:p>
        </w:tc>
      </w:tr>
      <w:tr>
        <w:tc>
          <w:tcPr>
            <w:tcW w:type="dxa" w:w="2600"/>
          </w:tcPr>
          <w:p>
            <w:pPr>
              <w:bidi/>
              <w:jc w:val="start"/>
            </w:pPr>
            <w:r>
              <w:rPr>
                <w:rFonts w:ascii="Arial" w:cs="Arial" w:eastAsia="Arial" w:hAnsi="Arial"/>
                <w:b w:val="false"/>
                <w:bCs w:val="false"/>
                <w:sz w:val="20"/>
                <w:szCs w:val="20"/>
                <w:rtl/>
              </w:rPr>
              <w:t xml:space="preserve">التنظيم والسلامة ← مصفوفة المسؤوليات</w:t>
            </w:r>
          </w:p>
        </w:tc>
        <w:tc>
          <w:tcPr>
            <w:tcW w:type="dxa" w:w="6400"/>
          </w:tcPr>
          <w:p>
            <w:pPr>
              <w:bidi/>
              <w:jc w:val="start"/>
            </w:pPr>
            <w:r>
              <w:rPr>
                <w:rFonts w:ascii="Arial" w:cs="Arial" w:eastAsia="Arial" w:hAnsi="Arial"/>
                <w:b w:val="false"/>
                <w:bCs w:val="false"/>
                <w:sz w:val="20"/>
                <w:szCs w:val="20"/>
                <w:rtl/>
              </w:rPr>
              <w:t xml:space="preserve">من ينفّذ ومن يُساءل ومن يُستشار ومن يُبلَّغ.</w:t>
            </w:r>
          </w:p>
        </w:tc>
      </w:tr>
      <w:tr>
        <w:tc>
          <w:tcPr>
            <w:tcW w:type="dxa" w:w="2600"/>
          </w:tcPr>
          <w:p>
            <w:pPr>
              <w:bidi/>
              <w:jc w:val="start"/>
            </w:pPr>
            <w:r>
              <w:rPr>
                <w:rFonts w:ascii="Arial" w:cs="Arial" w:eastAsia="Arial" w:hAnsi="Arial"/>
                <w:b w:val="false"/>
                <w:bCs w:val="false"/>
                <w:sz w:val="20"/>
                <w:szCs w:val="20"/>
                <w:rtl/>
              </w:rPr>
              <w:t xml:space="preserve">التنظيم والسلامة ← التصعيد</w:t>
            </w:r>
          </w:p>
        </w:tc>
        <w:tc>
          <w:tcPr>
            <w:tcW w:type="dxa" w:w="6400"/>
          </w:tcPr>
          <w:p>
            <w:pPr>
              <w:bidi/>
              <w:jc w:val="start"/>
            </w:pPr>
            <w:r>
              <w:rPr>
                <w:rFonts w:ascii="Arial" w:cs="Arial" w:eastAsia="Arial" w:hAnsi="Arial"/>
                <w:b w:val="false"/>
                <w:bCs w:val="false"/>
                <w:sz w:val="20"/>
                <w:szCs w:val="20"/>
                <w:rtl/>
              </w:rPr>
              <w:t xml:space="preserve">ما تجاوز مهلتَه — ومن يُرفَع إليه.</w:t>
            </w:r>
          </w:p>
        </w:tc>
      </w:tr>
      <w:tr>
        <w:tc>
          <w:tcPr>
            <w:tcW w:type="dxa" w:w="2600"/>
          </w:tcPr>
          <w:p>
            <w:pPr>
              <w:bidi/>
              <w:jc w:val="start"/>
            </w:pPr>
            <w:r>
              <w:rPr>
                <w:rFonts w:ascii="Arial" w:cs="Arial" w:eastAsia="Arial" w:hAnsi="Arial"/>
                <w:b w:val="false"/>
                <w:bCs w:val="false"/>
                <w:sz w:val="20"/>
                <w:szCs w:val="20"/>
                <w:rtl/>
              </w:rPr>
              <w:t xml:space="preserve">التنظيم والسلامة ← السلامة والحوادث</w:t>
            </w:r>
          </w:p>
        </w:tc>
        <w:tc>
          <w:tcPr>
            <w:tcW w:type="dxa" w:w="6400"/>
          </w:tcPr>
          <w:p>
            <w:pPr>
              <w:bidi/>
              <w:jc w:val="start"/>
            </w:pPr>
            <w:r>
              <w:rPr>
                <w:rFonts w:ascii="Arial" w:cs="Arial" w:eastAsia="Arial" w:hAnsi="Arial"/>
                <w:b w:val="false"/>
                <w:bCs w:val="false"/>
                <w:sz w:val="20"/>
                <w:szCs w:val="20"/>
                <w:rtl/>
              </w:rPr>
              <w:t xml:space="preserve">ساعاتُ العمل الآمنة والحوادثُ والتصاريح — في موقعٍ يزدحم بالحجاج.</w:t>
            </w:r>
          </w:p>
        </w:tc>
      </w:tr>
      <w:tr>
        <w:tc>
          <w:tcPr>
            <w:tcW w:type="dxa" w:w="2600"/>
          </w:tcPr>
          <w:p>
            <w:pPr>
              <w:bidi/>
              <w:jc w:val="start"/>
            </w:pPr>
            <w:r>
              <w:rPr>
                <w:rFonts w:ascii="Arial" w:cs="Arial" w:eastAsia="Arial" w:hAnsi="Arial"/>
                <w:b w:val="false"/>
                <w:bCs w:val="false"/>
                <w:sz w:val="20"/>
                <w:szCs w:val="20"/>
                <w:rtl/>
              </w:rPr>
              <w:t xml:space="preserve">التخطيط والمخاطر ← المواعيد والأزمنة</w:t>
            </w:r>
          </w:p>
        </w:tc>
        <w:tc>
          <w:tcPr>
            <w:tcW w:type="dxa" w:w="6400"/>
          </w:tcPr>
          <w:p>
            <w:pPr>
              <w:bidi/>
              <w:jc w:val="start"/>
            </w:pPr>
            <w:r>
              <w:rPr>
                <w:rFonts w:ascii="Arial" w:cs="Arial" w:eastAsia="Arial" w:hAnsi="Arial"/>
                <w:b w:val="false"/>
                <w:bCs w:val="false"/>
                <w:sz w:val="20"/>
                <w:szCs w:val="20"/>
                <w:rtl/>
              </w:rPr>
              <w:t xml:space="preserve">الموعد المستهدف وزمن التركيب لكل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r>
        <w:tc>
          <w:tcPr>
            <w:tcW w:type="dxa" w:w="2600"/>
          </w:tcPr>
          <w:p>
            <w:pPr>
              <w:bidi/>
              <w:jc w:val="start"/>
            </w:pPr>
            <w:r>
              <w:rPr>
                <w:rFonts w:ascii="Arial" w:cs="Arial" w:eastAsia="Arial" w:hAnsi="Arial"/>
                <w:b w:val="false"/>
                <w:bCs w:val="false"/>
                <w:sz w:val="20"/>
                <w:szCs w:val="20"/>
                <w:rtl/>
              </w:rPr>
              <w:t xml:space="preserve">التخطيط والمخاطر ← الطواقم والمعدلات</w:t>
            </w:r>
          </w:p>
        </w:tc>
        <w:tc>
          <w:tcPr>
            <w:tcW w:type="dxa" w:w="6400"/>
          </w:tcPr>
          <w:p>
            <w:pPr>
              <w:bidi/>
              <w:jc w:val="start"/>
            </w:pPr>
            <w:r>
              <w:rPr>
                <w:rFonts w:ascii="Arial" w:cs="Arial" w:eastAsia="Arial" w:hAnsi="Arial"/>
                <w:b w:val="false"/>
                <w:bCs w:val="false"/>
                <w:sz w:val="20"/>
                <w:szCs w:val="20"/>
                <w:rtl/>
              </w:rPr>
              <w:t xml:space="preserve">كم فريقًا يلزم لبلوغ الموعد — محسوبًا من معدل 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سلامة خط الإنتاج</w:t>
            </w:r>
          </w:p>
        </w:tc>
        <w:tc>
          <w:tcPr>
            <w:tcW w:type="dxa" w:w="6400"/>
          </w:tcPr>
          <w:p>
            <w:pPr>
              <w:bidi/>
              <w:jc w:val="start"/>
            </w:pPr>
            <w:r>
              <w:rPr>
                <w:rFonts w:ascii="Arial" w:cs="Arial" w:eastAsia="Arial" w:hAnsi="Arial"/>
                <w:b w:val="false"/>
                <w:bCs w:val="false"/>
                <w:sz w:val="20"/>
                <w:szCs w:val="20"/>
                <w:rtl/>
              </w:rPr>
              <w:t xml:space="preserve">مسح ← جدولة ← تركيب — وأي تعارض بينها.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المخيمات المركزية</w:t>
            </w:r>
          </w:p>
        </w:tc>
        <w:tc>
          <w:tcPr>
            <w:tcW w:type="dxa" w:w="6400"/>
          </w:tcPr>
          <w:p>
            <w:pPr>
              <w:bidi/>
              <w:jc w:val="start"/>
            </w:pPr>
            <w:r>
              <w:rPr>
                <w:rFonts w:ascii="Arial" w:cs="Arial" w:eastAsia="Arial" w:hAnsi="Arial"/>
                <w:b w:val="false"/>
                <w:bCs w:val="false"/>
                <w:sz w:val="20"/>
                <w:szCs w:val="20"/>
                <w:rtl/>
              </w:rPr>
              <w:t xml:space="preserve">حالةُ الإشغال الحيِّ لمخيمات منى من نظام البطاقات — مطابقةً برقم القارئ.</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تفاصيلُ المسح</w:t>
            </w:r>
          </w:p>
        </w:tc>
        <w:tc>
          <w:tcPr>
            <w:tcW w:type="dxa" w:w="6400"/>
          </w:tcPr>
          <w:p>
            <w:pPr>
              <w:bidi/>
              <w:jc w:val="start"/>
            </w:pPr>
            <w:r>
              <w:rPr>
                <w:rFonts w:ascii="Arial" w:cs="Arial" w:eastAsia="Arial" w:hAnsi="Arial"/>
                <w:b w:val="false"/>
                <w:bCs w:val="false"/>
                <w:sz w:val="20"/>
                <w:szCs w:val="20"/>
                <w:rtl/>
              </w:rPr>
              <w:t xml:space="preserve">ما حُصر فعلًا: الغرفُ والخيام، وما لا تحدّيَ فيه، وما فيه تحدٍّ، وما يحتاج هيكلًا — ولكلِّ رقمٍ قائمتُه، تُصدَّر، ويطير كلُّ سطرٍ إلى نقطته على الخريطة.</w:t>
            </w:r>
          </w:p>
        </w:tc>
      </w:tr>
      <w:tr>
        <w:tc>
          <w:tcPr>
            <w:tcW w:type="dxa" w:w="2600"/>
          </w:tcPr>
          <w:p>
            <w:pPr>
              <w:bidi/>
              <w:jc w:val="start"/>
            </w:pPr>
            <w:r>
              <w:rPr>
                <w:rFonts w:ascii="Arial" w:cs="Arial" w:eastAsia="Arial" w:hAnsi="Arial"/>
                <w:b w:val="false"/>
                <w:bCs w:val="false"/>
                <w:sz w:val="20"/>
                <w:szCs w:val="20"/>
                <w:rtl/>
              </w:rPr>
              <w:t xml:space="preserve">الشركات ← إشعار الشركات</w:t>
            </w:r>
          </w:p>
        </w:tc>
        <w:tc>
          <w:tcPr>
            <w:tcW w:type="dxa" w:w="6400"/>
          </w:tcPr>
          <w:p>
            <w:pPr>
              <w:bidi/>
              <w:jc w:val="start"/>
            </w:pPr>
            <w:r>
              <w:rPr>
                <w:rFonts w:ascii="Arial" w:cs="Arial" w:eastAsia="Arial" w:hAnsi="Arial"/>
                <w:b w:val="false"/>
                <w:bCs w:val="false"/>
                <w:sz w:val="20"/>
                <w:szCs w:val="20"/>
                <w:rtl/>
              </w:rPr>
              <w:t xml:space="preserve">رسالةٌ جاهزةٌ لكل شركةٍ بموعد تركيبها — تُفتح في واتساب.</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الفك والمراحل ← سلسلة المراحل</w:t>
            </w:r>
          </w:p>
        </w:tc>
        <w:tc>
          <w:tcPr>
            <w:tcW w:type="dxa" w:w="6400"/>
          </w:tcPr>
          <w:p>
            <w:pPr>
              <w:bidi/>
              <w:jc w:val="start"/>
            </w:pPr>
            <w:r>
              <w:rPr>
                <w:rFonts w:ascii="Arial" w:cs="Arial" w:eastAsia="Arial" w:hAnsi="Arial"/>
                <w:b w:val="false"/>
                <w:bCs w:val="false"/>
                <w:sz w:val="20"/>
                <w:szCs w:val="20"/>
                <w:rtl/>
              </w:rPr>
              <w:t xml:space="preserve">كلُّ عددٍ من الذي قبله — لا رقمَ ثابتًا قبل أوانه.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r>
        <w:tc>
          <w:tcPr>
            <w:tcW w:type="dxa" w:w="2600"/>
          </w:tcPr>
          <w:p>
            <w:pPr>
              <w:bidi/>
              <w:jc w:val="start"/>
            </w:pPr>
            <w:r>
              <w:rPr>
                <w:rFonts w:ascii="Arial" w:cs="Arial" w:eastAsia="Arial" w:hAnsi="Arial"/>
                <w:b w:val="false"/>
                <w:bCs w:val="false"/>
                <w:sz w:val="20"/>
                <w:szCs w:val="20"/>
                <w:rtl/>
              </w:rPr>
              <w:t xml:space="preserve">الأدلة ← دليل العمليات</w:t>
            </w:r>
          </w:p>
        </w:tc>
        <w:tc>
          <w:tcPr>
            <w:tcW w:type="dxa" w:w="6400"/>
          </w:tcPr>
          <w:p>
            <w:pPr>
              <w:bidi/>
              <w:jc w:val="start"/>
            </w:pPr>
            <w:r>
              <w:rPr>
                <w:rFonts w:ascii="Arial" w:cs="Arial" w:eastAsia="Arial" w:hAnsi="Arial"/>
                <w:b w:val="false"/>
                <w:bCs w:val="false"/>
                <w:sz w:val="20"/>
                <w:szCs w:val="20"/>
                <w:rtl/>
              </w:rPr>
              <w:t xml:space="preserve">كلُّ دورةٍ في المشروع — من يبدأها ومن ينفّذها وأين وبأي قاعدة.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صحة النظام ← سلامة البيانات</w:t>
            </w:r>
          </w:p>
        </w:tc>
        <w:tc>
          <w:tcPr>
            <w:tcW w:type="dxa" w:w="6400"/>
          </w:tcPr>
          <w:p>
            <w:pPr>
              <w:bidi/>
              <w:jc w:val="start"/>
            </w:pPr>
            <w:r>
              <w:rPr>
                <w:rFonts w:ascii="Arial" w:cs="Arial" w:eastAsia="Arial" w:hAnsi="Arial"/>
                <w:b w:val="false"/>
                <w:bCs w:val="false"/>
                <w:sz w:val="20"/>
                <w:szCs w:val="20"/>
                <w:rtl/>
              </w:rPr>
              <w:t xml:space="preserve">فحوص تكشف التناقض قبل أن يصير رقمًا في تقرير.</w:t>
            </w:r>
          </w:p>
        </w:tc>
      </w:tr>
      <w:tr>
        <w:tc>
          <w:tcPr>
            <w:tcW w:type="dxa" w:w="2600"/>
          </w:tcPr>
          <w:p>
            <w:pPr>
              <w:bidi/>
              <w:jc w:val="start"/>
            </w:pPr>
            <w:r>
              <w:rPr>
                <w:rFonts w:ascii="Arial" w:cs="Arial" w:eastAsia="Arial" w:hAnsi="Arial"/>
                <w:b w:val="false"/>
                <w:bCs w:val="false"/>
                <w:sz w:val="20"/>
                <w:szCs w:val="20"/>
                <w:rtl/>
              </w:rPr>
              <w:t xml:space="preserve">السجلات والإشعارات ← سجل الأحداث</w:t>
            </w:r>
          </w:p>
        </w:tc>
        <w:tc>
          <w:tcPr>
            <w:tcW w:type="dxa" w:w="6400"/>
          </w:tcPr>
          <w:p>
            <w:pPr>
              <w:bidi/>
              <w:jc w:val="start"/>
            </w:pPr>
            <w:r>
              <w:rPr>
                <w:rFonts w:ascii="Arial" w:cs="Arial" w:eastAsia="Arial" w:hAnsi="Arial"/>
                <w:b w:val="false"/>
                <w:bCs w:val="false"/>
                <w:sz w:val="20"/>
                <w:szCs w:val="20"/>
                <w:rtl/>
              </w:rPr>
              <w:t xml:space="preserve">كل تغيير بمن أجراه ومتى — خامًا أو مصنَّفًا بالحوكمة، من نفس السجل.</w:t>
            </w:r>
          </w:p>
        </w:tc>
      </w:tr>
      <w:tr>
        <w:tc>
          <w:tcPr>
            <w:tcW w:type="dxa" w:w="2600"/>
          </w:tcPr>
          <w:p>
            <w:pPr>
              <w:bidi/>
              <w:jc w:val="start"/>
            </w:pPr>
            <w:r>
              <w:rPr>
                <w:rFonts w:ascii="Arial" w:cs="Arial" w:eastAsia="Arial" w:hAnsi="Arial"/>
                <w:b w:val="false"/>
                <w:bCs w:val="false"/>
                <w:sz w:val="20"/>
                <w:szCs w:val="20"/>
                <w:rtl/>
              </w:rPr>
              <w:t xml:space="preserve">صحة النظام ← البلاغات</w:t>
            </w:r>
          </w:p>
        </w:tc>
        <w:tc>
          <w:tcPr>
            <w:tcW w:type="dxa" w:w="6400"/>
          </w:tcPr>
          <w:p>
            <w:pPr>
              <w:bidi/>
              <w:jc w:val="start"/>
            </w:pPr>
            <w:r>
              <w:rPr>
                <w:rFonts w:ascii="Arial" w:cs="Arial" w:eastAsia="Arial" w:hAnsi="Arial"/>
                <w:b w:val="false"/>
                <w:bCs w:val="false"/>
                <w:sz w:val="20"/>
                <w:szCs w:val="20"/>
                <w:rtl/>
              </w:rPr>
              <w:t xml:space="preserve">ما أُبلغ عنه من التطبيق — وأين وصل في المستودع.</w:t>
            </w:r>
          </w:p>
        </w:tc>
      </w:tr>
      <w:tr>
        <w:tc>
          <w:tcPr>
            <w:tcW w:type="dxa" w:w="2600"/>
          </w:tcPr>
          <w:p>
            <w:pPr>
              <w:bidi/>
              <w:jc w:val="start"/>
            </w:pPr>
            <w:r>
              <w:rPr>
                <w:rFonts w:ascii="Arial" w:cs="Arial" w:eastAsia="Arial" w:hAnsi="Arial"/>
                <w:b w:val="false"/>
                <w:bCs w:val="false"/>
                <w:sz w:val="20"/>
                <w:szCs w:val="20"/>
                <w:rtl/>
              </w:rPr>
              <w:t xml:space="preserve">صحة النظام ← المزامنة والتعارض</w:t>
            </w:r>
          </w:p>
        </w:tc>
        <w:tc>
          <w:tcPr>
            <w:tcW w:type="dxa" w:w="6400"/>
          </w:tcPr>
          <w:p>
            <w:pPr>
              <w:bidi/>
              <w:jc w:val="start"/>
            </w:pPr>
            <w:r>
              <w:rPr>
                <w:rFonts w:ascii="Arial" w:cs="Arial" w:eastAsia="Arial" w:hAnsi="Arial"/>
                <w:b w:val="false"/>
                <w:bCs w:val="false"/>
                <w:sz w:val="20"/>
                <w:szCs w:val="20"/>
                <w:rtl/>
              </w:rPr>
              <w:t xml:space="preserve">ما يحدث حين يحرّر اثنان نقطةً واحدةً بلا شبكة.</w:t>
            </w:r>
          </w:p>
        </w:tc>
      </w:tr>
      <w:tr>
        <w:tc>
          <w:tcPr>
            <w:tcW w:type="dxa" w:w="2600"/>
          </w:tcPr>
          <w:p>
            <w:pPr>
              <w:bidi/>
              <w:jc w:val="start"/>
            </w:pPr>
            <w:r>
              <w:rPr>
                <w:rFonts w:ascii="Arial" w:cs="Arial" w:eastAsia="Arial" w:hAnsi="Arial"/>
                <w:b w:val="false"/>
                <w:bCs w:val="false"/>
                <w:sz w:val="20"/>
                <w:szCs w:val="20"/>
                <w:rtl/>
              </w:rPr>
              <w:t xml:space="preserve">صحة النظام ← نسخ الأجهزة</w:t>
            </w:r>
          </w:p>
        </w:tc>
        <w:tc>
          <w:tcPr>
            <w:tcW w:type="dxa" w:w="6400"/>
          </w:tcPr>
          <w:p>
            <w:pPr>
              <w:bidi/>
              <w:jc w:val="start"/>
            </w:pPr>
            <w:r>
              <w:rPr>
                <w:rFonts w:ascii="Arial" w:cs="Arial" w:eastAsia="Arial" w:hAnsi="Arial"/>
                <w:b w:val="false"/>
                <w:bCs w:val="false"/>
                <w:sz w:val="20"/>
                <w:szCs w:val="20"/>
                <w:rtl/>
              </w:rPr>
              <w:t xml:space="preserve">نسخة التطبيق على كل جهاز — لاكتشاف من علِق على إصدار قديم.</w:t>
            </w:r>
          </w:p>
        </w:tc>
      </w:tr>
      <w:tr>
        <w:tc>
          <w:tcPr>
            <w:tcW w:type="dxa" w:w="2600"/>
          </w:tcPr>
          <w:p>
            <w:pPr>
              <w:bidi/>
              <w:jc w:val="start"/>
            </w:pPr>
            <w:r>
              <w:rPr>
                <w:rFonts w:ascii="Arial" w:cs="Arial" w:eastAsia="Arial" w:hAnsi="Arial"/>
                <w:b w:val="false"/>
                <w:bCs w:val="false"/>
                <w:sz w:val="20"/>
                <w:szCs w:val="20"/>
                <w:rtl/>
              </w:rPr>
              <w:t xml:space="preserve">صحة النظام ← الاستهلاك والأداء</w:t>
            </w:r>
          </w:p>
        </w:tc>
        <w:tc>
          <w:tcPr>
            <w:tcW w:type="dxa" w:w="6400"/>
          </w:tcPr>
          <w:p>
            <w:pPr>
              <w:bidi/>
              <w:jc w:val="start"/>
            </w:pPr>
            <w:r>
              <w:rPr>
                <w:rFonts w:ascii="Arial" w:cs="Arial" w:eastAsia="Arial" w:hAnsi="Arial"/>
                <w:b w:val="false"/>
                <w:bCs w:val="false"/>
                <w:sz w:val="20"/>
                <w:szCs w:val="20"/>
                <w:rtl/>
              </w:rPr>
              <w:t xml:space="preserve">كلُّ جهاز: قراءاتُه وطوابيرُه وأعطالُه وزمنُ رسمه وسحبه — ومن سقط منها.</w:t>
            </w:r>
          </w:p>
        </w:tc>
      </w:tr>
      <w:tr>
        <w:tc>
          <w:tcPr>
            <w:tcW w:type="dxa" w:w="2600"/>
          </w:tcPr>
          <w:p>
            <w:pPr>
              <w:bidi/>
              <w:jc w:val="start"/>
            </w:pPr>
            <w:r>
              <w:rPr>
                <w:rFonts w:ascii="Arial" w:cs="Arial" w:eastAsia="Arial" w:hAnsi="Arial"/>
                <w:b w:val="false"/>
                <w:bCs w:val="false"/>
                <w:sz w:val="20"/>
                <w:szCs w:val="20"/>
                <w:rtl/>
              </w:rPr>
              <w:t xml:space="preserve">صحة النظام ← تصحيح البيانات</w:t>
            </w:r>
          </w:p>
        </w:tc>
        <w:tc>
          <w:tcPr>
            <w:tcW w:type="dxa" w:w="6400"/>
          </w:tcPr>
          <w:p>
            <w:pPr>
              <w:bidi/>
              <w:jc w:val="start"/>
            </w:pPr>
            <w:r>
              <w:rPr>
                <w:rFonts w:ascii="Arial" w:cs="Arial" w:eastAsia="Arial" w:hAnsi="Arial"/>
                <w:b w:val="false"/>
                <w:bCs w:val="false"/>
                <w:sz w:val="20"/>
                <w:szCs w:val="20"/>
                <w:rtl/>
              </w:rPr>
              <w:t xml:space="preserve">أربعةُ عيوبٍ في السجل — تُرى بعددها وتُصلَح دفعةً.</w:t>
            </w:r>
          </w:p>
        </w:tc>
      </w:tr>
      <w:tr>
        <w:tc>
          <w:tcPr>
            <w:tcW w:type="dxa" w:w="2600"/>
          </w:tcPr>
          <w:p>
            <w:pPr>
              <w:bidi/>
              <w:jc w:val="start"/>
            </w:pPr>
            <w:r>
              <w:rPr>
                <w:rFonts w:ascii="Arial" w:cs="Arial" w:eastAsia="Arial" w:hAnsi="Arial"/>
                <w:b w:val="false"/>
                <w:bCs w:val="false"/>
                <w:sz w:val="20"/>
                <w:szCs w:val="20"/>
                <w:rtl/>
              </w:rPr>
              <w:t xml:space="preserve">صحة النظام ← الربط</w:t>
            </w:r>
          </w:p>
        </w:tc>
        <w:tc>
          <w:tcPr>
            <w:tcW w:type="dxa" w:w="6400"/>
          </w:tcPr>
          <w:p>
            <w:pPr>
              <w:bidi/>
              <w:jc w:val="start"/>
            </w:pPr>
            <w:r>
              <w:rPr>
                <w:rFonts w:ascii="Arial" w:cs="Arial" w:eastAsia="Arial" w:hAnsi="Arial"/>
                <w:b w:val="false"/>
                <w:bCs w:val="false"/>
                <w:sz w:val="20"/>
                <w:szCs w:val="20"/>
                <w:rtl/>
              </w:rPr>
              <w:t xml:space="preserve">حساباتُ أفاقي برو ونظام البطاقات — تُحفظ هنا ويعمل الجسرُ وحده كلَّ ٥ دقائق، وزرُّ «حدّث الآن».</w:t>
            </w:r>
          </w:p>
        </w:tc>
      </w:tr>
      <w:tr>
        <w:tc>
          <w:tcPr>
            <w:tcW w:type="dxa" w:w="2600"/>
          </w:tcPr>
          <w:p>
            <w:pPr>
              <w:bidi/>
              <w:jc w:val="start"/>
            </w:pPr>
            <w:r>
              <w:rPr>
                <w:rFonts w:ascii="Arial" w:cs="Arial" w:eastAsia="Arial" w:hAnsi="Arial"/>
                <w:b w:val="false"/>
                <w:bCs w:val="false"/>
                <w:sz w:val="20"/>
                <w:szCs w:val="20"/>
                <w:rtl/>
              </w:rPr>
              <w:t xml:space="preserve">صحة النظام ← عمر البيانات</w:t>
            </w:r>
          </w:p>
        </w:tc>
        <w:tc>
          <w:tcPr>
            <w:tcW w:type="dxa" w:w="6400"/>
          </w:tcPr>
          <w:p>
            <w:pPr>
              <w:bidi/>
              <w:jc w:val="start"/>
            </w:pPr>
            <w:r>
              <w:rPr>
                <w:rFonts w:ascii="Arial" w:cs="Arial" w:eastAsia="Arial" w:hAnsi="Arial"/>
                <w:b w:val="false"/>
                <w:bCs w:val="false"/>
                <w:sz w:val="20"/>
                <w:szCs w:val="20"/>
                <w:rtl/>
              </w:rPr>
              <w:t xml:space="preserve">ما يبقى وما يُؤرشَف وما يُحذف — وحجم كلٍّ.</w:t>
            </w:r>
          </w:p>
        </w:tc>
      </w:tr>
      <w:tr>
        <w:tc>
          <w:tcPr>
            <w:tcW w:type="dxa" w:w="2600"/>
          </w:tcPr>
          <w:p>
            <w:pPr>
              <w:bidi/>
              <w:jc w:val="start"/>
            </w:pPr>
            <w:r>
              <w:rPr>
                <w:rFonts w:ascii="Arial" w:cs="Arial" w:eastAsia="Arial" w:hAnsi="Arial"/>
                <w:b w:val="false"/>
                <w:bCs w:val="false"/>
                <w:sz w:val="20"/>
                <w:szCs w:val="20"/>
                <w:rtl/>
              </w:rPr>
              <w:t xml:space="preserve">صحة النظام ← تصفير البيانات</w:t>
            </w:r>
          </w:p>
        </w:tc>
        <w:tc>
          <w:tcPr>
            <w:tcW w:type="dxa" w:w="6400"/>
          </w:tcPr>
          <w:p>
            <w:pPr>
              <w:bidi/>
              <w:jc w:val="start"/>
            </w:pPr>
            <w:r>
              <w:rPr>
                <w:rFonts w:ascii="Arial" w:cs="Arial" w:eastAsia="Arial" w:hAnsi="Arial"/>
                <w:b w:val="false"/>
                <w:bCs w:val="false"/>
                <w:sz w:val="20"/>
                <w:szCs w:val="20"/>
                <w:rtl/>
              </w:rPr>
              <w:t xml:space="preserve">بدايةُ الموسم من صفر — تُمسَح السجلاتُ ويبقى التعريف.</w:t>
            </w:r>
          </w:p>
        </w:tc>
      </w:tr>
      <w:tr>
        <w:tc>
          <w:tcPr>
            <w:tcW w:type="dxa" w:w="2600"/>
          </w:tcPr>
          <w:p>
            <w:pPr>
              <w:bidi/>
              <w:jc w:val="start"/>
            </w:pPr>
            <w:r>
              <w:rPr>
                <w:rFonts w:ascii="Arial" w:cs="Arial" w:eastAsia="Arial" w:hAnsi="Arial"/>
                <w:b w:val="false"/>
                <w:bCs w:val="false"/>
                <w:sz w:val="20"/>
                <w:szCs w:val="20"/>
                <w:rtl/>
              </w:rPr>
              <w:t xml:space="preserve">صحة النظام ← صحة الأجهزة</w:t>
            </w:r>
          </w:p>
        </w:tc>
        <w:tc>
          <w:tcPr>
            <w:tcW w:type="dxa" w:w="6400"/>
          </w:tcPr>
          <w:p>
            <w:pPr>
              <w:bidi/>
              <w:jc w:val="start"/>
            </w:pPr>
            <w:r>
              <w:rPr>
                <w:rFonts w:ascii="Arial" w:cs="Arial" w:eastAsia="Arial" w:hAnsi="Arial"/>
                <w:b w:val="false"/>
                <w:bCs w:val="false"/>
                <w:sz w:val="20"/>
                <w:szCs w:val="20"/>
                <w:rtl/>
              </w:rPr>
              <w:t xml:space="preserve">الإنذار المبكر لما رُكّب — يعمل من جهاز المكتب على شبكة الميدان.</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r>
        <w:tc>
          <w:tcPr>
            <w:tcW w:type="dxa" w:w="2600"/>
          </w:tcPr>
          <w:p>
            <w:pPr>
              <w:bidi/>
              <w:jc w:val="start"/>
            </w:pPr>
            <w:r>
              <w:rPr>
                <w:rFonts w:ascii="Arial" w:cs="Arial" w:eastAsia="Arial" w:hAnsi="Arial"/>
                <w:b w:val="false"/>
                <w:bCs w:val="false"/>
                <w:sz w:val="20"/>
                <w:szCs w:val="20"/>
                <w:rtl/>
              </w:rPr>
              <w:t xml:space="preserve">السجلات والإشعارات ← الاعتمادات</w:t>
            </w:r>
          </w:p>
        </w:tc>
        <w:tc>
          <w:tcPr>
            <w:tcW w:type="dxa" w:w="6400"/>
          </w:tcPr>
          <w:p>
            <w:pPr>
              <w:bidi/>
              <w:jc w:val="start"/>
            </w:pPr>
            <w:r>
              <w:rPr>
                <w:rFonts w:ascii="Arial" w:cs="Arial" w:eastAsia="Arial" w:hAnsi="Arial"/>
                <w:b w:val="false"/>
                <w:bCs w:val="false"/>
                <w:sz w:val="20"/>
                <w:szCs w:val="20"/>
                <w:rtl/>
              </w:rPr>
              <w:t xml:space="preserve">ما اقترحه المشرفون بانتظار قرارك.</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3</w:t>
      </w:r>
    </w:p>
    <w:p>
      <w:pPr>
        <w:bidi/>
        <w:spacing w:after="120"/>
        <w:jc w:val="start"/>
      </w:pPr>
      <w:r>
        <w:rPr>
          <w:rFonts w:ascii="Arial" w:cs="Arial" w:eastAsia="Arial" w:hAnsi="Arial"/>
          <w:b/>
          <w:bCs/>
          <w:sz w:val="24"/>
          <w:szCs w:val="24"/>
          <w:rtl/>
        </w:rPr>
        <w:t xml:space="preserve">دورة المستخلص</w:t>
      </w:r>
    </w:p>
    <w:p>
      <w:pPr>
        <w:bidi/>
        <w:spacing w:after="120"/>
        <w:jc w:val="start"/>
      </w:pPr>
      <w:r>
        <w:rPr>
          <w:rFonts w:ascii="Arial" w:cs="Arial" w:eastAsia="Arial" w:hAnsi="Arial"/>
          <w:b w:val="false"/>
          <w:bCs w:val="false"/>
          <w:color w:val="666666"/>
          <w:sz w:val="20"/>
          <w:szCs w:val="20"/>
          <w:rtl/>
        </w:rPr>
        <w:t xml:space="preserve">ما يبدؤها: انقضاءُ فترةِ المستخلص أو بلوغُ معلَم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يحسب المكتسَبَ من المعتمَد وحده</w:t>
            </w:r>
          </w:p>
        </w:tc>
        <w:tc>
          <w:tcPr>
            <w:tcW w:type="dxa" w:w="2400"/>
          </w:tcPr>
          <w:p>
            <w:pPr>
              <w:bidi/>
              <w:jc w:val="start"/>
            </w:pPr>
            <w:r>
              <w:rPr>
                <w:rFonts w:ascii="Arial" w:cs="Arial" w:eastAsia="Arial" w:hAnsi="Arial"/>
                <w:b w:val="false"/>
                <w:bCs w:val="false"/>
                <w:sz w:val="20"/>
                <w:szCs w:val="20"/>
                <w:rtl/>
              </w:rPr>
              <w:t xml:space="preserve">القيمة المكتسبة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المالية</w:t>
            </w:r>
          </w:p>
        </w:tc>
        <w:tc>
          <w:tcPr>
            <w:tcW w:type="dxa" w:w="4400"/>
          </w:tcPr>
          <w:p>
            <w:pPr>
              <w:bidi/>
              <w:jc w:val="start"/>
            </w:pPr>
            <w:r>
              <w:rPr>
                <w:rFonts w:ascii="Arial" w:cs="Arial" w:eastAsia="Arial" w:hAnsi="Arial"/>
                <w:b w:val="false"/>
                <w:bCs w:val="false"/>
                <w:sz w:val="20"/>
                <w:szCs w:val="20"/>
                <w:rtl/>
              </w:rPr>
              <w:t xml:space="preserve">تُنشئ المستخلصَ بالمقترح — المكتسَبُ ناقصَ ما قُدّم</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يراجع ويقدّم للعميل</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تعتمد أو تُعيد بملاحظات</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المالية</w:t>
            </w:r>
          </w:p>
        </w:tc>
        <w:tc>
          <w:tcPr>
            <w:tcW w:type="dxa" w:w="4400"/>
          </w:tcPr>
          <w:p>
            <w:pPr>
              <w:bidi/>
              <w:jc w:val="start"/>
            </w:pPr>
            <w:r>
              <w:rPr>
                <w:rFonts w:ascii="Arial" w:cs="Arial" w:eastAsia="Arial" w:hAnsi="Arial"/>
                <w:b w:val="false"/>
                <w:bCs w:val="false"/>
                <w:sz w:val="20"/>
                <w:szCs w:val="20"/>
                <w:rtl/>
              </w:rPr>
              <w:t xml:space="preserve">تسجّل الصرفَ وتحتجز الاستقطاع</w:t>
            </w:r>
          </w:p>
        </w:tc>
        <w:tc>
          <w:tcPr>
            <w:tcW w:type="dxa" w:w="2400"/>
          </w:tcPr>
          <w:p>
            <w:pPr>
              <w:bidi/>
              <w:jc w:val="start"/>
            </w:pPr>
            <w:r>
              <w:rPr>
                <w:rFonts w:ascii="Arial" w:cs="Arial" w:eastAsia="Arial" w:hAnsi="Arial"/>
                <w:b w:val="false"/>
                <w:bCs w:val="false"/>
                <w:sz w:val="20"/>
                <w:szCs w:val="20"/>
                <w:rtl/>
              </w:rPr>
              <w:t xml:space="preserve">المستخلصات</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مستخلصَ إلا من مكتسَبٍ معتمَد</w:t>
      </w:r>
    </w:p>
    <w:p>
      <w:pPr>
        <w:bidi/>
        <w:spacing w:after="120"/>
        <w:jc w:val="start"/>
      </w:pPr>
      <w:r>
        <w:rPr>
          <w:rFonts w:ascii="Arial" w:cs="Arial" w:eastAsia="Arial" w:hAnsi="Arial"/>
          <w:b w:val="false"/>
          <w:bCs w:val="false"/>
          <w:sz w:val="20"/>
          <w:szCs w:val="20"/>
          <w:rtl/>
        </w:rPr>
        <w:t xml:space="preserve">⚠ لا يُطالَب بما طُولب به</w:t>
      </w:r>
    </w:p>
    <w:p>
      <w:pPr>
        <w:bidi/>
        <w:spacing w:after="120"/>
        <w:jc w:val="start"/>
      </w:pPr>
      <w:r>
        <w:rPr>
          <w:rFonts w:ascii="Arial" w:cs="Arial" w:eastAsia="Arial" w:hAnsi="Arial"/>
          <w:b w:val="false"/>
          <w:bCs w:val="false"/>
          <w:sz w:val="20"/>
          <w:szCs w:val="20"/>
          <w:rtl/>
        </w:rPr>
        <w:t xml:space="preserve">⚠ الاستقطاعُ يُفرَج عنه بانتهاء الضمان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التغيير</w:t>
      </w:r>
    </w:p>
    <w:p>
      <w:pPr>
        <w:bidi/>
        <w:spacing w:after="120"/>
        <w:jc w:val="start"/>
      </w:pPr>
      <w:r>
        <w:rPr>
          <w:rFonts w:ascii="Arial" w:cs="Arial" w:eastAsia="Arial" w:hAnsi="Arial"/>
          <w:b w:val="false"/>
          <w:bCs w:val="false"/>
          <w:color w:val="666666"/>
          <w:sz w:val="20"/>
          <w:szCs w:val="20"/>
          <w:rtl/>
        </w:rPr>
        <w:t xml:space="preserve">ما يبدؤها: طلبُ تغييرٍ في نطاقٍ أو جدولٍ أو ميزانية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طالبُه</w:t>
            </w:r>
          </w:p>
        </w:tc>
        <w:tc>
          <w:tcPr>
            <w:tcW w:type="dxa" w:w="4400"/>
          </w:tcPr>
          <w:p>
            <w:pPr>
              <w:bidi/>
              <w:jc w:val="start"/>
            </w:pPr>
            <w:r>
              <w:rPr>
                <w:rFonts w:ascii="Arial" w:cs="Arial" w:eastAsia="Arial" w:hAnsi="Arial"/>
                <w:b w:val="false"/>
                <w:bCs w:val="false"/>
                <w:sz w:val="20"/>
                <w:szCs w:val="20"/>
                <w:rtl/>
              </w:rPr>
              <w:t xml:space="preserve">يقدّم الطلبَ بنوعه وأثره ومبرّره</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يُقيّم الأثرَ على خط الأساس</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تعتمد أو ترفض إن مسّ نطاقًا أو مبلغًا</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يُجمّد نسخةً جديدةً من خط الأساس</w:t>
            </w:r>
          </w:p>
        </w:tc>
        <w:tc>
          <w:tcPr>
            <w:tcW w:type="dxa" w:w="2400"/>
          </w:tcPr>
          <w:p>
            <w:pPr>
              <w:bidi/>
              <w:jc w:val="start"/>
            </w:pPr>
            <w:r>
              <w:rPr>
                <w:rFonts w:ascii="Arial" w:cs="Arial" w:eastAsia="Arial" w:hAnsi="Arial"/>
                <w:b w:val="false"/>
                <w:bCs w:val="false"/>
                <w:sz w:val="20"/>
                <w:szCs w:val="20"/>
                <w:rtl/>
              </w:rPr>
              <w:t xml:space="preserve">القيمة المكتسبة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يقيس الأداءَ على المرجع الجديد</w:t>
            </w:r>
          </w:p>
        </w:tc>
        <w:tc>
          <w:tcPr>
            <w:tcW w:type="dxa" w:w="2400"/>
          </w:tcPr>
          <w:p>
            <w:pPr>
              <w:bidi/>
              <w:jc w:val="start"/>
            </w:pPr>
            <w:r>
              <w:rPr>
                <w:rFonts w:ascii="Arial" w:cs="Arial" w:eastAsia="Arial" w:hAnsi="Arial"/>
                <w:b w:val="false"/>
                <w:bCs w:val="false"/>
                <w:sz w:val="20"/>
                <w:szCs w:val="20"/>
                <w:rtl/>
              </w:rPr>
              <w:t xml:space="preserve">القيمة المكتسبة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يُمسّ خطُّ الأساس إلا باعتماد</w:t>
      </w:r>
    </w:p>
    <w:p>
      <w:pPr>
        <w:bidi/>
        <w:spacing w:after="120"/>
        <w:jc w:val="start"/>
      </w:pPr>
      <w:r>
        <w:rPr>
          <w:rFonts w:ascii="Arial" w:cs="Arial" w:eastAsia="Arial" w:hAnsi="Arial"/>
          <w:b w:val="false"/>
          <w:bCs w:val="false"/>
          <w:sz w:val="20"/>
          <w:szCs w:val="20"/>
          <w:rtl/>
        </w:rPr>
        <w:t xml:space="preserve">⚠ كلُّ اعتمادٍ يُلزم بتجميدٍ جديد</w:t>
      </w:r>
    </w:p>
    <w:p>
      <w:pPr>
        <w:bidi/>
        <w:spacing w:after="120"/>
        <w:jc w:val="start"/>
      </w:pPr>
      <w:r>
        <w:rPr>
          <w:rFonts w:ascii="Arial" w:cs="Arial" w:eastAsia="Arial" w:hAnsi="Arial"/>
          <w:b w:val="false"/>
          <w:bCs w:val="false"/>
          <w:sz w:val="20"/>
          <w:szCs w:val="20"/>
          <w:rtl/>
        </w:rPr>
        <w:t xml:space="preserve">⚠ القياسُ على مرجعٍ قديمٍ باطل</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جسر نظام البطاقات</w:t>
      </w:r>
    </w:p>
    <w:p>
      <w:pPr>
        <w:bidi/>
        <w:spacing w:after="120"/>
        <w:jc w:val="start"/>
      </w:pPr>
      <w:r>
        <w:rPr>
          <w:rFonts w:ascii="Arial" w:cs="Arial" w:eastAsia="Arial" w:hAnsi="Arial"/>
          <w:b w:val="false"/>
          <w:bCs w:val="false"/>
          <w:color w:val="666666"/>
          <w:sz w:val="20"/>
          <w:szCs w:val="20"/>
          <w:rtl/>
        </w:rPr>
        <w:t xml:space="preserve">ما يبدؤها: صباحًا ومساءً في الموسم — أو حين تقول البطاقةُ «قديم: جدّده» (أكثرُ من ست ساعات)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يسحب زرَّ «جسر البطاقات» إلى شريط الإشارات المرجعية في كروم — مرةً، ومن جديدٍ بعد ربط مخيماتٍ جديدة</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يفتح موقعَ نظام البطاقات على اللاب ويسجّل الدخولَ بحسابه</w:t>
            </w:r>
          </w:p>
        </w:tc>
        <w:tc>
          <w:tcPr>
            <w:tcW w:type="dxa" w:w="2400"/>
          </w:tcPr>
          <w:p>
            <w:pPr>
              <w:bidi/>
              <w:jc w:val="start"/>
            </w:pPr>
            <w:r>
              <w:rPr>
                <w:rFonts w:ascii="Arial" w:cs="Arial" w:eastAsia="Arial" w:hAnsi="Arial"/>
                <w:b w:val="false"/>
                <w:bCs w:val="false"/>
                <w:sz w:val="20"/>
                <w:szCs w:val="20"/>
                <w:rtl/>
              </w:rPr>
              <w:t xml:space="preserve">nusukcard.net</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يضغط الإشارةَ المرجعية</w:t>
            </w:r>
          </w:p>
        </w:tc>
        <w:tc>
          <w:tcPr>
            <w:tcW w:type="dxa" w:w="2400"/>
          </w:tcPr>
          <w:p>
            <w:pPr>
              <w:bidi/>
              <w:jc w:val="start"/>
            </w:pPr>
            <w:r>
              <w:rPr>
                <w:rFonts w:ascii="Arial" w:cs="Arial" w:eastAsia="Arial" w:hAnsi="Arial"/>
                <w:b w:val="false"/>
                <w:bCs w:val="false"/>
                <w:sz w:val="20"/>
                <w:szCs w:val="20"/>
                <w:rtl/>
              </w:rPr>
              <w:t xml:space="preserve">موقع نظام البطاقات</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يجمع القرّاءَ والخيامَ وإشغالَ مخيماتنا ويفتح التطبيقَ وقد اعتمدها وحفظها لكلِّ الحسابات</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ترى الإشغالَ وحالةَ القرّاء بوقت آخر جسر</w:t>
            </w:r>
          </w:p>
        </w:tc>
        <w:tc>
          <w:tcPr>
            <w:tcW w:type="dxa" w:w="2400"/>
          </w:tcPr>
          <w:p>
            <w:pPr>
              <w:bidi/>
              <w:jc w:val="start"/>
            </w:pPr>
            <w:r>
              <w:rPr>
                <w:rFonts w:ascii="Arial" w:cs="Arial" w:eastAsia="Arial" w:hAnsi="Arial"/>
                <w:b w:val="false"/>
                <w:bCs w:val="false"/>
                <w:sz w:val="20"/>
                <w:szCs w:val="20"/>
                <w:rtl/>
              </w:rPr>
              <w:t xml:space="preserve">التجارب والديمو · المخيمات المركزية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التطبيقُ لا يطلب من نظام البطاقات شيئًا بنفسه — سياسةُ الصفحة تمنعه، والجسرُ هو الطريق</w:t>
      </w:r>
    </w:p>
    <w:p>
      <w:pPr>
        <w:bidi/>
        <w:spacing w:after="120"/>
        <w:jc w:val="start"/>
      </w:pPr>
      <w:r>
        <w:rPr>
          <w:rFonts w:ascii="Arial" w:cs="Arial" w:eastAsia="Arial" w:hAnsi="Arial"/>
          <w:b w:val="false"/>
          <w:bCs w:val="false"/>
          <w:sz w:val="20"/>
          <w:szCs w:val="20"/>
          <w:rtl/>
        </w:rPr>
        <w:t xml:space="preserve">⚠ بديلان: ملفُّ تصديرٍ من شاشات النظام، أو الأمرُ واللصق</w:t>
      </w:r>
    </w:p>
    <w:p>
      <w:pPr>
        <w:bidi/>
        <w:spacing w:after="120"/>
        <w:jc w:val="start"/>
      </w:pPr>
      <w:r>
        <w:rPr>
          <w:rFonts w:ascii="Arial" w:cs="Arial" w:eastAsia="Arial" w:hAnsi="Arial"/>
          <w:b w:val="false"/>
          <w:bCs w:val="false"/>
          <w:sz w:val="20"/>
          <w:szCs w:val="20"/>
          <w:rtl/>
        </w:rPr>
        <w:t xml:space="preserve">⚠ حسابُ النظام شخصيّ — بديلُه قرارٌ مسمًّى</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V41.4  ·  2026-10-29</w:t>
      </w:r>
    </w:p>
    <w:p>
      <w:pPr>
        <w:bidi/>
        <w:spacing w:after="120"/>
        <w:jc w:val="start"/>
      </w:pPr>
      <w:r>
        <w:rPr>
          <w:rFonts w:ascii="Arial" w:cs="Arial" w:eastAsia="Arial" w:hAnsi="Arial"/>
          <w:b w:val="false"/>
          <w:bCs w:val="false"/>
          <w:sz w:val="20"/>
          <w:szCs w:val="20"/>
          <w:rtl/>
        </w:rPr>
        <w:t xml:space="preserve">•  على الموبايل: مفيش «وقوف بالماوس»، فالمسافة من الجيت واي بقت مكتوبة بخط صغير جنب شَرط إشارة الحساس في كارت الخريطة (مثلًا «📶 ▂▄▆ ٤٥ م»). على اللابتوب فاضلة في التلميح لما تقف على الشَرط</w:t>
      </w:r>
    </w:p>
    <w:p>
      <w:pPr>
        <w:bidi/>
        <w:spacing w:after="120"/>
        <w:jc w:val="start"/>
      </w:pPr>
      <w:r>
        <w:rPr>
          <w:rFonts w:ascii="Arial" w:cs="Arial" w:eastAsia="Arial" w:hAnsi="Arial"/>
          <w:b/>
          <w:bCs/>
          <w:sz w:val="22"/>
          <w:szCs w:val="22"/>
          <w:rtl/>
        </w:rPr>
        <w:t xml:space="preserve">V41.3  ·  2026-10-29</w:t>
      </w:r>
    </w:p>
    <w:p>
      <w:pPr>
        <w:bidi/>
        <w:spacing w:after="120"/>
        <w:jc w:val="start"/>
      </w:pPr>
      <w:r>
        <w:rPr>
          <w:rFonts w:ascii="Arial" w:cs="Arial" w:eastAsia="Arial" w:hAnsi="Arial"/>
          <w:b w:val="false"/>
          <w:bCs w:val="false"/>
          <w:sz w:val="20"/>
          <w:szCs w:val="20"/>
          <w:rtl/>
        </w:rPr>
        <w:t xml:space="preserve">•  على الخريطة: لما تضغط على الحساس بتلاقي الحرارة والرطوبة والبطارية بخط كبير، وجنبهم «جودة إشارة الحساس» شَرط زي الموبايل بدل رقم الـRSSI: أخضر ٣ شَرط، أصفر شرطتين، أحمر شرطة واحدة، ولو مفيش قراءة «—». ولما تقف عليها بالماوس بتقولك الجودة والـdBm والمسافة من الجيت واي (و«قريب وضعيف» لو كده). ونفس الشَرط في صفحة «الحساسات والجيت واي». والألوان فاضلة على SF12 زي ما هي</w:t>
      </w:r>
    </w:p>
    <w:p>
      <w:pPr>
        <w:bidi/>
        <w:spacing w:after="120"/>
        <w:jc w:val="start"/>
      </w:pPr>
      <w:r>
        <w:rPr>
          <w:rFonts w:ascii="Arial" w:cs="Arial" w:eastAsia="Arial" w:hAnsi="Arial"/>
          <w:b/>
          <w:bCs/>
          <w:sz w:val="22"/>
          <w:szCs w:val="22"/>
          <w:rtl/>
        </w:rPr>
        <w:t xml:space="preserve">V41.2  ·  2026-10-29</w:t>
      </w:r>
    </w:p>
    <w:p>
      <w:pPr>
        <w:bidi/>
        <w:spacing w:after="120"/>
        <w:jc w:val="start"/>
      </w:pPr>
      <w:r>
        <w:rPr>
          <w:rFonts w:ascii="Arial" w:cs="Arial" w:eastAsia="Arial" w:hAnsi="Arial"/>
          <w:b w:val="false"/>
          <w:bCs w:val="false"/>
          <w:sz w:val="20"/>
          <w:szCs w:val="20"/>
          <w:rtl/>
        </w:rPr>
        <w:t xml:space="preserve">•  إشارة الحساسات بـ٣ ألوان على SF12: الـRSSI أخضر من ‎-115 وأعلى، وأصفر لحد ‎-125، وأحمر أقل من كده (قريب من حد الاستقبال في SF12 اللي هو ‎-137)، والـSNR أخضر من صفر وأعلى، وأصفر لحد ‎-15، وأحمر أقل (لورا في SF12 بتفك لحد ‎-20). وعمود جديد «المسافة من الجيت واي» لكل حساس، وتنبيه «⚠️ قريب وضعيف» (٥٠ متر أو أقل وإشارته صفرا أو حمرا: غالبًا جوه معدن أو مش في مكانه)، و«ℹ️ بعيد وقوي» (أبعد من ١٥٠ متر وإشارته خضرا). وملاحظة مطوية «معنى ألوان الإشارة» بتشرح كل لون ومراجعه (Semtech وThe Things Network). وتشخيص المنصة أكّد إن وحداتنا بتبعت الـRSSI بس، من غير SNR — فالـSNR هيتلوّن أول ما يوصل</w:t>
      </w:r>
    </w:p>
    <w:p>
      <w:pPr>
        <w:bidi/>
        <w:spacing w:after="120"/>
        <w:jc w:val="start"/>
      </w:pPr>
      <w:r>
        <w:rPr>
          <w:rFonts w:ascii="Arial" w:cs="Arial" w:eastAsia="Arial" w:hAnsi="Arial"/>
          <w:b/>
          <w:bCs/>
          <w:sz w:val="22"/>
          <w:szCs w:val="22"/>
          <w:rtl/>
        </w:rPr>
        <w:t xml:space="preserve">V41.1  ·  2026-10-29</w:t>
      </w:r>
    </w:p>
    <w:p>
      <w:pPr>
        <w:bidi/>
        <w:spacing w:after="120"/>
        <w:jc w:val="start"/>
      </w:pPr>
      <w:r>
        <w:rPr>
          <w:rFonts w:ascii="Arial" w:cs="Arial" w:eastAsia="Arial" w:hAnsi="Arial"/>
          <w:b w:val="false"/>
          <w:bCs w:val="false"/>
          <w:sz w:val="20"/>
          <w:szCs w:val="20"/>
          <w:rtl/>
        </w:rPr>
        <w:t xml:space="preserve">•  صف الأزرار اللي فوق الخريطة اتقلّل: البحث والتصفية والأدوار فاضلين ظاهرين، والباقي اتجمّع في ٤ مجموعات تتفتح بضغطة (واحدة بس في المرة): «المرحلة» (بتعرض المرحلة الحالية: المسح أو التركيب أو الفك)، و«🗺 الخريطة» (قمر صناعي و٣د)، و«🧩 الطبقات» (وجنبها كام طبقة شغّالة)، و«⋯ المزيد» (إسناد وتحديد والشركات). وفي «الحساسات والجيت واي» بقت الـRSSI (قوة الإشارة اللي الجيت واي سمع بيها الحساس) أداة شغل مش رقم: عمود «الإشارة» بأربع درجات (قوية ≥ −٩٠، مقبولة، ضعيفة، حرجة تحت −١٢٠)، وفلتر «إشارة ضعيفة»، و«أضعف إشارة» لكل مخيم (نقطة ضعف تغطية الجيت واي)، وفي بوب الحساس معناها وتعمل إيه — ولو الحساس منقطع بتفرّق: آخر إشارة ضعيفة يبقى مشكلة تغطية، كويسة يبقى بطارية أو عطل أو الجيت واي نفسه</w:t>
      </w:r>
    </w:p>
    <w:p>
      <w:pPr>
        <w:bidi/>
        <w:spacing w:after="120"/>
        <w:jc w:val="start"/>
      </w:pPr>
      <w:r>
        <w:rPr>
          <w:rFonts w:ascii="Arial" w:cs="Arial" w:eastAsia="Arial" w:hAnsi="Arial"/>
          <w:b/>
          <w:bCs/>
          <w:sz w:val="22"/>
          <w:szCs w:val="22"/>
          <w:rtl/>
        </w:rPr>
        <w:t xml:space="preserve">V41.0  ·  2026-10-29</w:t>
      </w:r>
    </w:p>
    <w:p>
      <w:pPr>
        <w:bidi/>
        <w:spacing w:after="120"/>
        <w:jc w:val="start"/>
      </w:pPr>
      <w:r>
        <w:rPr>
          <w:rFonts w:ascii="Arial" w:cs="Arial" w:eastAsia="Arial" w:hAnsi="Arial"/>
          <w:b w:val="false"/>
          <w:bCs w:val="false"/>
          <w:sz w:val="20"/>
          <w:szCs w:val="20"/>
          <w:rtl/>
        </w:rPr>
        <w:t xml:space="preserve">•  أزرار الخريطة اللي تحت («موقع غير مسجّل» و«نقطة هنا» و«رسم مسار التفويج» و«مسار/مساحة بنقاط» و«موقعي») بقت مطوية ورا زرار واحد «▴ الأدوات» زي «الحالات» بالظبط، فالخريطة بقت أوضح على الموبايل واللابتوب. التطبيق بيفتكر اختيارك، ولو أداة رسم شغّالة بتفضل مفتوحة. وفي نسك (الاختيار «ب»: السحب من متصفح جهاز المكتب، لأن السحابة مقفول عليها): أول تجربة قديمة من الموبايل كانت فشلت لأن سياسة الشبكة في التطبيق ما كانش فيها عناوين نسك أصلًا — اتضافوا دلوقتي. وفي كارت «نظام البطاقات» زرار «🧪 جرّب الوصول لنسك من الجهاز ده» بيسأل قائمة القرّاء والمخيمات مرة واحدة ويقولك: وصل، أو وصل ومحتاج توكين، أو ممنوع، أو المتصفح منعه</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