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V37.24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0"/>
          <w:szCs w:val="20"/>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120"/>
        <w:jc w:val="start"/>
      </w:pPr>
      <w:r>
        <w:rPr>
          <w:rFonts w:ascii="Arial" w:cs="Arial" w:eastAsia="Arial" w:hAnsi="Arial"/>
          <w:b/>
          <w:bCs/>
          <w:sz w:val="22"/>
          <w:szCs w:val="22"/>
          <w:rtl/>
        </w:rPr>
        <w:t xml:space="preserve">V37.20  ·  ١٠ أكتوبر ٢٠٢٦</w:t>
      </w:r>
    </w:p>
    <w:p>
      <w:pPr>
        <w:bidi/>
        <w:spacing w:after="120"/>
        <w:jc w:val="start"/>
      </w:pPr>
      <w:r>
        <w:rPr>
          <w:rFonts w:ascii="Arial" w:cs="Arial" w:eastAsia="Arial" w:hAnsi="Arial"/>
          <w:b w:val="false"/>
          <w:bCs w:val="false"/>
          <w:sz w:val="20"/>
          <w:szCs w:val="20"/>
          <w:rtl/>
        </w:rPr>
        <w:t xml:space="preserve">•  تحسين داخلي لاختبارات قاعدة الصور الخام.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