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الطلب لا يتكرر بين جهازين: يُحجز في القاعدة حجزًا ذريًّا، وأوفلاين ينتظر الحجز ثم يتأكد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المتابعة أسرع: «التفاصيل الكاملة» تُرسم حين تُفتح، و«شغلي» ثلاثون لكل مشرف ثم «اعرض المزيد»، والتخزين الدائم يُطلب من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الاسم الواحد رقم واحد في كل شاشة: «تحتاج زيارة أخرى» و«أعادها المهندس» بأسماء متابعة الوزارة، وجرد جديد يحرس ذلك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بلاغ «الإصدار وقف» كاذب حين تُلغي قائمةُ التزامٍ أحدث قائمةَ الأقدم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الميدان هي لوحة «التحديات والمعوقات» في متابعة الوزارة نفسها — الشكل والأرقام والنافذة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