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6"/>
        </w:pBdr>
        <w:bidi/>
        <w:spacing w:after="240" w:before="0" w:line="360"/>
        <w:jc w:val="center"/>
      </w:pPr>
      <w:r>
        <w:rPr>
          <w:rFonts w:ascii="Arial" w:cs="Arial" w:eastAsia="Arial" w:hAnsi="Arial"/>
          <w:b/>
          <w:bCs/>
          <w:color w:val="1F3864"/>
          <w:sz w:val="34"/>
          <w:szCs w:val="34"/>
          <w:rtl/>
        </w:rPr>
        <w:t xml:space="preserve">الأغراض والأنشطة لشركة خيال لخدمات الفروسية</w:t>
      </w:r>
    </w:p>
    <w:p>
      <w:pPr>
        <w:bidi/>
        <w:spacing w:after="60" w:before="0" w:line="360"/>
        <w:jc w:val="right"/>
      </w:pPr>
      <w:r>
        <w:rPr>
          <w:rFonts w:ascii="Arial" w:cs="Arial" w:eastAsia="Arial" w:hAnsi="Arial"/>
          <w:b/>
          <w:bCs/>
          <w:sz w:val="24"/>
          <w:szCs w:val="24"/>
          <w:rtl/>
        </w:rPr>
        <w:t xml:space="preserve">اسم الشركة: </w:t>
      </w:r>
      <w:r>
        <w:rPr>
          <w:rFonts w:ascii="Arial" w:cs="Arial" w:eastAsia="Arial" w:hAnsi="Arial"/>
          <w:b w:val="false"/>
          <w:bCs w:val="false"/>
          <w:sz w:val="24"/>
          <w:szCs w:val="24"/>
          <w:rtl/>
        </w:rPr>
        <w:t xml:space="preserve">خيال لخدمات الفروسية</w:t>
      </w:r>
    </w:p>
    <w:p>
      <w:pPr>
        <w:bidi/>
        <w:spacing w:after="240" w:before="0" w:line="360"/>
        <w:jc w:val="right"/>
      </w:pPr>
      <w:r>
        <w:rPr>
          <w:rFonts w:ascii="Arial" w:cs="Arial" w:eastAsia="Arial" w:hAnsi="Arial"/>
          <w:b/>
          <w:bCs/>
          <w:sz w:val="24"/>
          <w:szCs w:val="24"/>
          <w:rtl/>
        </w:rPr>
        <w:t xml:space="preserve">الاسم باللغة الإنجليزية: </w:t>
      </w:r>
      <w:r>
        <w:rPr>
          <w:rFonts w:ascii="Arial" w:cs="Arial" w:eastAsia="Arial" w:hAnsi="Arial"/>
          <w:b w:val="false"/>
          <w:bCs w:val="false"/>
          <w:sz w:val="24"/>
          <w:szCs w:val="24"/>
          <w:rtl/>
        </w:rPr>
        <w:t xml:space="preserve">Khayal Equestrian Services</w:t>
      </w:r>
    </w:p>
    <w:p>
      <w:pPr>
        <w:bidi/>
        <w:spacing w:after="120" w:before="0" w:line="360"/>
        <w:jc w:val="right"/>
      </w:pPr>
      <w:r>
        <w:rPr>
          <w:rFonts w:ascii="Arial" w:cs="Arial" w:eastAsia="Arial" w:hAnsi="Arial"/>
          <w:b/>
          <w:bCs/>
          <w:sz w:val="30"/>
          <w:szCs w:val="30"/>
          <w:rtl/>
        </w:rPr>
        <w:t xml:space="preserve">مادة: غرض الشركة</w:t>
      </w:r>
    </w:p>
    <w:p>
      <w:pPr>
        <w:bidi/>
        <w:spacing w:after="160" w:before="0" w:line="360"/>
        <w:jc w:val="both"/>
      </w:pPr>
      <w:r>
        <w:rPr>
          <w:rFonts w:ascii="Arial" w:cs="Arial" w:eastAsia="Arial" w:hAnsi="Arial"/>
          <w:b w:val="false"/>
          <w:bCs w:val="false"/>
          <w:sz w:val="24"/>
          <w:szCs w:val="24"/>
          <w:rtl/>
        </w:rPr>
        <w:t xml:space="preserve">يتمثل غرض الشركة في مزاولة الأنشطة التالية:</w:t>
      </w:r>
    </w:p>
    <w:p>
      <w:pPr>
        <w:bidi/>
        <w:spacing w:after="100" w:before="200" w:line="360"/>
        <w:jc w:val="both"/>
      </w:pPr>
      <w:r>
        <w:rPr>
          <w:rFonts w:ascii="Arial" w:cs="Arial" w:eastAsia="Arial" w:hAnsi="Arial"/>
          <w:b/>
          <w:bCs/>
          <w:color w:val="1F3864"/>
          <w:sz w:val="26"/>
          <w:szCs w:val="26"/>
          <w:rtl/>
        </w:rPr>
        <w:t xml:space="preserve">أولًا: أكاديمية الفروسية</w:t>
      </w:r>
    </w:p>
    <w:p>
      <w:pPr>
        <w:bidi/>
        <w:spacing w:after="160" w:before="0" w:line="360"/>
        <w:jc w:val="both"/>
      </w:pPr>
      <w:r>
        <w:rPr>
          <w:rFonts w:ascii="Arial" w:cs="Arial" w:eastAsia="Arial" w:hAnsi="Arial"/>
          <w:b w:val="false"/>
          <w:bCs w:val="false"/>
          <w:sz w:val="24"/>
          <w:szCs w:val="24"/>
          <w:rtl/>
        </w:rPr>
        <w:t xml:space="preserve">إنشاء وإدارة وتشغيل أكاديميات ومدارس الفروسية لتعليم وتدريب ركوب الخيل لجميع المستويات والأعمار، وتقديم البرامج والدورات التدريبية في قفز الحواجز والترويض والقدرة والتحمل، وإعداد وتأهيل الفرسان للمسابقات، وتأهيل وتدريب المدربين والعاملين في مجال الفروسية، وإدارة أنظمة العضويات والاشتراكات الخاصة بها.</w:t>
      </w:r>
    </w:p>
    <w:p>
      <w:pPr>
        <w:bidi/>
        <w:spacing w:after="100" w:before="200" w:line="360"/>
        <w:jc w:val="both"/>
      </w:pPr>
      <w:r>
        <w:rPr>
          <w:rFonts w:ascii="Arial" w:cs="Arial" w:eastAsia="Arial" w:hAnsi="Arial"/>
          <w:b/>
          <w:bCs/>
          <w:color w:val="1F3864"/>
          <w:sz w:val="26"/>
          <w:szCs w:val="26"/>
          <w:rtl/>
        </w:rPr>
        <w:t xml:space="preserve">ثانيًا: مراكز الفروسية والإسطبلات وركوب الخيل الترفيهي</w:t>
      </w:r>
    </w:p>
    <w:p>
      <w:pPr>
        <w:bidi/>
        <w:spacing w:after="160" w:before="0" w:line="360"/>
        <w:jc w:val="both"/>
      </w:pPr>
      <w:r>
        <w:rPr>
          <w:rFonts w:ascii="Arial" w:cs="Arial" w:eastAsia="Arial" w:hAnsi="Arial"/>
          <w:b w:val="false"/>
          <w:bCs w:val="false"/>
          <w:sz w:val="24"/>
          <w:szCs w:val="24"/>
          <w:rtl/>
        </w:rPr>
        <w:t xml:space="preserve">إنشاء وإدارة وتشغيل مراكز الفروسية والإسطبلات، وإيواء ورعاية وتدريب الخيول، والاتجار فيها، وتأجير الخيول لأغراض التدريب والركوب الرياضي والترفيهي، وتقديم خدمات ركوب الخيل الترفيهي للأفراد والعائلات والمجموعات، وإدارة وتشغيل منشآت الفروسية المملوكة للغير، وتقديم الاستشارات الإدارية والتشغيلية المتعلقة بها، وتأجير المعدات والتجهيزات المرتبطة بهذه الأنشطة.</w:t>
      </w:r>
    </w:p>
    <w:p>
      <w:pPr>
        <w:bidi/>
        <w:spacing w:after="100" w:before="200" w:line="360"/>
        <w:jc w:val="both"/>
      </w:pPr>
      <w:r>
        <w:rPr>
          <w:rFonts w:ascii="Arial" w:cs="Arial" w:eastAsia="Arial" w:hAnsi="Arial"/>
          <w:b/>
          <w:bCs/>
          <w:color w:val="1F3864"/>
          <w:sz w:val="26"/>
          <w:szCs w:val="26"/>
          <w:rtl/>
        </w:rPr>
        <w:t xml:space="preserve">ثالثًا: البطولات والأنشطة الرياضية</w:t>
      </w:r>
    </w:p>
    <w:p>
      <w:pPr>
        <w:bidi/>
        <w:spacing w:after="160" w:before="0" w:line="360"/>
        <w:jc w:val="both"/>
      </w:pPr>
      <w:r>
        <w:rPr>
          <w:rFonts w:ascii="Arial" w:cs="Arial" w:eastAsia="Arial" w:hAnsi="Arial"/>
          <w:b w:val="false"/>
          <w:bCs w:val="false"/>
          <w:sz w:val="24"/>
          <w:szCs w:val="24"/>
          <w:rtl/>
        </w:rPr>
        <w:t xml:space="preserve">تنظيم وإدارة مسابقات وبطولات الفروسية، وتنظيم المعسكرات والبرامج الرياضية للأفراد والمدارس والجامعات والشركات والمؤسسات.</w:t>
      </w:r>
    </w:p>
    <w:p>
      <w:pPr>
        <w:bidi/>
        <w:spacing w:after="100" w:before="200" w:line="360"/>
        <w:jc w:val="both"/>
      </w:pPr>
      <w:r>
        <w:rPr>
          <w:rFonts w:ascii="Arial" w:cs="Arial" w:eastAsia="Arial" w:hAnsi="Arial"/>
          <w:b/>
          <w:bCs/>
          <w:color w:val="1F3864"/>
          <w:sz w:val="26"/>
          <w:szCs w:val="26"/>
          <w:rtl/>
        </w:rPr>
        <w:t xml:space="preserve">رابعًا: تكنولوجيا المعلومات والتطبيقات الإلكترونية</w:t>
      </w:r>
    </w:p>
    <w:p>
      <w:pPr>
        <w:bidi/>
        <w:spacing w:after="160" w:before="0" w:line="360"/>
        <w:jc w:val="both"/>
      </w:pPr>
      <w:r>
        <w:rPr>
          <w:rFonts w:ascii="Arial" w:cs="Arial" w:eastAsia="Arial" w:hAnsi="Arial"/>
          <w:b w:val="false"/>
          <w:bCs w:val="false"/>
          <w:sz w:val="24"/>
          <w:szCs w:val="24"/>
          <w:rtl/>
        </w:rPr>
        <w:t xml:space="preserve">تصميم وتطوير وبرمجة وتشغيل وإدارة وتسويق التطبيقات الإلكترونية والمواقع والمنصات الرقمية، وإنشاء وتشغيل منصات الحجز الإلكتروني والأسواق الإلكترونية (Marketplace)، وتقديم خدمات الوساطة والتسويق الإلكتروني بين العملاء ومقدمي الخدمات، وتطوير وبيع وترخيص البرمجيات كخدمة (SaaS) وأنظمة إدارة الإسطبلات والحجوزات وعلاقات العملاء (CRM)، وحلول الذكاء الاصطناعي وتحليل البيانات، وإدارة أنظمة الاشتراكات والعضويات والولاء والمكافآت الإلكترونية، والبرامج التعليمية الإلكترونية المرتبطة بأنشطة الشركة.</w:t>
      </w:r>
    </w:p>
    <w:p>
      <w:pPr>
        <w:bidi/>
        <w:spacing w:after="100" w:before="200" w:line="360"/>
        <w:jc w:val="both"/>
      </w:pPr>
      <w:r>
        <w:rPr>
          <w:rFonts w:ascii="Arial" w:cs="Arial" w:eastAsia="Arial" w:hAnsi="Arial"/>
          <w:b/>
          <w:bCs/>
          <w:color w:val="1F3864"/>
          <w:sz w:val="26"/>
          <w:szCs w:val="26"/>
          <w:rtl/>
        </w:rPr>
        <w:t xml:space="preserve">خامسًا: الملابس والمستلزمات (التصنيع لدى الغير)</w:t>
      </w:r>
    </w:p>
    <w:p>
      <w:pPr>
        <w:bidi/>
        <w:spacing w:after="160" w:before="0" w:line="360"/>
        <w:jc w:val="both"/>
      </w:pPr>
      <w:r>
        <w:rPr>
          <w:rFonts w:ascii="Arial" w:cs="Arial" w:eastAsia="Arial" w:hAnsi="Arial"/>
          <w:b w:val="false"/>
          <w:bCs w:val="false"/>
          <w:sz w:val="24"/>
          <w:szCs w:val="24"/>
          <w:rtl/>
        </w:rPr>
        <w:t xml:space="preserve">تصميم الملابس الرياضية وملابس الفروسية والملابس الكاجوال والأحذية والحقائب والإكسسوارات والمستلزمات الرياضية، وتصنيعها لدى الغير لحساب الشركة، وتعبئتها وتغليفها وتسويقها وتوزيعها تحت العلامات التجارية الخاصة بالشركة.</w:t>
      </w:r>
    </w:p>
    <w:p>
      <w:pPr>
        <w:bidi/>
        <w:spacing w:after="100" w:before="200" w:line="360"/>
        <w:jc w:val="both"/>
      </w:pPr>
      <w:r>
        <w:rPr>
          <w:rFonts w:ascii="Arial" w:cs="Arial" w:eastAsia="Arial" w:hAnsi="Arial"/>
          <w:b/>
          <w:bCs/>
          <w:color w:val="1F3864"/>
          <w:sz w:val="26"/>
          <w:szCs w:val="26"/>
          <w:rtl/>
        </w:rPr>
        <w:t xml:space="preserve">سادسًا: التجارة والتوزيع</w:t>
      </w:r>
    </w:p>
    <w:p>
      <w:pPr>
        <w:bidi/>
        <w:spacing w:after="160" w:before="0" w:line="360"/>
        <w:jc w:val="both"/>
      </w:pPr>
      <w:r>
        <w:rPr>
          <w:rFonts w:ascii="Arial" w:cs="Arial" w:eastAsia="Arial" w:hAnsi="Arial"/>
          <w:b w:val="false"/>
          <w:bCs w:val="false"/>
          <w:sz w:val="24"/>
          <w:szCs w:val="24"/>
          <w:rtl/>
        </w:rPr>
        <w:t xml:space="preserve">تجارة الجملة والتجزئة والتوزيع والتجارة الإلكترونية في أدوات ومستلزمات الفروسية والمعدات الرياضية والسروج واللجام والخوذ والملابس والأحذية والإكسسوارات والمنتجات التذكارية، وإنشاء وإدارة منافذ البيع والمتاجر الإلكترونية، والتوكيلات التجارية والامتياز التجاري.</w:t>
      </w:r>
    </w:p>
    <w:p>
      <w:pPr>
        <w:bidi/>
        <w:spacing w:after="100" w:before="200" w:line="360"/>
        <w:jc w:val="both"/>
      </w:pPr>
      <w:r>
        <w:rPr>
          <w:rFonts w:ascii="Arial" w:cs="Arial" w:eastAsia="Arial" w:hAnsi="Arial"/>
          <w:b/>
          <w:bCs/>
          <w:color w:val="1F3864"/>
          <w:sz w:val="26"/>
          <w:szCs w:val="26"/>
          <w:rtl/>
        </w:rPr>
        <w:t xml:space="preserve">سابعًا: الدعاية والإعلان وتنظيم الفعاليات</w:t>
      </w:r>
    </w:p>
    <w:p>
      <w:pPr>
        <w:bidi/>
        <w:spacing w:after="160" w:before="0" w:line="360"/>
        <w:jc w:val="both"/>
      </w:pPr>
      <w:r>
        <w:rPr>
          <w:rFonts w:ascii="Arial" w:cs="Arial" w:eastAsia="Arial" w:hAnsi="Arial"/>
          <w:b w:val="false"/>
          <w:bCs w:val="false"/>
          <w:sz w:val="24"/>
          <w:szCs w:val="24"/>
          <w:rtl/>
        </w:rPr>
        <w:t xml:space="preserve">تقديم خدمات الدعاية والإعلان والتسويق الإلكتروني، وإدارة الحملات التسويقية والعلامات التجارية، وإنتاج المحتوى الإعلاني والتصوير الفوتوغرافي والفيديو، وتنظيم وإدارة الفعاليات والمهرجانات والمعارض المرتبطة بأغراض الشركة، وتقديم خدمات الرعاية التجارية.</w:t>
      </w:r>
    </w:p>
    <w:p>
      <w:pPr>
        <w:bidi/>
        <w:spacing w:after="100" w:before="200" w:line="360"/>
        <w:jc w:val="both"/>
      </w:pPr>
      <w:r>
        <w:rPr>
          <w:rFonts w:ascii="Arial" w:cs="Arial" w:eastAsia="Arial" w:hAnsi="Arial"/>
          <w:b/>
          <w:bCs/>
          <w:color w:val="1F3864"/>
          <w:sz w:val="26"/>
          <w:szCs w:val="26"/>
          <w:rtl/>
        </w:rPr>
        <w:t xml:space="preserve">ثامنًا: الملكية الفكرية والأنشطة المكملة</w:t>
      </w:r>
    </w:p>
    <w:p>
      <w:pPr>
        <w:bidi/>
        <w:spacing w:after="160" w:before="0" w:line="360"/>
        <w:jc w:val="both"/>
      </w:pPr>
      <w:r>
        <w:rPr>
          <w:rFonts w:ascii="Arial" w:cs="Arial" w:eastAsia="Arial" w:hAnsi="Arial"/>
          <w:b w:val="false"/>
          <w:bCs w:val="false"/>
          <w:sz w:val="24"/>
          <w:szCs w:val="24"/>
          <w:rtl/>
        </w:rPr>
        <w:t xml:space="preserve">تسجيل واستغلال وترخيص العلامات والأسماء التجارية والبرمجيات والمحتوى المرتبط بأنشطة الشركة، وإبرام عقود الترخيص والامتياز والتشغيل والتسويق والتوزيع. ويجوز للشركة أن تشترك أو تساهم في الشركات والمشروعات ذات الأنشطة المرتبطة بأغراضها، وأن تنشئ فروعًا داخل جمهورية مصر العربية أو خارجها، في الحدود التي يجيزها القانون.</w:t>
      </w:r>
    </w:p>
    <w:p>
      <w:pPr>
        <w:bidi/>
        <w:spacing w:after="100" w:before="200" w:line="360"/>
        <w:jc w:val="both"/>
      </w:pPr>
      <w:r>
        <w:rPr>
          <w:rFonts w:ascii="Arial" w:cs="Arial" w:eastAsia="Arial" w:hAnsi="Arial"/>
          <w:b/>
          <w:bCs/>
          <w:color w:val="1F3864"/>
          <w:sz w:val="26"/>
          <w:szCs w:val="26"/>
          <w:rtl/>
        </w:rPr>
        <w:t xml:space="preserve">أحكام عامة</w:t>
      </w:r>
    </w:p>
    <w:p>
      <w:pPr>
        <w:bidi/>
        <w:spacing w:after="160" w:before="0" w:line="360"/>
        <w:jc w:val="both"/>
      </w:pPr>
      <w:r>
        <w:rPr>
          <w:rFonts w:ascii="Arial" w:cs="Arial" w:eastAsia="Arial" w:hAnsi="Arial"/>
          <w:b w:val="false"/>
          <w:bCs w:val="false"/>
          <w:sz w:val="24"/>
          <w:szCs w:val="24"/>
          <w:rtl/>
        </w:rPr>
        <w:t xml:space="preserve">مع مراعاة أحكام القوانين واللوائح والقرارات السارية، وبشرط استصدار التراخيص اللازمة لممارسة هذه الأنشطة.</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2026-11-01T13:18:06.805Z</dcterms:created>
  <dcterms:modified xsi:type="dcterms:W3CDTF">2026-11-01T13:18:06.814Z</dcterms:modified>
</cp:coreProperties>
</file>

<file path=docProps/custom.xml><?xml version="1.0" encoding="utf-8"?>
<Properties xmlns="http://schemas.openxmlformats.org/officeDocument/2006/custom-properties" xmlns:vt="http://schemas.openxmlformats.org/officeDocument/2006/docPropsVTypes"/>
</file>