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808FC" w14:textId="6C719A34" w:rsidR="00C61363" w:rsidRDefault="00B076C6">
      <w:pPr>
        <w:pStyle w:val="Title"/>
      </w:pPr>
      <w:proofErr w:type="gramStart"/>
      <w:r>
        <w:t>Title of the paper.</w:t>
      </w:r>
      <w:proofErr w:type="gramEnd"/>
      <w:r>
        <w:t xml:space="preserve"> This is primarily from the APA style. LODJ apparently does not have a specific format for the title</w:t>
      </w:r>
    </w:p>
    <w:p w14:paraId="252D6039" w14:textId="77777777" w:rsidR="00C61363" w:rsidRDefault="005D1999">
      <w:pPr>
        <w:pStyle w:val="Abstract"/>
      </w:pPr>
      <w:r>
        <w:t>This is where the abstract will be.</w:t>
      </w:r>
    </w:p>
    <w:p w14:paraId="58D138C8" w14:textId="715956D3" w:rsidR="00C61363" w:rsidRDefault="00B076C6">
      <w:pPr>
        <w:pStyle w:val="Heading1"/>
      </w:pPr>
      <w:bookmarkStart w:id="0" w:name="introduction"/>
      <w:bookmarkEnd w:id="0"/>
      <w:r>
        <w:t>level 1 heading</w:t>
      </w:r>
    </w:p>
    <w:p w14:paraId="47C855A7" w14:textId="1578BE7C" w:rsidR="007462B1" w:rsidRDefault="00B076C6">
      <w:r>
        <w:t xml:space="preserve">Paragraph one of normal text. This text is indented even though it’s the first paragraph after a heading. Am yet unable to figure out how to make just the first paragraph </w:t>
      </w:r>
      <w:proofErr w:type="spellStart"/>
      <w:r>
        <w:t>unindented</w:t>
      </w:r>
      <w:proofErr w:type="spellEnd"/>
      <w:r>
        <w:t>.</w:t>
      </w:r>
    </w:p>
    <w:p w14:paraId="10F6A1AC" w14:textId="5CD90693" w:rsidR="00C61363" w:rsidRDefault="00B076C6" w:rsidP="00B076C6">
      <w:r>
        <w:t>This is the second paragraph. Notice that the spacing between this paragraph and the previous one is the same as the spacing between two lines</w:t>
      </w:r>
      <w:r w:rsidR="005D1999">
        <w:t xml:space="preserve">. </w:t>
      </w:r>
    </w:p>
    <w:p w14:paraId="699CB2BA" w14:textId="417986FA" w:rsidR="00C61363" w:rsidRDefault="00B076C6" w:rsidP="007462B1">
      <w:pPr>
        <w:pStyle w:val="Heading1"/>
      </w:pPr>
      <w:bookmarkStart w:id="1" w:name="transformational-leadership"/>
      <w:bookmarkEnd w:id="1"/>
      <w:r>
        <w:t>Level 1 heading again</w:t>
      </w:r>
    </w:p>
    <w:p w14:paraId="69EEBA6B" w14:textId="77777777" w:rsidR="00B076C6" w:rsidRDefault="005D1999">
      <w:r>
        <w:t xml:space="preserve">As the primary purpose of our work is to explore the dimensions of transformational leadership, the dimensional conceptualization of Rafferty and Griffin (2004) is </w:t>
      </w:r>
      <w:proofErr w:type="gramStart"/>
      <w:r>
        <w:t>useful</w:t>
      </w:r>
      <w:proofErr w:type="gramEnd"/>
      <w:r>
        <w:t xml:space="preserve"> as theoretically it should discriminate between the various dimensions. </w:t>
      </w:r>
    </w:p>
    <w:p w14:paraId="3B816F06" w14:textId="06729023" w:rsidR="00C61363" w:rsidRDefault="005D1999">
      <w:r>
        <w:t>Further some initial empirical evidence is also provided (Rafferty and Griffin 2004).</w:t>
      </w:r>
    </w:p>
    <w:p w14:paraId="6F8D10C5" w14:textId="77777777" w:rsidR="00C61363" w:rsidRDefault="005D1999" w:rsidP="002849D1">
      <w:pPr>
        <w:pStyle w:val="Heading1"/>
      </w:pPr>
      <w:bookmarkStart w:id="2" w:name="psychological-empowerment"/>
      <w:bookmarkEnd w:id="2"/>
      <w:r>
        <w:t>Psychological Empowerment</w:t>
      </w:r>
    </w:p>
    <w:p w14:paraId="11C93C5F" w14:textId="65151FA2" w:rsidR="00C61363" w:rsidRDefault="005D1999">
      <w:r>
        <w:t xml:space="preserve">Psychological empowerment is defined as a set of motivational cognitions shaped by a work environment and reflecting an individual's active orientation to his or her work role (Spreitzer 1995). </w:t>
      </w:r>
    </w:p>
    <w:p w14:paraId="40F81C9D" w14:textId="69C3EB54" w:rsidR="00C61363" w:rsidRDefault="005D1999" w:rsidP="007462B1">
      <w:r>
        <w:lastRenderedPageBreak/>
        <w:t xml:space="preserve">The concept of psychological empowerment has gained wide acceptance in both management theory and practice as it is related with a variety of organizationally valued outcomes (Guangping Wang and Lee 2009). </w:t>
      </w:r>
    </w:p>
    <w:p w14:paraId="735E252E" w14:textId="77777777" w:rsidR="00C61363" w:rsidRDefault="005D1999">
      <w:pPr>
        <w:pStyle w:val="Heading1"/>
      </w:pPr>
      <w:bookmarkStart w:id="3" w:name="hypotheses"/>
      <w:bookmarkEnd w:id="3"/>
      <w:r>
        <w:t>Hypotheses</w:t>
      </w:r>
    </w:p>
    <w:p w14:paraId="7DC542E1" w14:textId="0C3B66E0" w:rsidR="00C61363" w:rsidRDefault="00B076C6">
      <w:pPr>
        <w:pStyle w:val="Heading2"/>
      </w:pPr>
      <w:bookmarkStart w:id="4" w:name="meaning"/>
      <w:bookmarkEnd w:id="4"/>
      <w:r>
        <w:t>Level 2 Heading</w:t>
      </w:r>
    </w:p>
    <w:p w14:paraId="07EE9352" w14:textId="1B01F754" w:rsidR="00C61363" w:rsidRDefault="005D1999">
      <w:r>
        <w:t>In support of these arguments, Kirkpatrick and Locke (1996) demonstrated through an experiment that a vision positively affected followers’ perception of importance of the task.</w:t>
      </w:r>
    </w:p>
    <w:p w14:paraId="66966F6D" w14:textId="6883C12D" w:rsidR="00C61363" w:rsidRDefault="005D1999">
      <w:pPr>
        <w:pStyle w:val="BlockQuote"/>
      </w:pPr>
      <w:r>
        <w:rPr>
          <w:b/>
        </w:rPr>
        <w:t>H1</w:t>
      </w:r>
      <w:r>
        <w:t xml:space="preserve">: </w:t>
      </w:r>
      <w:r w:rsidR="00B076C6">
        <w:rPr>
          <w:i/>
        </w:rPr>
        <w:t>Block quote. The bold of H1 is from the underlying markdown</w:t>
      </w:r>
      <w:r>
        <w:rPr>
          <w:i/>
        </w:rPr>
        <w:t xml:space="preserve"> would be positively related to meaning.</w:t>
      </w:r>
    </w:p>
    <w:p w14:paraId="3B4E6775" w14:textId="77777777" w:rsidR="00C61363" w:rsidRDefault="005D1999">
      <w:bookmarkStart w:id="5" w:name="impact"/>
      <w:bookmarkStart w:id="6" w:name="competence"/>
      <w:bookmarkStart w:id="7" w:name="self-determination"/>
      <w:bookmarkEnd w:id="5"/>
      <w:bookmarkEnd w:id="6"/>
      <w:bookmarkEnd w:id="7"/>
      <w:r>
        <w:rPr>
          <w:noProof/>
        </w:rPr>
        <w:lastRenderedPageBreak/>
        <w:drawing>
          <wp:inline distT="0" distB="0" distL="0" distR="0" wp14:anchorId="5864FC85" wp14:editId="3538620E">
            <wp:extent cx="5943600" cy="4393096"/>
            <wp:effectExtent l="0" t="0" r="0" b="0"/>
            <wp:docPr id="1" name="Picture" descr="Hypothesized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figs/hypothesis_fig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3D30A" w14:textId="5098ACE9" w:rsidR="00C61363" w:rsidRDefault="00B076C6" w:rsidP="00C05B0D">
      <w:pPr>
        <w:pStyle w:val="ImageCaption"/>
      </w:pPr>
      <w:r>
        <w:t>Image and Table Captions are Small Caps</w:t>
      </w:r>
    </w:p>
    <w:p w14:paraId="4423F0D0" w14:textId="77777777" w:rsidR="00C61363" w:rsidRDefault="005D1999">
      <w:pPr>
        <w:pStyle w:val="Heading1"/>
      </w:pPr>
      <w:bookmarkStart w:id="8" w:name="method"/>
      <w:bookmarkEnd w:id="8"/>
      <w:r>
        <w:t>Method</w:t>
      </w:r>
    </w:p>
    <w:p w14:paraId="31DA2EA9" w14:textId="77777777" w:rsidR="00C61363" w:rsidRDefault="005D1999">
      <w:pPr>
        <w:pStyle w:val="Heading2"/>
      </w:pPr>
      <w:bookmarkStart w:id="9" w:name="sample-and-procedures"/>
      <w:bookmarkEnd w:id="9"/>
      <w:r>
        <w:t>Sample and Procedures</w:t>
      </w:r>
    </w:p>
    <w:p w14:paraId="78398C5C" w14:textId="69E94C14" w:rsidR="00C61363" w:rsidRDefault="005D1999" w:rsidP="00C05B0D">
      <w:r>
        <w:t>We approached a large Indian IT services organization that operates in a B2B services environment.</w:t>
      </w:r>
    </w:p>
    <w:p w14:paraId="62C04146" w14:textId="700F5DCE" w:rsidR="00C61363" w:rsidRDefault="005D1999" w:rsidP="00C05B0D">
      <w:pPr>
        <w:pStyle w:val="Heading2"/>
      </w:pPr>
      <w:bookmarkStart w:id="10" w:name="measures"/>
      <w:bookmarkEnd w:id="10"/>
      <w:r>
        <w:lastRenderedPageBreak/>
        <w:t>Measures</w:t>
      </w:r>
      <w:bookmarkStart w:id="11" w:name="transformational-leadership-1"/>
      <w:bookmarkEnd w:id="11"/>
    </w:p>
    <w:p w14:paraId="0494F6AC" w14:textId="77777777" w:rsidR="00C61363" w:rsidRDefault="005D1999">
      <w:pPr>
        <w:pStyle w:val="Heading3"/>
      </w:pPr>
      <w:bookmarkStart w:id="12" w:name="psychological-empowerment-1"/>
      <w:bookmarkEnd w:id="12"/>
      <w:r>
        <w:t>Psychological Empowerment</w:t>
      </w:r>
    </w:p>
    <w:p w14:paraId="61C7C899" w14:textId="74104C74" w:rsidR="00C61363" w:rsidRDefault="005D1999">
      <w:r>
        <w:t xml:space="preserve">Psychological empowerment was measured using the twelve-item scale by Spreitzer (1995). It is a four-dimensional scale with three items measuring each dimension. </w:t>
      </w:r>
    </w:p>
    <w:p w14:paraId="4867848D" w14:textId="77777777" w:rsidR="00C61363" w:rsidRDefault="005D1999">
      <w:pPr>
        <w:pStyle w:val="Heading3"/>
      </w:pPr>
      <w:bookmarkStart w:id="13" w:name="control-variables"/>
      <w:bookmarkEnd w:id="13"/>
      <w:r>
        <w:t>Control Variables</w:t>
      </w:r>
    </w:p>
    <w:p w14:paraId="4654EF70" w14:textId="74267E12" w:rsidR="00C61363" w:rsidRDefault="005D1999">
      <w:r>
        <w:t>Higher levels of individual human capital should be positively associated with one’s ability to take action and have a positive impact in the workplace (Seibert, Wang, and Courtright 2011).</w:t>
      </w:r>
    </w:p>
    <w:p w14:paraId="42FF1F9B" w14:textId="77777777" w:rsidR="00C61363" w:rsidRDefault="005D1999">
      <w:pPr>
        <w:pStyle w:val="Heading1"/>
      </w:pPr>
      <w:bookmarkStart w:id="14" w:name="data-analysis"/>
      <w:bookmarkStart w:id="15" w:name="results"/>
      <w:bookmarkEnd w:id="14"/>
      <w:bookmarkEnd w:id="15"/>
      <w:r>
        <w:t>Results</w:t>
      </w:r>
    </w:p>
    <w:p w14:paraId="506C5559" w14:textId="3051F1C2" w:rsidR="00C61363" w:rsidRDefault="005D1999">
      <w:r>
        <w:t>To begin with our measurement model test, we specified a one-factor model (Model 1) in which all the 27 items loaded on a single factor. Model 2 did not fit the data well in absolute sense (Table 1). However, a significant value of chi-square in a chi-square difference test suggested that Model 2 was</w:t>
      </w:r>
    </w:p>
    <w:p w14:paraId="67132194" w14:textId="77777777" w:rsidR="00C61363" w:rsidRDefault="005D1999">
      <w:pPr>
        <w:pStyle w:val="TableCaption"/>
      </w:pPr>
      <w:r>
        <w:t>Results of the Measurement Model Tests</w:t>
      </w:r>
    </w:p>
    <w:tbl>
      <w:tblPr>
        <w:tblW w:w="0" w:type="pct"/>
        <w:tblLook w:val="04A0" w:firstRow="1" w:lastRow="0" w:firstColumn="1" w:lastColumn="0" w:noHBand="0" w:noVBand="1"/>
        <w:tblCaption w:val="Results of the Measurement Model Tests"/>
      </w:tblPr>
      <w:tblGrid>
        <w:gridCol w:w="1710"/>
        <w:gridCol w:w="866"/>
        <w:gridCol w:w="516"/>
        <w:gridCol w:w="906"/>
        <w:gridCol w:w="772"/>
        <w:gridCol w:w="683"/>
        <w:gridCol w:w="566"/>
      </w:tblGrid>
      <w:tr w:rsidR="00C61363" w14:paraId="6990B0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FC1A55" w14:textId="77777777" w:rsidR="00C61363" w:rsidRDefault="005D1999">
            <w:pPr>
              <w:pStyle w:val="Compact"/>
              <w:framePr w:wrap="notBeside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8B1A7A" w14:textId="77777777" w:rsidR="00C61363" w:rsidRDefault="005D1999">
            <w:pPr>
              <w:pStyle w:val="Compact"/>
              <w:framePr w:wrap="notBeside"/>
              <w:jc w:val="right"/>
            </w:pPr>
            <w: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838DDD" w14:textId="77777777" w:rsidR="00C61363" w:rsidRDefault="005D1999">
            <w:pPr>
              <w:pStyle w:val="Compact"/>
              <w:framePr w:wrap="notBeside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6456D" w14:textId="77777777" w:rsidR="00C61363" w:rsidRDefault="005D1999">
            <w:pPr>
              <w:pStyle w:val="Compact"/>
              <w:framePr w:wrap="notBeside"/>
              <w:jc w:val="right"/>
            </w:pPr>
            <w:r>
              <w:t>RMSEA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26741" w14:textId="77777777" w:rsidR="00C61363" w:rsidRDefault="005D1999">
            <w:pPr>
              <w:pStyle w:val="Compact"/>
              <w:framePr w:wrap="notBeside"/>
              <w:jc w:val="right"/>
            </w:pPr>
            <w:r>
              <w:t>SRMR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3FD773" w14:textId="77777777" w:rsidR="00C61363" w:rsidRDefault="005D1999">
            <w:pPr>
              <w:pStyle w:val="Compact"/>
              <w:framePr w:wrap="notBeside"/>
              <w:jc w:val="right"/>
            </w:pPr>
            <w:r>
              <w:t>NNFI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8F80D" w14:textId="77777777" w:rsidR="00C61363" w:rsidRDefault="005D1999">
            <w:pPr>
              <w:pStyle w:val="Compact"/>
              <w:framePr w:wrap="notBeside"/>
              <w:jc w:val="right"/>
            </w:pPr>
            <w:r>
              <w:t>CFI</w:t>
            </w:r>
          </w:p>
        </w:tc>
      </w:tr>
      <w:tr w:rsidR="00C61363" w14:paraId="2C458DD3" w14:textId="77777777">
        <w:tc>
          <w:tcPr>
            <w:tcW w:w="0" w:type="auto"/>
          </w:tcPr>
          <w:p w14:paraId="6ED81EFA" w14:textId="77777777" w:rsidR="00C61363" w:rsidRDefault="005D1999">
            <w:pPr>
              <w:pStyle w:val="Compact"/>
              <w:framePr w:wrap="notBeside"/>
            </w:pPr>
            <w:r>
              <w:t>One-factor Model</w:t>
            </w:r>
          </w:p>
        </w:tc>
        <w:tc>
          <w:tcPr>
            <w:tcW w:w="0" w:type="auto"/>
          </w:tcPr>
          <w:p w14:paraId="742951B5" w14:textId="77777777" w:rsidR="00C61363" w:rsidRDefault="005D1999">
            <w:pPr>
              <w:pStyle w:val="Compact"/>
              <w:framePr w:wrap="notBeside"/>
              <w:jc w:val="right"/>
            </w:pPr>
            <w:r>
              <w:t>2121.81</w:t>
            </w:r>
          </w:p>
        </w:tc>
        <w:tc>
          <w:tcPr>
            <w:tcW w:w="0" w:type="auto"/>
          </w:tcPr>
          <w:p w14:paraId="70307461" w14:textId="77777777" w:rsidR="00C61363" w:rsidRDefault="005D1999">
            <w:pPr>
              <w:pStyle w:val="Compact"/>
              <w:framePr w:wrap="notBeside"/>
              <w:jc w:val="right"/>
            </w:pPr>
            <w:r>
              <w:t>324</w:t>
            </w:r>
          </w:p>
        </w:tc>
        <w:tc>
          <w:tcPr>
            <w:tcW w:w="0" w:type="auto"/>
          </w:tcPr>
          <w:p w14:paraId="0DED8F2C" w14:textId="77777777" w:rsidR="00C61363" w:rsidRDefault="005D1999">
            <w:pPr>
              <w:pStyle w:val="Compact"/>
              <w:framePr w:wrap="notBeside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D9A4E0B" w14:textId="77777777" w:rsidR="00C61363" w:rsidRDefault="005D1999">
            <w:pPr>
              <w:pStyle w:val="Compact"/>
              <w:framePr w:wrap="notBeside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3B0EBA3" w14:textId="77777777" w:rsidR="00C61363" w:rsidRDefault="005D1999">
            <w:pPr>
              <w:pStyle w:val="Compact"/>
              <w:framePr w:wrap="notBeside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454CBEEE" w14:textId="77777777" w:rsidR="00C61363" w:rsidRDefault="005D1999">
            <w:pPr>
              <w:pStyle w:val="Compact"/>
              <w:framePr w:wrap="notBeside"/>
              <w:jc w:val="right"/>
            </w:pPr>
            <w:r>
              <w:t>0.47</w:t>
            </w:r>
          </w:p>
        </w:tc>
      </w:tr>
      <w:tr w:rsidR="00C61363" w14:paraId="534AE759" w14:textId="77777777">
        <w:tc>
          <w:tcPr>
            <w:tcW w:w="0" w:type="auto"/>
          </w:tcPr>
          <w:p w14:paraId="035E9792" w14:textId="77777777" w:rsidR="00C61363" w:rsidRDefault="005D1999">
            <w:pPr>
              <w:pStyle w:val="Compact"/>
              <w:framePr w:wrap="notBeside"/>
            </w:pPr>
            <w:r>
              <w:t>Two-factor Model</w:t>
            </w:r>
          </w:p>
        </w:tc>
        <w:tc>
          <w:tcPr>
            <w:tcW w:w="0" w:type="auto"/>
          </w:tcPr>
          <w:p w14:paraId="5EE96D31" w14:textId="77777777" w:rsidR="00C61363" w:rsidRDefault="005D1999">
            <w:pPr>
              <w:pStyle w:val="Compact"/>
              <w:framePr w:wrap="notBeside"/>
              <w:jc w:val="right"/>
            </w:pPr>
            <w:r>
              <w:t>1840.66</w:t>
            </w:r>
          </w:p>
        </w:tc>
        <w:tc>
          <w:tcPr>
            <w:tcW w:w="0" w:type="auto"/>
          </w:tcPr>
          <w:p w14:paraId="3C0ED0A2" w14:textId="77777777" w:rsidR="00C61363" w:rsidRDefault="005D1999">
            <w:pPr>
              <w:pStyle w:val="Compact"/>
              <w:framePr w:wrap="notBeside"/>
              <w:jc w:val="right"/>
            </w:pPr>
            <w:r>
              <w:t>323</w:t>
            </w:r>
          </w:p>
        </w:tc>
        <w:tc>
          <w:tcPr>
            <w:tcW w:w="0" w:type="auto"/>
          </w:tcPr>
          <w:p w14:paraId="1F66BCE8" w14:textId="77777777" w:rsidR="00C61363" w:rsidRDefault="005D1999">
            <w:pPr>
              <w:pStyle w:val="Compact"/>
              <w:framePr w:wrap="notBeside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369D2E5" w14:textId="77777777" w:rsidR="00C61363" w:rsidRDefault="005D1999">
            <w:pPr>
              <w:pStyle w:val="Compact"/>
              <w:framePr w:wrap="notBeside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DCC6106" w14:textId="77777777" w:rsidR="00C61363" w:rsidRDefault="005D1999">
            <w:pPr>
              <w:pStyle w:val="Compact"/>
              <w:framePr w:wrap="notBeside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34B3081C" w14:textId="77777777" w:rsidR="00C61363" w:rsidRDefault="005D1999">
            <w:pPr>
              <w:pStyle w:val="Compact"/>
              <w:framePr w:wrap="notBeside"/>
              <w:jc w:val="right"/>
            </w:pPr>
            <w:r>
              <w:t>0.55</w:t>
            </w:r>
          </w:p>
        </w:tc>
      </w:tr>
      <w:tr w:rsidR="00C61363" w14:paraId="2AC80E7B" w14:textId="77777777">
        <w:tc>
          <w:tcPr>
            <w:tcW w:w="0" w:type="auto"/>
          </w:tcPr>
          <w:p w14:paraId="7B9A1E9D" w14:textId="77777777" w:rsidR="00C61363" w:rsidRDefault="005D1999">
            <w:pPr>
              <w:pStyle w:val="Compact"/>
              <w:framePr w:wrap="notBeside"/>
            </w:pPr>
            <w:r>
              <w:t>Nine-factor Model</w:t>
            </w:r>
          </w:p>
        </w:tc>
        <w:tc>
          <w:tcPr>
            <w:tcW w:w="0" w:type="auto"/>
          </w:tcPr>
          <w:p w14:paraId="629572B5" w14:textId="77777777" w:rsidR="00C61363" w:rsidRDefault="005D1999">
            <w:pPr>
              <w:pStyle w:val="Compact"/>
              <w:framePr w:wrap="notBeside"/>
              <w:jc w:val="right"/>
            </w:pPr>
            <w:r>
              <w:t>444.78</w:t>
            </w:r>
          </w:p>
        </w:tc>
        <w:tc>
          <w:tcPr>
            <w:tcW w:w="0" w:type="auto"/>
          </w:tcPr>
          <w:p w14:paraId="1A5E6565" w14:textId="77777777" w:rsidR="00C61363" w:rsidRDefault="005D1999">
            <w:pPr>
              <w:pStyle w:val="Compact"/>
              <w:framePr w:wrap="notBeside"/>
              <w:jc w:val="right"/>
            </w:pPr>
            <w:r>
              <w:t>288</w:t>
            </w:r>
          </w:p>
        </w:tc>
        <w:tc>
          <w:tcPr>
            <w:tcW w:w="0" w:type="auto"/>
          </w:tcPr>
          <w:p w14:paraId="32648CCA" w14:textId="77777777" w:rsidR="00C61363" w:rsidRDefault="005D1999">
            <w:pPr>
              <w:pStyle w:val="Compact"/>
              <w:framePr w:wrap="notBeside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679E498" w14:textId="77777777" w:rsidR="00C61363" w:rsidRDefault="005D1999">
            <w:pPr>
              <w:pStyle w:val="Compact"/>
              <w:framePr w:wrap="notBeside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D437270" w14:textId="77777777" w:rsidR="00C61363" w:rsidRDefault="005D1999">
            <w:pPr>
              <w:pStyle w:val="Compact"/>
              <w:framePr w:wrap="notBeside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3F89F6A6" w14:textId="77777777" w:rsidR="00C61363" w:rsidRDefault="005D1999">
            <w:pPr>
              <w:pStyle w:val="Compact"/>
              <w:framePr w:wrap="notBeside"/>
              <w:jc w:val="right"/>
            </w:pPr>
            <w:r>
              <w:t>0.95</w:t>
            </w:r>
          </w:p>
        </w:tc>
      </w:tr>
    </w:tbl>
    <w:p w14:paraId="5E01A735" w14:textId="77777777" w:rsidR="00C61363" w:rsidRDefault="005D1999">
      <w:pPr>
        <w:pStyle w:val="TableCaption"/>
      </w:pPr>
      <w:r>
        <w:t>Results of the Model Tests</w:t>
      </w:r>
    </w:p>
    <w:tbl>
      <w:tblPr>
        <w:tblW w:w="0" w:type="pct"/>
        <w:tblLook w:val="04A0" w:firstRow="1" w:lastRow="0" w:firstColumn="1" w:lastColumn="0" w:noHBand="0" w:noVBand="1"/>
        <w:tblCaption w:val="Results of the Model Tests"/>
      </w:tblPr>
      <w:tblGrid>
        <w:gridCol w:w="2449"/>
        <w:gridCol w:w="666"/>
        <w:gridCol w:w="416"/>
        <w:gridCol w:w="906"/>
        <w:gridCol w:w="772"/>
        <w:gridCol w:w="683"/>
        <w:gridCol w:w="566"/>
      </w:tblGrid>
      <w:tr w:rsidR="00C61363" w14:paraId="77299D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7885C2" w14:textId="77777777" w:rsidR="00C61363" w:rsidRDefault="005D1999">
            <w:pPr>
              <w:pStyle w:val="Compact"/>
              <w:framePr w:wrap="notBeside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00D5D" w14:textId="77777777" w:rsidR="00C61363" w:rsidRDefault="005D1999">
            <w:pPr>
              <w:pStyle w:val="Compact"/>
              <w:framePr w:wrap="notBeside"/>
              <w:jc w:val="right"/>
            </w:pPr>
            <w:r>
              <w:t>χ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D70DE" w14:textId="77777777" w:rsidR="00C61363" w:rsidRDefault="005D1999">
            <w:pPr>
              <w:pStyle w:val="Compact"/>
              <w:framePr w:wrap="notBeside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FCFF3" w14:textId="77777777" w:rsidR="00C61363" w:rsidRDefault="005D1999">
            <w:pPr>
              <w:pStyle w:val="Compact"/>
              <w:framePr w:wrap="notBeside"/>
              <w:jc w:val="right"/>
            </w:pPr>
            <w:r>
              <w:t>RMSEA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397098" w14:textId="77777777" w:rsidR="00C61363" w:rsidRDefault="005D1999">
            <w:pPr>
              <w:pStyle w:val="Compact"/>
              <w:framePr w:wrap="notBeside"/>
              <w:jc w:val="right"/>
            </w:pPr>
            <w:r>
              <w:t>SRMR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A176D2" w14:textId="77777777" w:rsidR="00C61363" w:rsidRDefault="005D1999">
            <w:pPr>
              <w:pStyle w:val="Compact"/>
              <w:framePr w:wrap="notBeside"/>
              <w:jc w:val="right"/>
            </w:pPr>
            <w:r>
              <w:t>NNFI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583D03" w14:textId="77777777" w:rsidR="00C61363" w:rsidRDefault="005D1999">
            <w:pPr>
              <w:pStyle w:val="Compact"/>
              <w:framePr w:wrap="notBeside"/>
              <w:jc w:val="right"/>
            </w:pPr>
            <w:r>
              <w:t>CFI</w:t>
            </w:r>
          </w:p>
        </w:tc>
      </w:tr>
      <w:tr w:rsidR="00C61363" w14:paraId="64CDE88F" w14:textId="77777777">
        <w:tc>
          <w:tcPr>
            <w:tcW w:w="0" w:type="auto"/>
          </w:tcPr>
          <w:p w14:paraId="1288D922" w14:textId="77777777" w:rsidR="00C61363" w:rsidRDefault="005D1999">
            <w:pPr>
              <w:pStyle w:val="Compact"/>
              <w:framePr w:wrap="notBeside"/>
            </w:pPr>
            <w:r>
              <w:t>Hypothesized Model</w:t>
            </w:r>
          </w:p>
        </w:tc>
        <w:tc>
          <w:tcPr>
            <w:tcW w:w="0" w:type="auto"/>
          </w:tcPr>
          <w:p w14:paraId="26FE96F0" w14:textId="77777777" w:rsidR="00C61363" w:rsidRDefault="005D1999">
            <w:pPr>
              <w:pStyle w:val="Compact"/>
              <w:framePr w:wrap="notBeside"/>
              <w:jc w:val="right"/>
            </w:pPr>
            <w:r>
              <w:t>12.16</w:t>
            </w:r>
          </w:p>
        </w:tc>
        <w:tc>
          <w:tcPr>
            <w:tcW w:w="0" w:type="auto"/>
          </w:tcPr>
          <w:p w14:paraId="0FF147C3" w14:textId="77777777" w:rsidR="00C61363" w:rsidRDefault="005D1999">
            <w:pPr>
              <w:pStyle w:val="Compact"/>
              <w:framePr w:wrap="notBeside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65ABDC3" w14:textId="77777777" w:rsidR="00C61363" w:rsidRDefault="005D1999">
            <w:pPr>
              <w:pStyle w:val="Compact"/>
              <w:framePr w:wrap="notBeside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22EA4FA" w14:textId="77777777" w:rsidR="00C61363" w:rsidRDefault="005D1999">
            <w:pPr>
              <w:pStyle w:val="Compact"/>
              <w:framePr w:wrap="notBeside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27BDB11" w14:textId="77777777" w:rsidR="00C61363" w:rsidRDefault="005D1999">
            <w:pPr>
              <w:pStyle w:val="Compact"/>
              <w:framePr w:wrap="notBeside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4490099F" w14:textId="77777777" w:rsidR="00C61363" w:rsidRDefault="005D1999">
            <w:pPr>
              <w:pStyle w:val="Compact"/>
              <w:framePr w:wrap="notBeside"/>
              <w:jc w:val="right"/>
            </w:pPr>
            <w:r>
              <w:t>0.99</w:t>
            </w:r>
          </w:p>
        </w:tc>
      </w:tr>
      <w:tr w:rsidR="00C61363" w14:paraId="552BFE5E" w14:textId="77777777">
        <w:tc>
          <w:tcPr>
            <w:tcW w:w="0" w:type="auto"/>
          </w:tcPr>
          <w:p w14:paraId="4A5FA0F2" w14:textId="77777777" w:rsidR="00C61363" w:rsidRDefault="005D1999">
            <w:pPr>
              <w:pStyle w:val="Compact"/>
              <w:framePr w:wrap="notBeside"/>
            </w:pPr>
            <w:r>
              <w:t>Insignificant paths removed</w:t>
            </w:r>
          </w:p>
        </w:tc>
        <w:tc>
          <w:tcPr>
            <w:tcW w:w="0" w:type="auto"/>
          </w:tcPr>
          <w:p w14:paraId="51AE4C70" w14:textId="77777777" w:rsidR="00C61363" w:rsidRDefault="005D1999">
            <w:pPr>
              <w:pStyle w:val="Compact"/>
              <w:framePr w:wrap="notBeside"/>
              <w:jc w:val="right"/>
            </w:pPr>
            <w:r>
              <w:t>15.58</w:t>
            </w:r>
          </w:p>
        </w:tc>
        <w:tc>
          <w:tcPr>
            <w:tcW w:w="0" w:type="auto"/>
          </w:tcPr>
          <w:p w14:paraId="26B74D70" w14:textId="77777777" w:rsidR="00C61363" w:rsidRDefault="005D1999">
            <w:pPr>
              <w:pStyle w:val="Compact"/>
              <w:framePr w:wrap="notBeside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12298FA" w14:textId="77777777" w:rsidR="00C61363" w:rsidRDefault="005D1999">
            <w:pPr>
              <w:pStyle w:val="Compact"/>
              <w:framePr w:wrap="notBeside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753A01E" w14:textId="77777777" w:rsidR="00C61363" w:rsidRDefault="005D1999">
            <w:pPr>
              <w:pStyle w:val="Compact"/>
              <w:framePr w:wrap="notBeside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E324497" w14:textId="77777777" w:rsidR="00C61363" w:rsidRDefault="005D1999">
            <w:pPr>
              <w:pStyle w:val="Compact"/>
              <w:framePr w:wrap="notBeside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597E1657" w14:textId="77777777" w:rsidR="00C61363" w:rsidRDefault="005D1999">
            <w:pPr>
              <w:pStyle w:val="Compact"/>
              <w:framePr w:wrap="notBeside"/>
              <w:jc w:val="right"/>
            </w:pPr>
            <w:r>
              <w:t>0.99</w:t>
            </w:r>
          </w:p>
        </w:tc>
      </w:tr>
    </w:tbl>
    <w:p w14:paraId="7E1145F6" w14:textId="77777777" w:rsidR="00C61363" w:rsidRDefault="005D1999">
      <w:pPr>
        <w:pStyle w:val="Heading1"/>
      </w:pPr>
      <w:bookmarkStart w:id="16" w:name="discussion"/>
      <w:bookmarkStart w:id="17" w:name="suggestions-for-scholars"/>
      <w:bookmarkStart w:id="18" w:name="references-1"/>
      <w:bookmarkEnd w:id="16"/>
      <w:bookmarkEnd w:id="17"/>
      <w:bookmarkEnd w:id="18"/>
      <w:r>
        <w:t>References</w:t>
      </w:r>
    </w:p>
    <w:p w14:paraId="23F71172" w14:textId="358E4EA2" w:rsidR="00C61363" w:rsidRDefault="005D1999" w:rsidP="00C05B0D">
      <w:pPr>
        <w:pStyle w:val="Bibliography"/>
      </w:pPr>
      <w:r>
        <w:t xml:space="preserve">Avolio, Bruce J., and William L. Gardner. 2005. “Authentic Leadership Development: Getting to the Root of Positive Forms of Leadership.” </w:t>
      </w:r>
      <w:proofErr w:type="gramStart"/>
      <w:r>
        <w:rPr>
          <w:i/>
        </w:rPr>
        <w:t>The Leadership Quarterly</w:t>
      </w:r>
      <w:r w:rsidR="00B076C6">
        <w:t xml:space="preserve"> 16 (3): 315–38.</w:t>
      </w:r>
      <w:proofErr w:type="gramEnd"/>
      <w:r w:rsidR="00B076C6">
        <w:t xml:space="preserve"> The only thing important is the hanging indent. The rest of the formatting is due to </w:t>
      </w:r>
      <w:proofErr w:type="spellStart"/>
      <w:r w:rsidR="00B076C6">
        <w:t>csl</w:t>
      </w:r>
      <w:proofErr w:type="spellEnd"/>
      <w:r w:rsidR="00B076C6">
        <w:t xml:space="preserve"> file</w:t>
      </w:r>
      <w:bookmarkStart w:id="19" w:name="_GoBack"/>
      <w:bookmarkEnd w:id="19"/>
    </w:p>
    <w:sectPr w:rsidR="00C61363" w:rsidSect="00F36D9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403E4" w14:textId="77777777" w:rsidR="00C05B0D" w:rsidRDefault="00C05B0D">
      <w:pPr>
        <w:spacing w:before="0" w:after="0" w:line="240" w:lineRule="auto"/>
      </w:pPr>
      <w:r>
        <w:separator/>
      </w:r>
    </w:p>
  </w:endnote>
  <w:endnote w:type="continuationSeparator" w:id="0">
    <w:p w14:paraId="0EE320AB" w14:textId="77777777" w:rsidR="00C05B0D" w:rsidRDefault="00C05B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26C1A" w14:textId="77777777" w:rsidR="00C05B0D" w:rsidRDefault="00C05B0D" w:rsidP="00F36D90">
    <w:pPr>
      <w:pStyle w:val="Footer"/>
    </w:pPr>
  </w:p>
  <w:p w14:paraId="2E09E45C" w14:textId="77777777" w:rsidR="00C05B0D" w:rsidRDefault="00C05B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D72F0" w14:textId="77777777" w:rsidR="00C05B0D" w:rsidRDefault="00C05B0D">
      <w:pPr>
        <w:spacing w:before="0" w:after="0" w:line="240" w:lineRule="auto"/>
      </w:pPr>
      <w:r>
        <w:separator/>
      </w:r>
    </w:p>
  </w:footnote>
  <w:footnote w:type="continuationSeparator" w:id="0">
    <w:p w14:paraId="54E924F0" w14:textId="77777777" w:rsidR="00C05B0D" w:rsidRDefault="00C05B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29053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6AE24" w14:textId="77777777" w:rsidR="00C05B0D" w:rsidRDefault="00C05B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6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37389AD" w14:textId="77777777" w:rsidR="00C05B0D" w:rsidRDefault="00C05B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B9262"/>
    <w:multiLevelType w:val="multilevel"/>
    <w:tmpl w:val="40184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93103C"/>
    <w:multiLevelType w:val="multilevel"/>
    <w:tmpl w:val="7D500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493C926"/>
    <w:multiLevelType w:val="multilevel"/>
    <w:tmpl w:val="A6CC6B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BE64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4F3A57D"/>
    <w:multiLevelType w:val="multilevel"/>
    <w:tmpl w:val="C38AF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DA00BF"/>
    <w:multiLevelType w:val="multilevel"/>
    <w:tmpl w:val="961E9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7C25A0"/>
    <w:multiLevelType w:val="multilevel"/>
    <w:tmpl w:val="04B4D23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>
    <w:nsid w:val="236A617B"/>
    <w:multiLevelType w:val="multilevel"/>
    <w:tmpl w:val="00A4119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>
    <w:nsid w:val="272722A0"/>
    <w:multiLevelType w:val="multilevel"/>
    <w:tmpl w:val="476EA5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AE6008"/>
    <w:multiLevelType w:val="multilevel"/>
    <w:tmpl w:val="C756C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C3A1E"/>
    <w:multiLevelType w:val="multilevel"/>
    <w:tmpl w:val="309A08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CA01751"/>
    <w:multiLevelType w:val="multilevel"/>
    <w:tmpl w:val="A61E435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2">
    <w:nsid w:val="3F94422F"/>
    <w:multiLevelType w:val="multilevel"/>
    <w:tmpl w:val="8DA685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>
    <w:nsid w:val="505D3CF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50E4518E"/>
    <w:multiLevelType w:val="multilevel"/>
    <w:tmpl w:val="EA14B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D7628E"/>
    <w:multiLevelType w:val="multilevel"/>
    <w:tmpl w:val="B4F4A0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2D0CE5"/>
    <w:multiLevelType w:val="hybridMultilevel"/>
    <w:tmpl w:val="C756C906"/>
    <w:lvl w:ilvl="0" w:tplc="9EFE1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54269"/>
    <w:multiLevelType w:val="multilevel"/>
    <w:tmpl w:val="628E3DC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>
    <w:nsid w:val="788F662D"/>
    <w:multiLevelType w:val="multilevel"/>
    <w:tmpl w:val="AE6627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8"/>
  </w:num>
  <w:num w:numId="5">
    <w:abstractNumId w:val="14"/>
  </w:num>
  <w:num w:numId="6">
    <w:abstractNumId w:val="1"/>
  </w:num>
  <w:num w:numId="7">
    <w:abstractNumId w:val="15"/>
  </w:num>
  <w:num w:numId="8">
    <w:abstractNumId w:val="16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2"/>
  </w:num>
  <w:num w:numId="16">
    <w:abstractNumId w:val="11"/>
  </w:num>
  <w:num w:numId="17">
    <w:abstractNumId w:val="17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2799"/>
    <w:rsid w:val="0019711D"/>
    <w:rsid w:val="002849D1"/>
    <w:rsid w:val="00377A7D"/>
    <w:rsid w:val="00380887"/>
    <w:rsid w:val="004E29B3"/>
    <w:rsid w:val="00590D07"/>
    <w:rsid w:val="005D1999"/>
    <w:rsid w:val="007462B1"/>
    <w:rsid w:val="00784D58"/>
    <w:rsid w:val="007E72A6"/>
    <w:rsid w:val="008165CF"/>
    <w:rsid w:val="008D6863"/>
    <w:rsid w:val="00A86FEE"/>
    <w:rsid w:val="00AE276E"/>
    <w:rsid w:val="00B076C6"/>
    <w:rsid w:val="00B86B75"/>
    <w:rsid w:val="00BC48D5"/>
    <w:rsid w:val="00C05B0D"/>
    <w:rsid w:val="00C116D5"/>
    <w:rsid w:val="00C36279"/>
    <w:rsid w:val="00C61363"/>
    <w:rsid w:val="00E315A3"/>
    <w:rsid w:val="00F24823"/>
    <w:rsid w:val="00F36D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365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36D90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2849D1"/>
    <w:pPr>
      <w:keepNext/>
      <w:keepLines/>
      <w:numPr>
        <w:numId w:val="18"/>
      </w:numPr>
      <w:spacing w:before="480" w:after="0"/>
      <w:outlineLvl w:val="0"/>
    </w:pPr>
    <w:rPr>
      <w:rFonts w:eastAsiaTheme="majorEastAsia" w:cstheme="majorBidi"/>
      <w:b/>
      <w:bCs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2849D1"/>
    <w:pPr>
      <w:keepNext/>
      <w:keepLines/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849D1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849D1"/>
    <w:pPr>
      <w:keepNext/>
      <w:keepLines/>
      <w:spacing w:before="200" w:after="0"/>
      <w:ind w:firstLine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2849D1"/>
    <w:pPr>
      <w:keepNext/>
      <w:keepLines/>
      <w:spacing w:before="200" w:after="0"/>
      <w:ind w:firstLine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2849D1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2849D1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849D1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2849D1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D1999"/>
    <w:pPr>
      <w:framePr w:hSpace="181" w:vSpace="181" w:wrap="notBeside" w:vAnchor="text" w:hAnchor="text" w:xAlign="center" w:y="1"/>
      <w:spacing w:before="36" w:after="36"/>
      <w:ind w:firstLine="0"/>
    </w:pPr>
    <w:rPr>
      <w:sz w:val="20"/>
      <w:szCs w:val="20"/>
    </w:rPr>
  </w:style>
  <w:style w:type="paragraph" w:styleId="Title">
    <w:name w:val="Title"/>
    <w:basedOn w:val="Normal"/>
    <w:next w:val="Normal"/>
    <w:qFormat/>
    <w:rsid w:val="006A03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A86FEE"/>
    <w:pPr>
      <w:keepLines/>
      <w:spacing w:before="300" w:after="300"/>
      <w:ind w:left="1134" w:right="1134" w:firstLine="0"/>
    </w:pPr>
    <w:rPr>
      <w:i/>
      <w:szCs w:val="20"/>
    </w:rPr>
  </w:style>
  <w:style w:type="paragraph" w:styleId="Bibliography">
    <w:name w:val="Bibliography"/>
    <w:basedOn w:val="Normal"/>
    <w:qFormat/>
    <w:rsid w:val="00DC514F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F36D90"/>
    <w:pPr>
      <w:spacing w:before="100" w:after="100"/>
      <w:ind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next w:val="Normal"/>
    <w:qFormat/>
    <w:rsid w:val="00C05B0D"/>
    <w:pPr>
      <w:spacing w:before="0" w:after="120"/>
      <w:jc w:val="center"/>
    </w:pPr>
    <w:rPr>
      <w:i/>
      <w:iCs/>
      <w:smallCaps/>
    </w:rPr>
  </w:style>
  <w:style w:type="paragraph" w:customStyle="1" w:styleId="ImageCaption">
    <w:name w:val="Image Caption"/>
    <w:basedOn w:val="Normal"/>
    <w:link w:val="BodyTextChar"/>
    <w:rsid w:val="00C05B0D"/>
    <w:pPr>
      <w:spacing w:before="0" w:after="120"/>
      <w:jc w:val="center"/>
    </w:pPr>
    <w:rPr>
      <w:i/>
      <w:iCs/>
      <w:smallCaps/>
    </w:rPr>
  </w:style>
  <w:style w:type="character" w:customStyle="1" w:styleId="BodyTextChar">
    <w:name w:val="Body Text Char"/>
    <w:basedOn w:val="DefaultParagraphFont"/>
    <w:link w:val="ImageCaption"/>
    <w:rsid w:val="00C05B0D"/>
    <w:rPr>
      <w:rFonts w:ascii="Times New Roman" w:hAnsi="Times New Roman"/>
      <w:i/>
      <w:iCs/>
      <w:smallCaps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iCs/>
      <w:smallCaps/>
      <w:sz w:val="22"/>
    </w:rPr>
  </w:style>
  <w:style w:type="character" w:customStyle="1" w:styleId="FootnoteRef">
    <w:name w:val="Footnote Ref"/>
    <w:basedOn w:val="BodyTextChar"/>
    <w:rPr>
      <w:rFonts w:ascii="Times New Roman" w:hAnsi="Times New Roman"/>
      <w:i/>
      <w:iCs/>
      <w:smallCaps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i/>
      <w:iCs/>
      <w:smallCaps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iCs/>
      <w:smallCaps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i/>
      <w:iCs/>
      <w:smallCaps/>
      <w:sz w:val="22"/>
    </w:rPr>
  </w:style>
  <w:style w:type="paragraph" w:styleId="Header">
    <w:name w:val="header"/>
    <w:basedOn w:val="Normal"/>
    <w:link w:val="HeaderChar"/>
    <w:uiPriority w:val="99"/>
    <w:unhideWhenUsed/>
    <w:rsid w:val="00A755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7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755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79"/>
    <w:rPr>
      <w:rFonts w:ascii="Times New Roman" w:hAnsi="Times New Roman"/>
    </w:rPr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i/>
      <w:iCs/>
      <w:smallCaps/>
      <w:sz w:val="22"/>
    </w:rPr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2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2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2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2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2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2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2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2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2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2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2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2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2">
    <w:name w:val="NormalTok"/>
    <w:basedOn w:val="VerbatimChar"/>
    <w:rPr>
      <w:rFonts w:ascii="Consolas" w:hAnsi="Consolas"/>
      <w:i/>
      <w:iCs/>
      <w:smallCaps/>
      <w:sz w:val="22"/>
    </w:rPr>
  </w:style>
  <w:style w:type="paragraph" w:styleId="BalloonText">
    <w:name w:val="Balloon Text"/>
    <w:basedOn w:val="Normal"/>
    <w:link w:val="BalloonTextChar"/>
    <w:semiHidden/>
    <w:unhideWhenUsed/>
    <w:rsid w:val="000A2157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2157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3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3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3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3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3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3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3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3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3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3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3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3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3">
    <w:name w:val="NormalTok"/>
    <w:basedOn w:val="VerbatimChar"/>
    <w:rPr>
      <w:rFonts w:ascii="Consolas" w:hAnsi="Consolas"/>
      <w:i/>
      <w:iCs/>
      <w:smallCaps/>
      <w:sz w:val="22"/>
    </w:rPr>
  </w:style>
  <w:style w:type="character" w:customStyle="1" w:styleId="Heading6Char">
    <w:name w:val="Heading 6 Char"/>
    <w:basedOn w:val="DefaultParagraphFont"/>
    <w:link w:val="Heading6"/>
    <w:rsid w:val="00284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84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849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4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36D90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2849D1"/>
    <w:pPr>
      <w:keepNext/>
      <w:keepLines/>
      <w:numPr>
        <w:numId w:val="18"/>
      </w:numPr>
      <w:spacing w:before="480" w:after="0"/>
      <w:outlineLvl w:val="0"/>
    </w:pPr>
    <w:rPr>
      <w:rFonts w:eastAsiaTheme="majorEastAsia" w:cstheme="majorBidi"/>
      <w:b/>
      <w:bCs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2849D1"/>
    <w:pPr>
      <w:keepNext/>
      <w:keepLines/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849D1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849D1"/>
    <w:pPr>
      <w:keepNext/>
      <w:keepLines/>
      <w:spacing w:before="200" w:after="0"/>
      <w:ind w:firstLine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2849D1"/>
    <w:pPr>
      <w:keepNext/>
      <w:keepLines/>
      <w:spacing w:before="200" w:after="0"/>
      <w:ind w:firstLine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2849D1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2849D1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849D1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2849D1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D1999"/>
    <w:pPr>
      <w:framePr w:hSpace="181" w:vSpace="181" w:wrap="notBeside" w:vAnchor="text" w:hAnchor="text" w:xAlign="center" w:y="1"/>
      <w:spacing w:before="36" w:after="36"/>
      <w:ind w:firstLine="0"/>
    </w:pPr>
    <w:rPr>
      <w:sz w:val="20"/>
      <w:szCs w:val="20"/>
    </w:rPr>
  </w:style>
  <w:style w:type="paragraph" w:styleId="Title">
    <w:name w:val="Title"/>
    <w:basedOn w:val="Normal"/>
    <w:next w:val="Normal"/>
    <w:qFormat/>
    <w:rsid w:val="006A03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A86FEE"/>
    <w:pPr>
      <w:keepLines/>
      <w:spacing w:before="300" w:after="300"/>
      <w:ind w:left="1134" w:right="1134" w:firstLine="0"/>
    </w:pPr>
    <w:rPr>
      <w:i/>
      <w:szCs w:val="20"/>
    </w:rPr>
  </w:style>
  <w:style w:type="paragraph" w:styleId="Bibliography">
    <w:name w:val="Bibliography"/>
    <w:basedOn w:val="Normal"/>
    <w:qFormat/>
    <w:rsid w:val="00DC514F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F36D90"/>
    <w:pPr>
      <w:spacing w:before="100" w:after="100"/>
      <w:ind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next w:val="Normal"/>
    <w:qFormat/>
    <w:rsid w:val="00C05B0D"/>
    <w:pPr>
      <w:spacing w:before="0" w:after="120"/>
      <w:jc w:val="center"/>
    </w:pPr>
    <w:rPr>
      <w:i/>
      <w:iCs/>
      <w:smallCaps/>
    </w:rPr>
  </w:style>
  <w:style w:type="paragraph" w:customStyle="1" w:styleId="ImageCaption">
    <w:name w:val="Image Caption"/>
    <w:basedOn w:val="Normal"/>
    <w:link w:val="BodyTextChar"/>
    <w:rsid w:val="00C05B0D"/>
    <w:pPr>
      <w:spacing w:before="0" w:after="120"/>
      <w:jc w:val="center"/>
    </w:pPr>
    <w:rPr>
      <w:i/>
      <w:iCs/>
      <w:smallCaps/>
    </w:rPr>
  </w:style>
  <w:style w:type="character" w:customStyle="1" w:styleId="BodyTextChar">
    <w:name w:val="Body Text Char"/>
    <w:basedOn w:val="DefaultParagraphFont"/>
    <w:link w:val="ImageCaption"/>
    <w:rsid w:val="00C05B0D"/>
    <w:rPr>
      <w:rFonts w:ascii="Times New Roman" w:hAnsi="Times New Roman"/>
      <w:i/>
      <w:iCs/>
      <w:smallCaps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iCs/>
      <w:smallCaps/>
      <w:sz w:val="22"/>
    </w:rPr>
  </w:style>
  <w:style w:type="character" w:customStyle="1" w:styleId="FootnoteRef">
    <w:name w:val="Footnote Ref"/>
    <w:basedOn w:val="BodyTextChar"/>
    <w:rPr>
      <w:rFonts w:ascii="Times New Roman" w:hAnsi="Times New Roman"/>
      <w:i/>
      <w:iCs/>
      <w:smallCaps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i/>
      <w:iCs/>
      <w:smallCaps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iCs/>
      <w:smallCaps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i/>
      <w:iCs/>
      <w:smallCaps/>
      <w:sz w:val="22"/>
    </w:rPr>
  </w:style>
  <w:style w:type="paragraph" w:styleId="Header">
    <w:name w:val="header"/>
    <w:basedOn w:val="Normal"/>
    <w:link w:val="HeaderChar"/>
    <w:uiPriority w:val="99"/>
    <w:unhideWhenUsed/>
    <w:rsid w:val="00A755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7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755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79"/>
    <w:rPr>
      <w:rFonts w:ascii="Times New Roman" w:hAnsi="Times New Roman"/>
    </w:rPr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i/>
      <w:iCs/>
      <w:smallCaps/>
      <w:sz w:val="22"/>
    </w:rPr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2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2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2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2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2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2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2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2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2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2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2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2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2">
    <w:name w:val="NormalTok"/>
    <w:basedOn w:val="VerbatimChar"/>
    <w:rPr>
      <w:rFonts w:ascii="Consolas" w:hAnsi="Consolas"/>
      <w:i/>
      <w:iCs/>
      <w:smallCaps/>
      <w:sz w:val="22"/>
    </w:rPr>
  </w:style>
  <w:style w:type="paragraph" w:styleId="BalloonText">
    <w:name w:val="Balloon Text"/>
    <w:basedOn w:val="Normal"/>
    <w:link w:val="BalloonTextChar"/>
    <w:semiHidden/>
    <w:unhideWhenUsed/>
    <w:rsid w:val="000A2157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2157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i/>
      <w:iCs/>
      <w:smallCaps/>
      <w:color w:val="007020"/>
      <w:sz w:val="22"/>
    </w:rPr>
  </w:style>
  <w:style w:type="character" w:customStyle="1" w:styleId="DataTypeTok3">
    <w:name w:val="DataTypeTok"/>
    <w:basedOn w:val="VerbatimChar"/>
    <w:rPr>
      <w:rFonts w:ascii="Consolas" w:hAnsi="Consolas"/>
      <w:i/>
      <w:iCs/>
      <w:smallCaps/>
      <w:color w:val="902000"/>
      <w:sz w:val="22"/>
    </w:rPr>
  </w:style>
  <w:style w:type="character" w:customStyle="1" w:styleId="DecValTok3">
    <w:name w:val="DecVal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BaseNTok3">
    <w:name w:val="BaseN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FloatTok3">
    <w:name w:val="FloatTok"/>
    <w:basedOn w:val="VerbatimChar"/>
    <w:rPr>
      <w:rFonts w:ascii="Consolas" w:hAnsi="Consolas"/>
      <w:i/>
      <w:iCs/>
      <w:smallCaps/>
      <w:color w:val="40A070"/>
      <w:sz w:val="22"/>
    </w:rPr>
  </w:style>
  <w:style w:type="character" w:customStyle="1" w:styleId="CharTok3">
    <w:name w:val="Char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StringTok3">
    <w:name w:val="StringTok"/>
    <w:basedOn w:val="VerbatimChar"/>
    <w:rPr>
      <w:rFonts w:ascii="Consolas" w:hAnsi="Consolas"/>
      <w:i/>
      <w:iCs/>
      <w:smallCaps/>
      <w:color w:val="4070A0"/>
      <w:sz w:val="22"/>
    </w:rPr>
  </w:style>
  <w:style w:type="character" w:customStyle="1" w:styleId="CommentTok3">
    <w:name w:val="CommentTok"/>
    <w:basedOn w:val="VerbatimChar"/>
    <w:rPr>
      <w:rFonts w:ascii="Consolas" w:hAnsi="Consolas"/>
      <w:i w:val="0"/>
      <w:iCs/>
      <w:smallCaps/>
      <w:color w:val="60A0B0"/>
      <w:sz w:val="22"/>
    </w:rPr>
  </w:style>
  <w:style w:type="character" w:customStyle="1" w:styleId="OtherTok3">
    <w:name w:val="OtherTok"/>
    <w:basedOn w:val="VerbatimChar"/>
    <w:rPr>
      <w:rFonts w:ascii="Consolas" w:hAnsi="Consolas"/>
      <w:i/>
      <w:iCs/>
      <w:smallCaps/>
      <w:color w:val="007020"/>
      <w:sz w:val="22"/>
    </w:rPr>
  </w:style>
  <w:style w:type="character" w:customStyle="1" w:styleId="AlertTok3">
    <w:name w:val="Alert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FunctionTok3">
    <w:name w:val="FunctionTok"/>
    <w:basedOn w:val="VerbatimChar"/>
    <w:rPr>
      <w:rFonts w:ascii="Consolas" w:hAnsi="Consolas"/>
      <w:i/>
      <w:iCs/>
      <w:smallCaps/>
      <w:color w:val="06287E"/>
      <w:sz w:val="22"/>
    </w:rPr>
  </w:style>
  <w:style w:type="character" w:customStyle="1" w:styleId="RegionMarkerTok3">
    <w:name w:val="RegionMarkerTok"/>
    <w:basedOn w:val="VerbatimChar"/>
    <w:rPr>
      <w:rFonts w:ascii="Consolas" w:hAnsi="Consolas"/>
      <w:i/>
      <w:iCs/>
      <w:smallCaps/>
      <w:sz w:val="22"/>
    </w:rPr>
  </w:style>
  <w:style w:type="character" w:customStyle="1" w:styleId="ErrorTok3">
    <w:name w:val="ErrorTok"/>
    <w:basedOn w:val="VerbatimChar"/>
    <w:rPr>
      <w:rFonts w:ascii="Consolas" w:hAnsi="Consolas"/>
      <w:b/>
      <w:i/>
      <w:iCs/>
      <w:smallCaps/>
      <w:color w:val="FF0000"/>
      <w:sz w:val="22"/>
    </w:rPr>
  </w:style>
  <w:style w:type="character" w:customStyle="1" w:styleId="NormalTok3">
    <w:name w:val="NormalTok"/>
    <w:basedOn w:val="VerbatimChar"/>
    <w:rPr>
      <w:rFonts w:ascii="Consolas" w:hAnsi="Consolas"/>
      <w:i/>
      <w:iCs/>
      <w:smallCaps/>
      <w:sz w:val="22"/>
    </w:rPr>
  </w:style>
  <w:style w:type="character" w:customStyle="1" w:styleId="Heading6Char">
    <w:name w:val="Heading 6 Char"/>
    <w:basedOn w:val="DefaultParagraphFont"/>
    <w:link w:val="Heading6"/>
    <w:rsid w:val="00284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84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849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4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the boundary conditions of the relationships between LMX and work engagement</vt:lpstr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Unbundling the Dimensions of Transformational Leadership: Unlocking Empowerment</dc:title>
  <dc:creator>Mohammad Haris Minai</dc:creator>
  <cp:lastModifiedBy>Mohammad Haris Minai</cp:lastModifiedBy>
  <cp:revision>8</cp:revision>
  <dcterms:created xsi:type="dcterms:W3CDTF">2015-06-13T13:48:00Z</dcterms:created>
  <dcterms:modified xsi:type="dcterms:W3CDTF">2015-06-13T15:21:00Z</dcterms:modified>
</cp:coreProperties>
</file>