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9BB214" w14:textId="1A453221" w:rsidR="00100DD8" w:rsidRDefault="001241B2">
      <w:r>
        <w:rPr>
          <w:b/>
          <w:bCs/>
        </w:rPr>
        <w:t>Task 1 (</w:t>
      </w:r>
      <w:r w:rsidR="00B13DBE">
        <w:rPr>
          <w:b/>
          <w:bCs/>
        </w:rPr>
        <w:t>A</w:t>
      </w:r>
      <w:r>
        <w:rPr>
          <w:b/>
          <w:bCs/>
        </w:rPr>
        <w:t>) Question:</w:t>
      </w:r>
      <w:r>
        <w:t xml:space="preserve"> What happens to the percentage of mined blocks of an individual miner as the total miner count increases?</w:t>
      </w:r>
    </w:p>
    <w:p w14:paraId="0A1B93BE" w14:textId="62380EB5" w:rsidR="001241B2" w:rsidRDefault="001241B2">
      <w:r>
        <w:rPr>
          <w:b/>
          <w:bCs/>
        </w:rPr>
        <w:t>Answer:</w:t>
      </w:r>
      <w:r>
        <w:t xml:space="preserve"> As the total miner count increases, the percentage of blocks mined by Miner 0 </w:t>
      </w:r>
      <w:r>
        <w:rPr>
          <w:b/>
          <w:bCs/>
        </w:rPr>
        <w:t>decreases</w:t>
      </w:r>
      <w:r>
        <w:t>. This happens because Miner 0 has a fixed hash power (e.g., 50). As new miners are added to the network, the total computational power (hash rate) of the entire network grows. Consequently, Miner 0's computational power represents a smaller and smaller fraction of the total network, lowering their probability of solving the next block.</w:t>
      </w:r>
    </w:p>
    <w:p w14:paraId="7D823CE9" w14:textId="59C382F2" w:rsidR="00B82C8F" w:rsidRDefault="00B82C8F">
      <w:pPr>
        <w:rPr>
          <w:b/>
          <w:bCs/>
        </w:rPr>
      </w:pPr>
      <w:r>
        <w:rPr>
          <w:b/>
          <w:bCs/>
        </w:rPr>
        <w:t>_________________________________________________________________________________</w:t>
      </w:r>
      <w:bookmarkStart w:id="0" w:name="_GoBack"/>
      <w:bookmarkEnd w:id="0"/>
    </w:p>
    <w:p w14:paraId="1B993030" w14:textId="17F718E1" w:rsidR="00B13DBE" w:rsidRDefault="00B13DBE">
      <w:r w:rsidRPr="00504733">
        <w:rPr>
          <w:b/>
          <w:bCs/>
        </w:rPr>
        <w:t xml:space="preserve">Task 1 (b) Question: </w:t>
      </w:r>
      <w:r>
        <w:t>What will probably happen to the profit of that miner if the miner count remains the same over time?</w:t>
      </w:r>
    </w:p>
    <w:p w14:paraId="4993428F" w14:textId="731B8142" w:rsidR="00B13DBE" w:rsidRDefault="00B13DBE">
      <w:r w:rsidRPr="00504733">
        <w:rPr>
          <w:b/>
          <w:bCs/>
        </w:rPr>
        <w:t>Answer:</w:t>
      </w:r>
      <w:r>
        <w:t xml:space="preserve"> </w:t>
      </w:r>
      <w:r>
        <w:t xml:space="preserve">If the total miner count and the network's overall hash power remain the same over time, the miner's relative share of the network's computational power stays constant. Because their probability of mining a block does not change, their </w:t>
      </w:r>
      <w:r>
        <w:rPr>
          <w:b/>
          <w:bCs/>
        </w:rPr>
        <w:t>expected profit over a given timeframe will remain stable and consistent</w:t>
      </w:r>
      <w:r>
        <w:t xml:space="preserve">. However, in a real-world Bitcoin scenario, even if the miner count remains exactly the same, the miner's overall profit will eventually drop in the long term due to the </w:t>
      </w:r>
      <w:r>
        <w:rPr>
          <w:b/>
          <w:bCs/>
        </w:rPr>
        <w:t>block reward halving</w:t>
      </w:r>
      <w:r>
        <w:t xml:space="preserve"> mechanism.</w:t>
      </w:r>
    </w:p>
    <w:sectPr w:rsidR="00B13D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1B2"/>
    <w:rsid w:val="00100DD8"/>
    <w:rsid w:val="001241B2"/>
    <w:rsid w:val="00504733"/>
    <w:rsid w:val="00B13DBE"/>
    <w:rsid w:val="00B82C8F"/>
  </w:rsids>
  <m:mathPr>
    <m:mathFont m:val="Cambria Math"/>
    <m:brkBin m:val="before"/>
    <m:brkBinSub m:val="--"/>
    <m:smallFrac m:val="0"/>
    <m:dispDef/>
    <m:lMargin m:val="0"/>
    <m:rMargin m:val="0"/>
    <m:defJc m:val="centerGroup"/>
    <m:wrapIndent m:val="1440"/>
    <m:intLim m:val="subSup"/>
    <m:naryLim m:val="undOvr"/>
  </m:mathPr>
  <w:themeFontLang w:val="en-SG"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A099"/>
  <w15:chartTrackingRefBased/>
  <w15:docId w15:val="{D17F32E9-EEC4-459C-811A-97D0AC847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Mahamudul Hasan</dc:creator>
  <cp:keywords/>
  <dc:description/>
  <cp:lastModifiedBy>Mahamudul Hasan</cp:lastModifiedBy>
  <cp:revision>4</cp:revision>
  <dcterms:created xsi:type="dcterms:W3CDTF">2026-08-12T10:45:00Z</dcterms:created>
  <dcterms:modified xsi:type="dcterms:W3CDTF">2026-08-12T10:49:00Z</dcterms:modified>
</cp:coreProperties>
</file>