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3797" w:rsidRPr="0090513F" w:rsidRDefault="004F1B02" w:rsidP="001D045C">
      <w:pPr>
        <w:spacing w:line="360" w:lineRule="auto"/>
        <w:jc w:val="center"/>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Towards a Composite Documentation Framework for Multi-Component Digital Health Surveillance Platforms: A Case for NEPS WP4</w:t>
      </w:r>
    </w:p>
    <w:p w:rsidR="00E43797" w:rsidRPr="0090513F" w:rsidRDefault="004F1B02" w:rsidP="001D045C">
      <w:pPr>
        <w:spacing w:line="360" w:lineRule="auto"/>
        <w:jc w:val="center"/>
        <w:rPr>
          <w:rFonts w:ascii="Times New Roman" w:hAnsi="Times New Roman" w:cs="Times New Roman"/>
          <w:color w:val="000000" w:themeColor="text1"/>
          <w:sz w:val="24"/>
          <w:szCs w:val="24"/>
        </w:rPr>
      </w:pPr>
      <w:r w:rsidRPr="0090513F">
        <w:rPr>
          <w:rFonts w:ascii="Times New Roman" w:hAnsi="Times New Roman" w:cs="Times New Roman"/>
          <w:i/>
          <w:color w:val="000000" w:themeColor="text1"/>
          <w:sz w:val="24"/>
          <w:szCs w:val="24"/>
        </w:rPr>
        <w:t>Salamatu Mohammed | NEPS WP4 Documentation and Technical Writing Intern | May 2026</w:t>
      </w:r>
    </w:p>
    <w:p w:rsidR="00E43797" w:rsidRPr="0090513F" w:rsidRDefault="004F1B02" w:rsidP="001D045C">
      <w:pPr>
        <w:spacing w:before="120" w:after="40"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Abstract</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NEPS</w:t>
      </w:r>
      <w:bookmarkStart w:id="0" w:name="_GoBack"/>
      <w:bookmarkEnd w:id="0"/>
      <w:r w:rsidRPr="0090513F">
        <w:rPr>
          <w:rFonts w:ascii="Times New Roman" w:hAnsi="Times New Roman" w:cs="Times New Roman"/>
          <w:color w:val="000000" w:themeColor="text1"/>
          <w:sz w:val="24"/>
          <w:szCs w:val="24"/>
        </w:rPr>
        <w:t xml:space="preserve"> WP4 platform is a multi-country digital system for longitudinal youth psychosocial monitoring, comprising secure databases, ETL pipelines, dashboards, AI-assisted risk analytics, LangChain-enabled natural-language querying, and field wo</w:t>
      </w:r>
      <w:r w:rsidRPr="0090513F">
        <w:rPr>
          <w:rFonts w:ascii="Times New Roman" w:hAnsi="Times New Roman" w:cs="Times New Roman"/>
          <w:color w:val="000000" w:themeColor="text1"/>
          <w:sz w:val="24"/>
          <w:szCs w:val="24"/>
        </w:rPr>
        <w:t>rkflows. Sustaining such a platform beyond its donor-funded phase depends as much on the quality of its documentation as on the quality of its code. Drawing on a structured review of sixteen sources spanning empirical software engineering, information arch</w:t>
      </w:r>
      <w:r w:rsidRPr="0090513F">
        <w:rPr>
          <w:rFonts w:ascii="Times New Roman" w:hAnsi="Times New Roman" w:cs="Times New Roman"/>
          <w:color w:val="000000" w:themeColor="text1"/>
          <w:sz w:val="24"/>
          <w:szCs w:val="24"/>
        </w:rPr>
        <w:t>itecture, health-informatics implementation, and AI documentation, this paper argues that no single existing framework adequately covers all of NEPS WP4's documentation needs. It proposes a f</w:t>
      </w:r>
      <w:r w:rsidR="0090513F">
        <w:rPr>
          <w:rFonts w:ascii="Times New Roman" w:hAnsi="Times New Roman" w:cs="Times New Roman"/>
          <w:color w:val="000000" w:themeColor="text1"/>
          <w:sz w:val="24"/>
          <w:szCs w:val="24"/>
        </w:rPr>
        <w:t xml:space="preserve">ive-layer composite framework </w:t>
      </w:r>
      <w:r w:rsidRPr="0090513F">
        <w:rPr>
          <w:rFonts w:ascii="Times New Roman" w:hAnsi="Times New Roman" w:cs="Times New Roman"/>
          <w:color w:val="000000" w:themeColor="text1"/>
          <w:sz w:val="24"/>
          <w:szCs w:val="24"/>
        </w:rPr>
        <w:t xml:space="preserve">combining </w:t>
      </w:r>
      <w:proofErr w:type="spellStart"/>
      <w:r w:rsidRPr="0090513F">
        <w:rPr>
          <w:rFonts w:ascii="Times New Roman" w:hAnsi="Times New Roman" w:cs="Times New Roman"/>
          <w:color w:val="000000" w:themeColor="text1"/>
          <w:sz w:val="24"/>
          <w:szCs w:val="24"/>
        </w:rPr>
        <w:t>Diátaxis</w:t>
      </w:r>
      <w:proofErr w:type="spellEnd"/>
      <w:r w:rsidRPr="0090513F">
        <w:rPr>
          <w:rFonts w:ascii="Times New Roman" w:hAnsi="Times New Roman" w:cs="Times New Roman"/>
          <w:color w:val="000000" w:themeColor="text1"/>
          <w:sz w:val="24"/>
          <w:szCs w:val="24"/>
        </w:rPr>
        <w:t>, a quality rub</w:t>
      </w:r>
      <w:r w:rsidRPr="0090513F">
        <w:rPr>
          <w:rFonts w:ascii="Times New Roman" w:hAnsi="Times New Roman" w:cs="Times New Roman"/>
          <w:color w:val="000000" w:themeColor="text1"/>
          <w:sz w:val="24"/>
          <w:szCs w:val="24"/>
        </w:rPr>
        <w:t>ric, Docs-as-Code, Architecture Decision Records with the C4 model, and FAIR4RS w</w:t>
      </w:r>
      <w:r w:rsidR="0090513F">
        <w:rPr>
          <w:rFonts w:ascii="Times New Roman" w:hAnsi="Times New Roman" w:cs="Times New Roman"/>
          <w:color w:val="000000" w:themeColor="text1"/>
          <w:sz w:val="24"/>
          <w:szCs w:val="24"/>
        </w:rPr>
        <w:t xml:space="preserve">ith Model Cards and Datasheets </w:t>
      </w:r>
      <w:r w:rsidRPr="0090513F">
        <w:rPr>
          <w:rFonts w:ascii="Times New Roman" w:hAnsi="Times New Roman" w:cs="Times New Roman"/>
          <w:color w:val="000000" w:themeColor="text1"/>
          <w:sz w:val="24"/>
          <w:szCs w:val="24"/>
        </w:rPr>
        <w:t>as the basis for a sustainable, audit-ready documentation system. The paper outlines a four-stage implementation pathway and identifies five r</w:t>
      </w:r>
      <w:r w:rsidRPr="0090513F">
        <w:rPr>
          <w:rFonts w:ascii="Times New Roman" w:hAnsi="Times New Roman" w:cs="Times New Roman"/>
          <w:color w:val="000000" w:themeColor="text1"/>
          <w:sz w:val="24"/>
          <w:szCs w:val="24"/>
        </w:rPr>
        <w:t>esearch gaps the NEPS work could address.</w:t>
      </w:r>
    </w:p>
    <w:p w:rsidR="00E43797" w:rsidRPr="0090513F" w:rsidRDefault="004F1B02" w:rsidP="001D045C">
      <w:pPr>
        <w:spacing w:before="120" w:after="40"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1. Introduction</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Technical documentation is consistently named the most-cited obstacle to software adoption, maintenance, and onboarding, yet it remains under-theorised in the context of multi-country digital health</w:t>
      </w:r>
      <w:r w:rsidRPr="0090513F">
        <w:rPr>
          <w:rFonts w:ascii="Times New Roman" w:hAnsi="Times New Roman" w:cs="Times New Roman"/>
          <w:color w:val="000000" w:themeColor="text1"/>
          <w:sz w:val="24"/>
          <w:szCs w:val="24"/>
        </w:rPr>
        <w:t xml:space="preserve"> platforms. The NEPS WP4 platform is precisely such a case: it integrates heterogeneous components (databases, ETL pipelines, dashboards, AI risk analytics, a LangChain natural-language query layer, and operational workflows) and serves heterogeneous audie</w:t>
      </w:r>
      <w:r w:rsidRPr="0090513F">
        <w:rPr>
          <w:rFonts w:ascii="Times New Roman" w:hAnsi="Times New Roman" w:cs="Times New Roman"/>
          <w:color w:val="000000" w:themeColor="text1"/>
          <w:sz w:val="24"/>
          <w:szCs w:val="24"/>
        </w:rPr>
        <w:t>nces (developers, country-site staff, clinicians, researchers, and ethics reviewers) across multiple countries.</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Three risks make documentation critical for NEPS WP4. First, the platform is built largely by rotating interns, so institutional knowledge will </w:t>
      </w:r>
      <w:r w:rsidRPr="0090513F">
        <w:rPr>
          <w:rFonts w:ascii="Times New Roman" w:hAnsi="Times New Roman" w:cs="Times New Roman"/>
          <w:color w:val="000000" w:themeColor="text1"/>
          <w:sz w:val="24"/>
          <w:szCs w:val="24"/>
        </w:rPr>
        <w:t>be lost without written artefacts. Second, the system is intended to outlast its initial donor funding cycle and transition to local stewardship, which historically depends on documentation and training rather than code transfer. Third, the inclusion of AI</w:t>
      </w:r>
      <w:r w:rsidRPr="0090513F">
        <w:rPr>
          <w:rFonts w:ascii="Times New Roman" w:hAnsi="Times New Roman" w:cs="Times New Roman"/>
          <w:color w:val="000000" w:themeColor="text1"/>
          <w:sz w:val="24"/>
          <w:szCs w:val="24"/>
        </w:rPr>
        <w:t xml:space="preserve"> components processing data on minors raises ethical disclosure obligations that mandate structured documentation artefacts. This paper synthesises a literat</w:t>
      </w:r>
      <w:r w:rsidR="0090513F">
        <w:rPr>
          <w:rFonts w:ascii="Times New Roman" w:hAnsi="Times New Roman" w:cs="Times New Roman"/>
          <w:color w:val="000000" w:themeColor="text1"/>
          <w:sz w:val="24"/>
          <w:szCs w:val="24"/>
        </w:rPr>
        <w:t xml:space="preserve">ure review across four domains </w:t>
      </w:r>
      <w:r w:rsidRPr="0090513F">
        <w:rPr>
          <w:rFonts w:ascii="Times New Roman" w:hAnsi="Times New Roman" w:cs="Times New Roman"/>
          <w:color w:val="000000" w:themeColor="text1"/>
          <w:sz w:val="24"/>
          <w:szCs w:val="24"/>
        </w:rPr>
        <w:t>documentation theory, empirical software engineering, health-infor</w:t>
      </w:r>
      <w:r w:rsidRPr="0090513F">
        <w:rPr>
          <w:rFonts w:ascii="Times New Roman" w:hAnsi="Times New Roman" w:cs="Times New Roman"/>
          <w:color w:val="000000" w:themeColor="text1"/>
          <w:sz w:val="24"/>
          <w:szCs w:val="24"/>
        </w:rPr>
        <w:t>matics platform implement</w:t>
      </w:r>
      <w:r w:rsidR="0090513F">
        <w:rPr>
          <w:rFonts w:ascii="Times New Roman" w:hAnsi="Times New Roman" w:cs="Times New Roman"/>
          <w:color w:val="000000" w:themeColor="text1"/>
          <w:sz w:val="24"/>
          <w:szCs w:val="24"/>
        </w:rPr>
        <w:t xml:space="preserve">ation, and AI/ML documentation </w:t>
      </w:r>
      <w:r w:rsidRPr="0090513F">
        <w:rPr>
          <w:rFonts w:ascii="Times New Roman" w:hAnsi="Times New Roman" w:cs="Times New Roman"/>
          <w:color w:val="000000" w:themeColor="text1"/>
          <w:sz w:val="24"/>
          <w:szCs w:val="24"/>
        </w:rPr>
        <w:t>and proposes a composite framework tailored to NEPS WP4's structure.</w:t>
      </w:r>
    </w:p>
    <w:p w:rsidR="00E43797" w:rsidRPr="0090513F" w:rsidRDefault="004F1B02" w:rsidP="001D045C">
      <w:pPr>
        <w:spacing w:before="120" w:after="40"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2. Literature Review</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lastRenderedPageBreak/>
        <w:t xml:space="preserve">The reviewed literature converges on four themes. </w:t>
      </w:r>
      <w:r w:rsidRPr="0090513F">
        <w:rPr>
          <w:rFonts w:ascii="Times New Roman" w:hAnsi="Times New Roman" w:cs="Times New Roman"/>
          <w:b/>
          <w:color w:val="000000" w:themeColor="text1"/>
          <w:sz w:val="24"/>
          <w:szCs w:val="24"/>
        </w:rPr>
        <w:t>Documentation problems are predominantly structural, not s</w:t>
      </w:r>
      <w:r w:rsidRPr="0090513F">
        <w:rPr>
          <w:rFonts w:ascii="Times New Roman" w:hAnsi="Times New Roman" w:cs="Times New Roman"/>
          <w:b/>
          <w:color w:val="000000" w:themeColor="text1"/>
          <w:sz w:val="24"/>
          <w:szCs w:val="24"/>
        </w:rPr>
        <w:t>tylistic.</w:t>
      </w:r>
      <w:r w:rsidR="0090513F">
        <w:rPr>
          <w:rFonts w:ascii="Times New Roman" w:hAnsi="Times New Roman" w:cs="Times New Roman"/>
          <w:color w:val="000000" w:themeColor="text1"/>
          <w:sz w:val="24"/>
          <w:szCs w:val="24"/>
        </w:rPr>
        <w:t xml:space="preserve"> Large empirical studies </w:t>
      </w:r>
      <w:proofErr w:type="spellStart"/>
      <w:r w:rsidRPr="0090513F">
        <w:rPr>
          <w:rFonts w:ascii="Times New Roman" w:hAnsi="Times New Roman" w:cs="Times New Roman"/>
          <w:color w:val="000000" w:themeColor="text1"/>
          <w:sz w:val="24"/>
          <w:szCs w:val="24"/>
        </w:rPr>
        <w:t>Aghajani</w:t>
      </w:r>
      <w:proofErr w:type="spellEnd"/>
      <w:r w:rsidRPr="0090513F">
        <w:rPr>
          <w:rFonts w:ascii="Times New Roman" w:hAnsi="Times New Roman" w:cs="Times New Roman"/>
          <w:color w:val="000000" w:themeColor="text1"/>
          <w:sz w:val="24"/>
          <w:szCs w:val="24"/>
        </w:rPr>
        <w:t xml:space="preserve"> et al.'s mining of 878 documentation artefacts (ICSE 2019), Robillard's API-learning surveys (IEEE Software 2009; EMSE 2011), Treude et al.'s quality framework (ESEC/FSE 2020), and Forward &amp; Lethbridge (</w:t>
      </w:r>
      <w:proofErr w:type="spellStart"/>
      <w:r w:rsidRPr="0090513F">
        <w:rPr>
          <w:rFonts w:ascii="Times New Roman" w:hAnsi="Times New Roman" w:cs="Times New Roman"/>
          <w:color w:val="000000" w:themeColor="text1"/>
          <w:sz w:val="24"/>
          <w:szCs w:val="24"/>
        </w:rPr>
        <w:t>DocEng</w:t>
      </w:r>
      <w:proofErr w:type="spellEnd"/>
      <w:r w:rsidRPr="0090513F">
        <w:rPr>
          <w:rFonts w:ascii="Times New Roman" w:hAnsi="Times New Roman" w:cs="Times New Roman"/>
          <w:color w:val="000000" w:themeColor="text1"/>
          <w:sz w:val="24"/>
          <w:szCs w:val="24"/>
        </w:rPr>
        <w:t xml:space="preserve"> 2</w:t>
      </w:r>
      <w:r w:rsidR="0090513F">
        <w:rPr>
          <w:rFonts w:ascii="Times New Roman" w:hAnsi="Times New Roman" w:cs="Times New Roman"/>
          <w:color w:val="000000" w:themeColor="text1"/>
          <w:sz w:val="24"/>
          <w:szCs w:val="24"/>
        </w:rPr>
        <w:t xml:space="preserve">002) </w:t>
      </w:r>
      <w:r w:rsidRPr="0090513F">
        <w:rPr>
          <w:rFonts w:ascii="Times New Roman" w:hAnsi="Times New Roman" w:cs="Times New Roman"/>
          <w:color w:val="000000" w:themeColor="text1"/>
          <w:sz w:val="24"/>
          <w:szCs w:val="24"/>
        </w:rPr>
        <w:t>identify completeness, currency, and findability as dominant failure modes. This validates Procida's Diátaxis framework and Baker's Every Page is Page One approach: documentation must be organised around reader intent before it is written. Carroll's</w:t>
      </w:r>
      <w:r w:rsidRPr="0090513F">
        <w:rPr>
          <w:rFonts w:ascii="Times New Roman" w:hAnsi="Times New Roman" w:cs="Times New Roman"/>
          <w:color w:val="000000" w:themeColor="text1"/>
          <w:sz w:val="24"/>
          <w:szCs w:val="24"/>
        </w:rPr>
        <w:t xml:space="preserve"> minimalism (MIT Press, 1990) provides their cognitive grounding.</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Documentation quality is measurable.</w:t>
      </w:r>
      <w:r w:rsidRPr="0090513F">
        <w:rPr>
          <w:rFonts w:ascii="Times New Roman" w:hAnsi="Times New Roman" w:cs="Times New Roman"/>
          <w:color w:val="000000" w:themeColor="text1"/>
          <w:sz w:val="24"/>
          <w:szCs w:val="24"/>
        </w:rPr>
        <w:t xml:space="preserve"> Treude, Middleton, and Atapattu propose a ten-dimension rubric covering structure, content, and style; Aghajani et al.'s 162-issue taxonomy provides a co</w:t>
      </w:r>
      <w:r w:rsidRPr="0090513F">
        <w:rPr>
          <w:rFonts w:ascii="Times New Roman" w:hAnsi="Times New Roman" w:cs="Times New Roman"/>
          <w:color w:val="000000" w:themeColor="text1"/>
          <w:sz w:val="24"/>
          <w:szCs w:val="24"/>
        </w:rPr>
        <w:t>mplementary failure catalogue. Together they enable a quality dashboard operationalised through CI linters and review checklists.</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In health-informatics platforms, documentation is a sustainability lever.</w:t>
      </w:r>
      <w:r w:rsidRPr="0090513F">
        <w:rPr>
          <w:rFonts w:ascii="Times New Roman" w:hAnsi="Times New Roman" w:cs="Times New Roman"/>
          <w:color w:val="000000" w:themeColor="text1"/>
          <w:sz w:val="24"/>
          <w:szCs w:val="24"/>
        </w:rPr>
        <w:t xml:space="preserve"> REDCap's consortium model (Harris et al., 2009) and </w:t>
      </w:r>
      <w:r w:rsidRPr="0090513F">
        <w:rPr>
          <w:rFonts w:ascii="Times New Roman" w:hAnsi="Times New Roman" w:cs="Times New Roman"/>
          <w:color w:val="000000" w:themeColor="text1"/>
          <w:sz w:val="24"/>
          <w:szCs w:val="24"/>
        </w:rPr>
        <w:t>the DHIS2 implementation in Guinea (Reynolds et al., 2022) demonstrate that platforms persist after donor exit when metadata serves as the source of truth, when tiered training cascades reach role-specific users, and when documentation maintenance is insti</w:t>
      </w:r>
      <w:r w:rsidRPr="0090513F">
        <w:rPr>
          <w:rFonts w:ascii="Times New Roman" w:hAnsi="Times New Roman" w:cs="Times New Roman"/>
          <w:color w:val="000000" w:themeColor="text1"/>
          <w:sz w:val="24"/>
          <w:szCs w:val="24"/>
        </w:rPr>
        <w:t>tutionally embedded — for example through the August 2018 RTI–Université Gamal Abdel Nasser de Conakry MoU. The FAIR Principles for Research Software (Barker et al., 2022) generalise these into auditable principles covering identifiers, metadata, accessibi</w:t>
      </w:r>
      <w:r w:rsidRPr="0090513F">
        <w:rPr>
          <w:rFonts w:ascii="Times New Roman" w:hAnsi="Times New Roman" w:cs="Times New Roman"/>
          <w:color w:val="000000" w:themeColor="text1"/>
          <w:sz w:val="24"/>
          <w:szCs w:val="24"/>
        </w:rPr>
        <w:t>lity, and reuse.</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AI components require additional documentation classes.</w:t>
      </w:r>
      <w:r w:rsidRPr="0090513F">
        <w:rPr>
          <w:rFonts w:ascii="Times New Roman" w:hAnsi="Times New Roman" w:cs="Times New Roman"/>
          <w:color w:val="000000" w:themeColor="text1"/>
          <w:sz w:val="24"/>
          <w:szCs w:val="24"/>
        </w:rPr>
        <w:t xml:space="preserve"> Mitchell et al.'s Model Cards (FAT* 2019) and Gebru et al.'s Datasheets for Datasets (CACM 2021) are de facto minimum standards for documenting ML models and training data, particular</w:t>
      </w:r>
      <w:r w:rsidRPr="0090513F">
        <w:rPr>
          <w:rFonts w:ascii="Times New Roman" w:hAnsi="Times New Roman" w:cs="Times New Roman"/>
          <w:color w:val="000000" w:themeColor="text1"/>
          <w:sz w:val="24"/>
          <w:szCs w:val="24"/>
        </w:rPr>
        <w:t>ly relevant where AI systems make inferences about minors. Two practitioner traditions complete the picture: Nygard's Architecture Decision Records with Brown's C4 model for multi-component architectures, and the Docs-as-Code methodology (Gentle, 2022; Gal</w:t>
      </w:r>
      <w:r w:rsidRPr="0090513F">
        <w:rPr>
          <w:rFonts w:ascii="Times New Roman" w:hAnsi="Times New Roman" w:cs="Times New Roman"/>
          <w:color w:val="000000" w:themeColor="text1"/>
          <w:sz w:val="24"/>
          <w:szCs w:val="24"/>
        </w:rPr>
        <w:t xml:space="preserve">es et al., 2017/2020) for embedding documentation in development workflows. The principal gap is the absence of peer-reviewed evidence on documentation effectiveness for multi-country, multi-component </w:t>
      </w:r>
      <w:r w:rsidR="0090513F">
        <w:rPr>
          <w:rFonts w:ascii="Times New Roman" w:hAnsi="Times New Roman" w:cs="Times New Roman"/>
          <w:color w:val="000000" w:themeColor="text1"/>
          <w:sz w:val="24"/>
          <w:szCs w:val="24"/>
        </w:rPr>
        <w:t xml:space="preserve">psychosocial-health platforms </w:t>
      </w:r>
      <w:r w:rsidRPr="0090513F">
        <w:rPr>
          <w:rFonts w:ascii="Times New Roman" w:hAnsi="Times New Roman" w:cs="Times New Roman"/>
          <w:color w:val="000000" w:themeColor="text1"/>
          <w:sz w:val="24"/>
          <w:szCs w:val="24"/>
        </w:rPr>
        <w:t>the niche NEPS WP4 occu</w:t>
      </w:r>
      <w:r w:rsidRPr="0090513F">
        <w:rPr>
          <w:rFonts w:ascii="Times New Roman" w:hAnsi="Times New Roman" w:cs="Times New Roman"/>
          <w:color w:val="000000" w:themeColor="text1"/>
          <w:sz w:val="24"/>
          <w:szCs w:val="24"/>
        </w:rPr>
        <w:t>pies.</w:t>
      </w:r>
    </w:p>
    <w:p w:rsidR="00E43797" w:rsidRPr="0090513F" w:rsidRDefault="004F1B02" w:rsidP="001D045C">
      <w:pPr>
        <w:spacing w:before="120" w:after="40"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3. Proposed Methodology</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No single reviewed framework covers all NEPS WP4 documentation needs. This paper proposes a composite five-layer framework, with each layer drawn from a distinct evidence base:</w:t>
      </w:r>
    </w:p>
    <w:p w:rsidR="00E43797" w:rsidRPr="0090513F" w:rsidRDefault="004F1B02" w:rsidP="001D045C">
      <w:pPr>
        <w:spacing w:after="40" w:line="360" w:lineRule="auto"/>
        <w:ind w:left="288"/>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 xml:space="preserve">(1) Information-architecture layer — </w:t>
      </w:r>
      <w:r w:rsidRPr="0090513F">
        <w:rPr>
          <w:rFonts w:ascii="Times New Roman" w:hAnsi="Times New Roman" w:cs="Times New Roman"/>
          <w:color w:val="000000" w:themeColor="text1"/>
          <w:sz w:val="24"/>
          <w:szCs w:val="24"/>
        </w:rPr>
        <w:t>Diátaxis (Pr</w:t>
      </w:r>
      <w:r w:rsidRPr="0090513F">
        <w:rPr>
          <w:rFonts w:ascii="Times New Roman" w:hAnsi="Times New Roman" w:cs="Times New Roman"/>
          <w:color w:val="000000" w:themeColor="text1"/>
          <w:sz w:val="24"/>
          <w:szCs w:val="24"/>
        </w:rPr>
        <w:t>ocida) augmented by EPPO (Baker). Each page is classified into Tutorial, How-to, Reference, or Explanation, written as a self-contained Page-One topic, and tagged with audience metadata.</w:t>
      </w:r>
    </w:p>
    <w:p w:rsidR="00E43797" w:rsidRPr="0090513F" w:rsidRDefault="004F1B02" w:rsidP="001D045C">
      <w:pPr>
        <w:spacing w:after="40" w:line="360" w:lineRule="auto"/>
        <w:ind w:left="288"/>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lastRenderedPageBreak/>
        <w:t xml:space="preserve">(2) Quality layer — </w:t>
      </w:r>
      <w:r w:rsidRPr="0090513F">
        <w:rPr>
          <w:rFonts w:ascii="Times New Roman" w:hAnsi="Times New Roman" w:cs="Times New Roman"/>
          <w:color w:val="000000" w:themeColor="text1"/>
          <w:sz w:val="24"/>
          <w:szCs w:val="24"/>
        </w:rPr>
        <w:t>Treude et al.'s ten-dimension rubric audited agai</w:t>
      </w:r>
      <w:r w:rsidRPr="0090513F">
        <w:rPr>
          <w:rFonts w:ascii="Times New Roman" w:hAnsi="Times New Roman" w:cs="Times New Roman"/>
          <w:color w:val="000000" w:themeColor="text1"/>
          <w:sz w:val="24"/>
          <w:szCs w:val="24"/>
        </w:rPr>
        <w:t>nst Aghajani et al.'s 162-issue taxonomy. Each documentation pull request is scored before merge.</w:t>
      </w:r>
    </w:p>
    <w:p w:rsidR="00E43797" w:rsidRPr="0090513F" w:rsidRDefault="004F1B02" w:rsidP="001D045C">
      <w:pPr>
        <w:spacing w:after="40" w:line="360" w:lineRule="auto"/>
        <w:ind w:left="288"/>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 xml:space="preserve">(3) Workflow layer — </w:t>
      </w:r>
      <w:r w:rsidRPr="0090513F">
        <w:rPr>
          <w:rFonts w:ascii="Times New Roman" w:hAnsi="Times New Roman" w:cs="Times New Roman"/>
          <w:color w:val="000000" w:themeColor="text1"/>
          <w:sz w:val="24"/>
          <w:szCs w:val="24"/>
        </w:rPr>
        <w:t xml:space="preserve">Docs-as-Code (Gentle). Documentation lives in the WP4 Git repository, is reviewed via pull requests, and built by CI with link-checking, </w:t>
      </w:r>
      <w:r w:rsidRPr="0090513F">
        <w:rPr>
          <w:rFonts w:ascii="Times New Roman" w:hAnsi="Times New Roman" w:cs="Times New Roman"/>
          <w:color w:val="000000" w:themeColor="text1"/>
          <w:sz w:val="24"/>
          <w:szCs w:val="24"/>
        </w:rPr>
        <w:t>style-linting, and OpenAPI-driven API reference generation.</w:t>
      </w:r>
    </w:p>
    <w:p w:rsidR="00E43797" w:rsidRPr="0090513F" w:rsidRDefault="004F1B02" w:rsidP="001D045C">
      <w:pPr>
        <w:spacing w:after="40" w:line="360" w:lineRule="auto"/>
        <w:ind w:left="288"/>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 xml:space="preserve">(4) Architecture layer — </w:t>
      </w:r>
      <w:r w:rsidRPr="0090513F">
        <w:rPr>
          <w:rFonts w:ascii="Times New Roman" w:hAnsi="Times New Roman" w:cs="Times New Roman"/>
          <w:color w:val="000000" w:themeColor="text1"/>
          <w:sz w:val="24"/>
          <w:szCs w:val="24"/>
        </w:rPr>
        <w:t>ADRs (Nygard) and the C4 model (Brown). Architecturally significant decisions are captured in numbered, version-controlled ADRs; C4 Context, Container, and Component diagr</w:t>
      </w:r>
      <w:r w:rsidRPr="0090513F">
        <w:rPr>
          <w:rFonts w:ascii="Times New Roman" w:hAnsi="Times New Roman" w:cs="Times New Roman"/>
          <w:color w:val="000000" w:themeColor="text1"/>
          <w:sz w:val="24"/>
          <w:szCs w:val="24"/>
        </w:rPr>
        <w:t>ams document the multi-component topology.</w:t>
      </w:r>
    </w:p>
    <w:p w:rsidR="00E43797" w:rsidRPr="0090513F" w:rsidRDefault="004F1B02" w:rsidP="001D045C">
      <w:pPr>
        <w:spacing w:after="40" w:line="360" w:lineRule="auto"/>
        <w:ind w:left="288"/>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 xml:space="preserve">(5) Sustainability and AI layer — </w:t>
      </w:r>
      <w:r w:rsidRPr="0090513F">
        <w:rPr>
          <w:rFonts w:ascii="Times New Roman" w:hAnsi="Times New Roman" w:cs="Times New Roman"/>
          <w:color w:val="000000" w:themeColor="text1"/>
          <w:sz w:val="24"/>
          <w:szCs w:val="24"/>
        </w:rPr>
        <w:t xml:space="preserve">FAIR4RS (Barker et al.) with Model Cards (Mitchell et al.) and Datasheets (Gebru et al.). Every release ships with persistent identifiers, machine-readable metadata, a model card </w:t>
      </w:r>
      <w:r w:rsidRPr="0090513F">
        <w:rPr>
          <w:rFonts w:ascii="Times New Roman" w:hAnsi="Times New Roman" w:cs="Times New Roman"/>
          <w:color w:val="000000" w:themeColor="text1"/>
          <w:sz w:val="24"/>
          <w:szCs w:val="24"/>
        </w:rPr>
        <w:t>per AI component, a datasheet per dataset, and a country-site onboarding portal modelled on the FLOSScoach pattern (Steinmacher et al., 2016).</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Implementation is planned in four stages: (a) Weeks 1–3 — baseline audit and Diátaxis migration plan; (b) Weeks 4</w:t>
      </w:r>
      <w:r w:rsidRPr="0090513F">
        <w:rPr>
          <w:rFonts w:ascii="Times New Roman" w:hAnsi="Times New Roman" w:cs="Times New Roman"/>
          <w:color w:val="000000" w:themeColor="text1"/>
          <w:sz w:val="24"/>
          <w:szCs w:val="24"/>
        </w:rPr>
        <w:t>–8 — Docs-as-Code workflow, OpenAPI-generated API reference, initial ADRs, and C4 diagrams; (c) Weeks 9–14 — Model Cards, Datasheets, and a multi-track onboarding portal; (d) Months 4–6 — FAIR4RS audit, sustainability partnership negotiation, and submissio</w:t>
      </w:r>
      <w:r w:rsidRPr="0090513F">
        <w:rPr>
          <w:rFonts w:ascii="Times New Roman" w:hAnsi="Times New Roman" w:cs="Times New Roman"/>
          <w:color w:val="000000" w:themeColor="text1"/>
          <w:sz w:val="24"/>
          <w:szCs w:val="24"/>
        </w:rPr>
        <w:t>n of the full journal paper.</w:t>
      </w:r>
    </w:p>
    <w:p w:rsidR="00E43797" w:rsidRPr="0090513F" w:rsidRDefault="004F1B02" w:rsidP="001D045C">
      <w:pPr>
        <w:spacing w:before="120" w:after="40"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4. Expected Contributions and Research Gaps</w:t>
      </w:r>
    </w:p>
    <w:p w:rsidR="00E43797" w:rsidRPr="0090513F"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The NEPS WP4 documentation programme can address five gaps: (i) the absence of peer-reviewed evidence on documentation effectiveness in multi-country psychosocial-health surveillance </w:t>
      </w:r>
      <w:r w:rsidRPr="0090513F">
        <w:rPr>
          <w:rFonts w:ascii="Times New Roman" w:hAnsi="Times New Roman" w:cs="Times New Roman"/>
          <w:color w:val="000000" w:themeColor="text1"/>
          <w:sz w:val="24"/>
          <w:szCs w:val="24"/>
        </w:rPr>
        <w:t>platforms; (ii) the lack of an explicit mapping between Diátaxis and health-informatics documentation conventions; (iii) sparse empirical work on integrating Model Cards and Datasheets into research-platform pipelines under FAIR4RS; (iv) the under-evaluati</w:t>
      </w:r>
      <w:r w:rsidRPr="0090513F">
        <w:rPr>
          <w:rFonts w:ascii="Times New Roman" w:hAnsi="Times New Roman" w:cs="Times New Roman"/>
          <w:color w:val="000000" w:themeColor="text1"/>
          <w:sz w:val="24"/>
          <w:szCs w:val="24"/>
        </w:rPr>
        <w:t>on of onboarding portals for distributed multi-country research teams; and (v) the absence of any documented standard for LangChain-style natural-language query layers operating over sensitive longitudinal health data.</w:t>
      </w:r>
    </w:p>
    <w:p w:rsidR="00E43797" w:rsidRPr="0090513F" w:rsidRDefault="004F1B02" w:rsidP="001D045C">
      <w:pPr>
        <w:spacing w:before="120" w:after="40"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t>5. Conclusion and Next Steps</w:t>
      </w:r>
    </w:p>
    <w:p w:rsidR="00E43797" w:rsidRDefault="004F1B02" w:rsidP="001D045C">
      <w:pPr>
        <w:spacing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A defens</w:t>
      </w:r>
      <w:r w:rsidRPr="0090513F">
        <w:rPr>
          <w:rFonts w:ascii="Times New Roman" w:hAnsi="Times New Roman" w:cs="Times New Roman"/>
          <w:color w:val="000000" w:themeColor="text1"/>
          <w:sz w:val="24"/>
          <w:szCs w:val="24"/>
        </w:rPr>
        <w:t>ible documentation framework for NEPS WP4 must be composite rather than monolithic. The proposed five-layer structure draws on the strongest available evidence from each relevant domain and is implementable within the WP4 timeline. Immediate next steps are</w:t>
      </w:r>
      <w:r w:rsidRPr="0090513F">
        <w:rPr>
          <w:rFonts w:ascii="Times New Roman" w:hAnsi="Times New Roman" w:cs="Times New Roman"/>
          <w:color w:val="000000" w:themeColor="text1"/>
          <w:sz w:val="24"/>
          <w:szCs w:val="24"/>
        </w:rPr>
        <w:t xml:space="preserve"> to conduct the baseline audit, agree audience segments with the WP4 lead, and produce the first Diátaxis-classified documentation set as the foundation for the full technical paper.</w:t>
      </w:r>
    </w:p>
    <w:p w:rsidR="00D57C21" w:rsidRDefault="00D57C21" w:rsidP="001D045C">
      <w:pPr>
        <w:spacing w:line="360" w:lineRule="auto"/>
        <w:rPr>
          <w:rFonts w:ascii="Times New Roman" w:hAnsi="Times New Roman" w:cs="Times New Roman"/>
          <w:color w:val="000000" w:themeColor="text1"/>
          <w:sz w:val="24"/>
          <w:szCs w:val="24"/>
        </w:rPr>
      </w:pPr>
    </w:p>
    <w:p w:rsidR="00D57C21" w:rsidRPr="0090513F" w:rsidRDefault="00D57C21" w:rsidP="001D045C">
      <w:pPr>
        <w:spacing w:line="360" w:lineRule="auto"/>
        <w:rPr>
          <w:rFonts w:ascii="Times New Roman" w:hAnsi="Times New Roman" w:cs="Times New Roman"/>
          <w:color w:val="000000" w:themeColor="text1"/>
          <w:sz w:val="24"/>
          <w:szCs w:val="24"/>
        </w:rPr>
      </w:pPr>
    </w:p>
    <w:p w:rsidR="00E43797" w:rsidRPr="0090513F" w:rsidRDefault="004F1B02" w:rsidP="001D045C">
      <w:pPr>
        <w:spacing w:before="120" w:after="40" w:line="360" w:lineRule="auto"/>
        <w:rPr>
          <w:rFonts w:ascii="Times New Roman" w:hAnsi="Times New Roman" w:cs="Times New Roman"/>
          <w:color w:val="000000" w:themeColor="text1"/>
          <w:sz w:val="24"/>
          <w:szCs w:val="24"/>
        </w:rPr>
      </w:pPr>
      <w:r w:rsidRPr="0090513F">
        <w:rPr>
          <w:rFonts w:ascii="Times New Roman" w:hAnsi="Times New Roman" w:cs="Times New Roman"/>
          <w:b/>
          <w:color w:val="000000" w:themeColor="text1"/>
          <w:sz w:val="24"/>
          <w:szCs w:val="24"/>
        </w:rPr>
        <w:lastRenderedPageBreak/>
        <w:t>Key References</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Aghajani, E., et al. (2019). Software documentation issues</w:t>
      </w:r>
      <w:r w:rsidRPr="0090513F">
        <w:rPr>
          <w:rFonts w:ascii="Times New Roman" w:hAnsi="Times New Roman" w:cs="Times New Roman"/>
          <w:color w:val="000000" w:themeColor="text1"/>
          <w:sz w:val="24"/>
          <w:szCs w:val="24"/>
        </w:rPr>
        <w:t xml:space="preserve"> unveiled. Proc. ICSE 2019, 1199–1210. </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Baker, M. (2013). Every Page is Page One. XML Press. • Barker, M., et al. (2022). Introducing the FAIR Principles for research software. Scientific Data, 9, 622. • Carroll, J.M. (1990). The Nurnberg Funnel. MIT Pres</w:t>
      </w:r>
      <w:r w:rsidRPr="0090513F">
        <w:rPr>
          <w:rFonts w:ascii="Times New Roman" w:hAnsi="Times New Roman" w:cs="Times New Roman"/>
          <w:color w:val="000000" w:themeColor="text1"/>
          <w:sz w:val="24"/>
          <w:szCs w:val="24"/>
        </w:rPr>
        <w:t>s.</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 • Gebru, T., et al. (2021). Datasheets for datasets. CACM, 64(12), 86–92. </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 Gentle, A. (2022). Docs Like Code (3rd </w:t>
      </w:r>
      <w:proofErr w:type="gramStart"/>
      <w:r w:rsidRPr="0090513F">
        <w:rPr>
          <w:rFonts w:ascii="Times New Roman" w:hAnsi="Times New Roman" w:cs="Times New Roman"/>
          <w:color w:val="000000" w:themeColor="text1"/>
          <w:sz w:val="24"/>
          <w:szCs w:val="24"/>
        </w:rPr>
        <w:t>ed</w:t>
      </w:r>
      <w:proofErr w:type="gramEnd"/>
      <w:r w:rsidRPr="0090513F">
        <w:rPr>
          <w:rFonts w:ascii="Times New Roman" w:hAnsi="Times New Roman" w:cs="Times New Roman"/>
          <w:color w:val="000000" w:themeColor="text1"/>
          <w:sz w:val="24"/>
          <w:szCs w:val="24"/>
        </w:rPr>
        <w:t>.).</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 • Harris, P.A., et al. (2009). Research Electronic Data Capture (REDCap). J. Biomed. </w:t>
      </w:r>
      <w:proofErr w:type="gramStart"/>
      <w:r w:rsidRPr="0090513F">
        <w:rPr>
          <w:rFonts w:ascii="Times New Roman" w:hAnsi="Times New Roman" w:cs="Times New Roman"/>
          <w:color w:val="000000" w:themeColor="text1"/>
          <w:sz w:val="24"/>
          <w:szCs w:val="24"/>
        </w:rPr>
        <w:t>Inform.,</w:t>
      </w:r>
      <w:proofErr w:type="gramEnd"/>
      <w:r w:rsidRPr="0090513F">
        <w:rPr>
          <w:rFonts w:ascii="Times New Roman" w:hAnsi="Times New Roman" w:cs="Times New Roman"/>
          <w:color w:val="000000" w:themeColor="text1"/>
          <w:sz w:val="24"/>
          <w:szCs w:val="24"/>
        </w:rPr>
        <w:t xml:space="preserve"> 42(2), 377–381. </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Mitchell, M., et al.</w:t>
      </w:r>
      <w:r w:rsidRPr="0090513F">
        <w:rPr>
          <w:rFonts w:ascii="Times New Roman" w:hAnsi="Times New Roman" w:cs="Times New Roman"/>
          <w:color w:val="000000" w:themeColor="text1"/>
          <w:sz w:val="24"/>
          <w:szCs w:val="24"/>
        </w:rPr>
        <w:t xml:space="preserve"> (2019). Model cards for model reporting. Proc. FAT* 2019, 220–229.</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 • Nygard, M.T. (2011). Documenting architecture decisions. Cognitect. </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 </w:t>
      </w:r>
      <w:proofErr w:type="spellStart"/>
      <w:r w:rsidRPr="0090513F">
        <w:rPr>
          <w:rFonts w:ascii="Times New Roman" w:hAnsi="Times New Roman" w:cs="Times New Roman"/>
          <w:color w:val="000000" w:themeColor="text1"/>
          <w:sz w:val="24"/>
          <w:szCs w:val="24"/>
        </w:rPr>
        <w:t>Procida</w:t>
      </w:r>
      <w:proofErr w:type="spellEnd"/>
      <w:r w:rsidRPr="0090513F">
        <w:rPr>
          <w:rFonts w:ascii="Times New Roman" w:hAnsi="Times New Roman" w:cs="Times New Roman"/>
          <w:color w:val="000000" w:themeColor="text1"/>
          <w:sz w:val="24"/>
          <w:szCs w:val="24"/>
        </w:rPr>
        <w:t>, D. (2017–). Diátaxis. diataxis.fr • Reynolds, E., et al. (2022). Implementation of DHIS2 for disease survei</w:t>
      </w:r>
      <w:r w:rsidRPr="0090513F">
        <w:rPr>
          <w:rFonts w:ascii="Times New Roman" w:hAnsi="Times New Roman" w:cs="Times New Roman"/>
          <w:color w:val="000000" w:themeColor="text1"/>
          <w:sz w:val="24"/>
          <w:szCs w:val="24"/>
        </w:rPr>
        <w:t>llance in Guinea. Frontiers in Public Health, 9, 761196.</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 • Robillard, M.P. (2009). What makes APIs hard to learn? IEEE Software, 26(6), 27–34. </w:t>
      </w:r>
    </w:p>
    <w:p w:rsidR="00D57C21"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 </w:t>
      </w:r>
      <w:proofErr w:type="spellStart"/>
      <w:r w:rsidRPr="0090513F">
        <w:rPr>
          <w:rFonts w:ascii="Times New Roman" w:hAnsi="Times New Roman" w:cs="Times New Roman"/>
          <w:color w:val="000000" w:themeColor="text1"/>
          <w:sz w:val="24"/>
          <w:szCs w:val="24"/>
        </w:rPr>
        <w:t>Steinmacher</w:t>
      </w:r>
      <w:proofErr w:type="spellEnd"/>
      <w:r w:rsidRPr="0090513F">
        <w:rPr>
          <w:rFonts w:ascii="Times New Roman" w:hAnsi="Times New Roman" w:cs="Times New Roman"/>
          <w:color w:val="000000" w:themeColor="text1"/>
          <w:sz w:val="24"/>
          <w:szCs w:val="24"/>
        </w:rPr>
        <w:t xml:space="preserve">, I., et al. (2016). Overcoming open source project entry barriers. Proc. ICSE 2016, 273–284. </w:t>
      </w:r>
    </w:p>
    <w:p w:rsidR="00E43797" w:rsidRPr="0090513F" w:rsidRDefault="004F1B02" w:rsidP="001D045C">
      <w:pPr>
        <w:spacing w:after="0" w:line="360" w:lineRule="auto"/>
        <w:rPr>
          <w:rFonts w:ascii="Times New Roman" w:hAnsi="Times New Roman" w:cs="Times New Roman"/>
          <w:color w:val="000000" w:themeColor="text1"/>
          <w:sz w:val="24"/>
          <w:szCs w:val="24"/>
        </w:rPr>
      </w:pPr>
      <w:r w:rsidRPr="0090513F">
        <w:rPr>
          <w:rFonts w:ascii="Times New Roman" w:hAnsi="Times New Roman" w:cs="Times New Roman"/>
          <w:color w:val="000000" w:themeColor="text1"/>
          <w:sz w:val="24"/>
          <w:szCs w:val="24"/>
        </w:rPr>
        <w:t xml:space="preserve">• </w:t>
      </w:r>
      <w:proofErr w:type="spellStart"/>
      <w:r w:rsidRPr="0090513F">
        <w:rPr>
          <w:rFonts w:ascii="Times New Roman" w:hAnsi="Times New Roman" w:cs="Times New Roman"/>
          <w:color w:val="000000" w:themeColor="text1"/>
          <w:sz w:val="24"/>
          <w:szCs w:val="24"/>
        </w:rPr>
        <w:t>Treu</w:t>
      </w:r>
      <w:r w:rsidRPr="0090513F">
        <w:rPr>
          <w:rFonts w:ascii="Times New Roman" w:hAnsi="Times New Roman" w:cs="Times New Roman"/>
          <w:color w:val="000000" w:themeColor="text1"/>
          <w:sz w:val="24"/>
          <w:szCs w:val="24"/>
        </w:rPr>
        <w:t>de</w:t>
      </w:r>
      <w:proofErr w:type="spellEnd"/>
      <w:r w:rsidRPr="0090513F">
        <w:rPr>
          <w:rFonts w:ascii="Times New Roman" w:hAnsi="Times New Roman" w:cs="Times New Roman"/>
          <w:color w:val="000000" w:themeColor="text1"/>
          <w:sz w:val="24"/>
          <w:szCs w:val="24"/>
        </w:rPr>
        <w:t>, C., Middleton, J., &amp; Atapattu, T. (2020). Beyond accuracy. Proc. ESEC/FSE 2020, 1509–1512.</w:t>
      </w:r>
    </w:p>
    <w:sectPr w:rsidR="00E43797" w:rsidRPr="0090513F"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55CB"/>
    <w:rsid w:val="001D045C"/>
    <w:rsid w:val="0029639D"/>
    <w:rsid w:val="00326F90"/>
    <w:rsid w:val="004F1B02"/>
    <w:rsid w:val="006B1820"/>
    <w:rsid w:val="007C15B2"/>
    <w:rsid w:val="0090513F"/>
    <w:rsid w:val="00A31D94"/>
    <w:rsid w:val="00AA1D8D"/>
    <w:rsid w:val="00B47730"/>
    <w:rsid w:val="00C74003"/>
    <w:rsid w:val="00CB0664"/>
    <w:rsid w:val="00D57C21"/>
    <w:rsid w:val="00E437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8A666"/>
  <w14:defaultImageDpi w14:val="300"/>
  <w15:docId w15:val="{1E7AC084-DDA4-4E70-A957-6A372342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52"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3B820-655B-4CAC-B037-CBC517BBD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Salamatu Mohammed</cp:lastModifiedBy>
  <cp:revision>9</cp:revision>
  <dcterms:created xsi:type="dcterms:W3CDTF">2013-12-23T23:15:00Z</dcterms:created>
  <dcterms:modified xsi:type="dcterms:W3CDTF">2026-05-08T13:35:00Z</dcterms:modified>
  <cp:category/>
</cp:coreProperties>
</file>