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62.png" ContentType="image/png"/>
  <Override PartName="/word/media/rId23.png" ContentType="image/png"/>
  <Override PartName="/word/media/rId30.png" ContentType="image/png"/>
  <Override PartName="/word/media/rId26.png" ContentType="image/png"/>
  <Override PartName="/word/media/rId83.png" ContentType="image/png"/>
  <Override PartName="/word/media/rId71.png" ContentType="image/png"/>
  <Override PartName="/word/media/rId38.png" ContentType="image/png"/>
  <Override PartName="/word/media/rId105.png" ContentType="image/png"/>
  <Override PartName="/word/media/rId47.png" ContentType="image/png"/>
  <Override PartName="/word/media/rId51.png" ContentType="image/png"/>
  <Override PartName="/word/media/rId55.png" ContentType="image/png"/>
  <Override PartName="/word/media/rId59.png" ContentType="image/png"/>
  <Override PartName="/word/media/rId66.png" ContentType="image/png"/>
  <Override PartName="/word/media/rId87.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2: The nature of data</w:t>
      </w:r>
    </w:p>
    <w:p>
      <w:pPr>
        <w:pStyle w:val="Subtitle"/>
      </w:pPr>
      <w:r>
        <w:t xml:space="preserve">BIOS 600 - Summer Session II 2026</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3.5.2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bookmarkStart w:id="9" w:name="reading"/>
    <w:p>
      <w:pPr>
        <w:pStyle w:val="Heading2"/>
      </w:pPr>
      <w:r>
        <w:t xml:space="preserve">Reading</w:t>
      </w:r>
    </w:p>
    <w:p>
      <w:pPr>
        <w:pStyle w:val="Compact"/>
        <w:numPr>
          <w:ilvl w:val="0"/>
          <w:numId w:val="1001"/>
        </w:numPr>
      </w:pPr>
      <w:r>
        <w:t xml:space="preserve">No reading for today</w:t>
      </w:r>
    </w:p>
    <w:bookmarkEnd w:id="9"/>
    <w:bookmarkStart w:id="10" w:name="announcements"/>
    <w:p>
      <w:pPr>
        <w:pStyle w:val="Heading2"/>
      </w:pPr>
      <w:r>
        <w:t xml:space="preserve">Announcements</w:t>
      </w:r>
    </w:p>
    <w:p>
      <w:pPr>
        <w:pStyle w:val="Compact"/>
        <w:numPr>
          <w:ilvl w:val="0"/>
          <w:numId w:val="1002"/>
        </w:numPr>
      </w:pPr>
      <w:r>
        <w:rPr>
          <w:b/>
          <w:bCs/>
        </w:rPr>
        <w:t xml:space="preserve">HW #1</w:t>
      </w:r>
      <w:r>
        <w:t xml:space="preserve"> </w:t>
      </w:r>
      <w:r>
        <w:t xml:space="preserve">due today at 11:59pm.</w:t>
      </w:r>
    </w:p>
    <w:p>
      <w:pPr>
        <w:pStyle w:val="Compact"/>
        <w:numPr>
          <w:ilvl w:val="0"/>
          <w:numId w:val="1002"/>
        </w:numPr>
      </w:pPr>
      <w:r>
        <w:t xml:space="preserve">Please reach out to me if you need assistance outside of office hours</w:t>
      </w:r>
    </w:p>
    <w:bookmarkEnd w:id="10"/>
    <w:bookmarkStart w:id="11" w:name="download-or-print-notes-to-pdf"/>
    <w:p>
      <w:pPr>
        <w:pStyle w:val="Heading2"/>
      </w:pPr>
      <w:r>
        <w:t xml:space="preserve">Download or print notes to PDF</w:t>
      </w:r>
    </w:p>
    <w:p>
      <w:pPr>
        <w:pStyle w:val="FirstParagraph"/>
      </w:pPr>
      <w:r>
        <w:t xml:space="preserve">If you’d like to export this presentation to a PDF, do the following in Chrome or Firefox:</w:t>
      </w:r>
    </w:p>
    <w:p>
      <w:pPr>
        <w:pStyle w:val="Compact"/>
        <w:numPr>
          <w:ilvl w:val="0"/>
          <w:numId w:val="1003"/>
        </w:numPr>
      </w:pPr>
      <w:r>
        <w:t xml:space="preserve">Toggle into Print View using the E key.</w:t>
      </w:r>
    </w:p>
    <w:p>
      <w:pPr>
        <w:pStyle w:val="Compact"/>
        <w:numPr>
          <w:ilvl w:val="0"/>
          <w:numId w:val="1003"/>
        </w:numPr>
      </w:pPr>
      <w:r>
        <w:t xml:space="preserve">Open the in-browser print dialog (CTRL/CMD+P)</w:t>
      </w:r>
    </w:p>
    <w:p>
      <w:pPr>
        <w:pStyle w:val="Compact"/>
        <w:numPr>
          <w:ilvl w:val="0"/>
          <w:numId w:val="1003"/>
        </w:numPr>
      </w:pPr>
      <w:r>
        <w:t xml:space="preserve">Change the Destination to Save as PDF.</w:t>
      </w:r>
    </w:p>
    <w:p>
      <w:pPr>
        <w:pStyle w:val="Compact"/>
        <w:numPr>
          <w:ilvl w:val="0"/>
          <w:numId w:val="1003"/>
        </w:numPr>
      </w:pPr>
      <w:r>
        <w:t xml:space="preserve">Change the Layout to Landscape.</w:t>
      </w:r>
    </w:p>
    <w:p>
      <w:pPr>
        <w:pStyle w:val="Compact"/>
        <w:numPr>
          <w:ilvl w:val="0"/>
          <w:numId w:val="1003"/>
        </w:numPr>
      </w:pPr>
      <w:r>
        <w:t xml:space="preserve">Change the Margins to None.</w:t>
      </w:r>
    </w:p>
    <w:p>
      <w:pPr>
        <w:pStyle w:val="Compact"/>
        <w:numPr>
          <w:ilvl w:val="0"/>
          <w:numId w:val="1003"/>
        </w:numPr>
      </w:pPr>
      <w:r>
        <w:t xml:space="preserve">Enable the Background graphics option.</w:t>
      </w:r>
    </w:p>
    <w:p>
      <w:pPr>
        <w:pStyle w:val="Compact"/>
        <w:numPr>
          <w:ilvl w:val="0"/>
          <w:numId w:val="1003"/>
        </w:numPr>
      </w:pPr>
      <w:r>
        <w:t xml:space="preserve">Click Save.</w:t>
      </w:r>
    </w:p>
    <w:bookmarkEnd w:id="11"/>
    <w:bookmarkStart w:id="12" w:name="download-or-print-notes-to-ipad"/>
    <w:p>
      <w:pPr>
        <w:pStyle w:val="Heading2"/>
      </w:pPr>
      <w:r>
        <w:t xml:space="preserve">Download or print notes to Ipad</w:t>
      </w:r>
    </w:p>
    <w:p>
      <w:pPr>
        <w:pStyle w:val="FirstParagraph"/>
      </w:pPr>
      <w:r>
        <w:t xml:space="preserve">If you’d like to export this presentation to a PDF, do the following:</w:t>
      </w:r>
    </w:p>
    <w:p>
      <w:pPr>
        <w:pStyle w:val="Compact"/>
        <w:numPr>
          <w:ilvl w:val="0"/>
          <w:numId w:val="1004"/>
        </w:numPr>
      </w:pPr>
      <w:r>
        <w:t xml:space="preserve">Open the slides in Safari from Canvas</w:t>
      </w:r>
    </w:p>
    <w:p>
      <w:pPr>
        <w:pStyle w:val="Compact"/>
        <w:numPr>
          <w:ilvl w:val="0"/>
          <w:numId w:val="1004"/>
        </w:numPr>
      </w:pPr>
      <w:r>
        <w:t xml:space="preserve">Tap the Share button</w:t>
      </w:r>
    </w:p>
    <w:p>
      <w:pPr>
        <w:pStyle w:val="Compact"/>
        <w:numPr>
          <w:ilvl w:val="0"/>
          <w:numId w:val="1004"/>
        </w:numPr>
      </w:pPr>
      <w:r>
        <w:t xml:space="preserve">Tap Options and select PDF</w:t>
      </w:r>
    </w:p>
    <w:p>
      <w:pPr>
        <w:pStyle w:val="Compact"/>
        <w:numPr>
          <w:ilvl w:val="0"/>
          <w:numId w:val="1004"/>
        </w:numPr>
      </w:pPr>
      <w:r>
        <w:t xml:space="preserve">Tap Print (this allows you to change the orientation)</w:t>
      </w:r>
    </w:p>
    <w:p>
      <w:pPr>
        <w:pStyle w:val="Compact"/>
        <w:numPr>
          <w:ilvl w:val="0"/>
          <w:numId w:val="1004"/>
        </w:numPr>
      </w:pPr>
      <w:r>
        <w:t xml:space="preserve">In the print preview, tap the Share button again to save the PDF to Files or another app.</w:t>
      </w:r>
    </w:p>
    <w:bookmarkEnd w:id="12"/>
    <w:bookmarkStart w:id="35" w:name="survey-results"/>
    <w:p>
      <w:pPr>
        <w:pStyle w:val="Heading1"/>
      </w:pPr>
      <w:r>
        <w:t xml:space="preserve">Survey results</w:t>
      </w:r>
    </w:p>
    <w:bookmarkStart w:id="13" w:name="tutoringoffice-hours"/>
    <w:p>
      <w:pPr>
        <w:pStyle w:val="Heading2"/>
      </w:pPr>
      <w:r>
        <w:t xml:space="preserve">Tutoring/Office Hours</w:t>
      </w:r>
    </w:p>
    <w:p>
      <w:pPr>
        <w:pStyle w:val="Compact"/>
        <w:numPr>
          <w:ilvl w:val="0"/>
          <w:numId w:val="1005"/>
        </w:numPr>
      </w:pPr>
      <w:r>
        <w:t xml:space="preserve">Interest in office hours</w:t>
      </w:r>
    </w:p>
    <w:p>
      <w:pPr>
        <w:pStyle w:val="Compact"/>
        <w:numPr>
          <w:ilvl w:val="1"/>
          <w:numId w:val="1006"/>
        </w:numPr>
      </w:pPr>
      <w:r>
        <w:t xml:space="preserve">Monday morning</w:t>
      </w:r>
    </w:p>
    <w:p>
      <w:pPr>
        <w:pStyle w:val="Compact"/>
        <w:numPr>
          <w:ilvl w:val="1"/>
          <w:numId w:val="1006"/>
        </w:numPr>
      </w:pPr>
      <w:r>
        <w:t xml:space="preserve">Monday afternoon</w:t>
      </w:r>
    </w:p>
    <w:p>
      <w:pPr>
        <w:pStyle w:val="Compact"/>
        <w:numPr>
          <w:ilvl w:val="1"/>
          <w:numId w:val="1006"/>
        </w:numPr>
      </w:pPr>
      <w:r>
        <w:t xml:space="preserve">Wednesday afternoon</w:t>
      </w:r>
    </w:p>
    <w:p>
      <w:pPr>
        <w:pStyle w:val="Compact"/>
        <w:numPr>
          <w:ilvl w:val="1"/>
          <w:numId w:val="1006"/>
        </w:numPr>
      </w:pPr>
      <w:r>
        <w:t xml:space="preserve">Friday afternoon</w:t>
      </w:r>
    </w:p>
    <w:p>
      <w:pPr>
        <w:pStyle w:val="Compact"/>
        <w:numPr>
          <w:ilvl w:val="0"/>
          <w:numId w:val="1005"/>
        </w:numPr>
      </w:pPr>
      <w:r>
        <w:t xml:space="preserve">Updated office hours will be posted to Canvas later today</w:t>
      </w:r>
    </w:p>
    <w:bookmarkEnd w:id="13"/>
    <w:bookmarkStart w:id="14" w:name="interests"/>
    <w:p>
      <w:pPr>
        <w:pStyle w:val="Heading2"/>
      </w:pPr>
      <w:r>
        <w:t xml:space="preserve">Interests</w:t>
      </w:r>
    </w:p>
    <w:p>
      <w:pPr>
        <w:pStyle w:val="Compact"/>
        <w:numPr>
          <w:ilvl w:val="0"/>
          <w:numId w:val="1007"/>
        </w:numPr>
      </w:pPr>
      <w:r>
        <w:t xml:space="preserve">clinical research, public health policy, social determinants of health, reproductive health, environmental engineering, environmental health, biotechnology, nutrition, global health, health equities, molecular genetics, implementation science, chemistry, health economics, social sciences, public health law, data science, biology, gut microbiome, computational ’omics, water and sanitation health, ecology, healthcare administration &amp; quality improvement, medicine, epidemiology, pediatrics, maternal health, sustainability, toxicology, physical therapy &amp; more!</w:t>
      </w:r>
    </w:p>
    <w:bookmarkEnd w:id="14"/>
    <w:bookmarkStart w:id="15" w:name="hopes"/>
    <w:p>
      <w:pPr>
        <w:pStyle w:val="Heading2"/>
      </w:pPr>
      <w:r>
        <w:t xml:space="preserve">Hopes</w:t>
      </w:r>
    </w:p>
    <w:p>
      <w:pPr>
        <w:pStyle w:val="Compact"/>
        <w:numPr>
          <w:ilvl w:val="0"/>
          <w:numId w:val="1008"/>
        </w:numPr>
      </w:pPr>
      <w:r>
        <w:t xml:space="preserve">Getting more comfortable and confident coding in R, what you can do with biostatistics, coding and biostatistics skills for your research projects here in Gillings and for your future careers, data visualization, data literacy, refine writing and data analysis skills, how to analyze + interpret data accurately, &amp; more</w:t>
      </w:r>
    </w:p>
    <w:bookmarkEnd w:id="15"/>
    <w:bookmarkStart w:id="16" w:name="r-supportive-learning"/>
    <w:p>
      <w:pPr>
        <w:pStyle w:val="Heading2"/>
      </w:pPr>
      <w:r>
        <w:t xml:space="preserve">R + supportive learning</w:t>
      </w:r>
    </w:p>
    <w:p>
      <w:pPr>
        <w:numPr>
          <w:ilvl w:val="0"/>
          <w:numId w:val="1009"/>
        </w:numPr>
      </w:pPr>
      <w:r>
        <w:t xml:space="preserve">R experience: Mostly never used R before! Many beginners, a few with more experience</w:t>
      </w:r>
    </w:p>
    <w:p>
      <w:pPr>
        <w:numPr>
          <w:ilvl w:val="0"/>
          <w:numId w:val="1009"/>
        </w:numPr>
      </w:pPr>
      <w:r>
        <w:t xml:space="preserve">What supports learning: step-by-step examples + independent practice, working in groups, hands-on coding, visuals, video recordings, repetition, practice problems, slides with photos + fun examples, examples in class that reflect the lab</w:t>
      </w:r>
    </w:p>
    <w:p>
      <w:pPr>
        <w:numPr>
          <w:ilvl w:val="0"/>
          <w:numId w:val="1009"/>
        </w:numPr>
      </w:pPr>
      <w:r>
        <w:t xml:space="preserve">Many shared being nervous about coding and learning statistics in general. That’s okay - we are here to support you!</w:t>
      </w:r>
    </w:p>
    <w:p>
      <w:pPr>
        <w:numPr>
          <w:ilvl w:val="0"/>
          <w:numId w:val="1009"/>
        </w:numPr>
      </w:pPr>
      <w:r>
        <w:t xml:space="preserve">Remember you can post a question at any time on Ed Discussion. You can even post anonymously. The teaching team is here to help.</w:t>
      </w:r>
    </w:p>
    <w:bookmarkEnd w:id="16"/>
    <w:bookmarkStart w:id="20" w:name="review-from-last-time"/>
    <w:p>
      <w:pPr>
        <w:pStyle w:val="Heading2"/>
      </w:pPr>
      <w:r>
        <w:t xml:space="preserve">Review from last time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RStudio.app/Contents/Resources/app/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Populations and samples</w:t>
            </w:r>
          </w:p>
        </w:tc>
      </w:tr>
      <w:tr>
        <w:trPr>
          <w:cantSplit/>
        </w:trPr>
        <w:tc>
          <w:tcPr>
            <w:tcMar>
              <w:top w:w="108" w:type="dxa"/>
              <w:bottom w:w="108" w:type="dxa"/>
            </w:tcMar>
          </w:tcPr>
          <w:p>
            <w:pPr>
              <w:pStyle w:val="BodyText"/>
            </w:pPr>
            <w:pPr>
              <w:spacing w:before="16"/>
            </w:pPr>
            <w:r>
              <w:t xml:space="preserve">Consider the following research questions:</w:t>
            </w:r>
          </w:p>
          <w:p>
            <w:pPr>
              <w:pStyle w:val="Compact"/>
              <w:numPr>
                <w:ilvl w:val="0"/>
                <w:numId w:val="1010"/>
              </w:numPr>
            </w:pPr>
            <w:r>
              <w:t xml:space="preserve">What is the average mercury content in swordfish in the Atlantic Ocean?</w:t>
            </w:r>
          </w:p>
          <w:p>
            <w:pPr>
              <w:pStyle w:val="Compact"/>
              <w:numPr>
                <w:ilvl w:val="0"/>
                <w:numId w:val="1010"/>
              </w:numPr>
            </w:pPr>
            <w:r>
              <w:t xml:space="preserve">Over the last five years, what is the average time to complete a degree for UNC undergrads?</w:t>
            </w:r>
          </w:p>
          <w:p>
            <w:pPr>
              <w:pStyle w:val="Compact"/>
              <w:numPr>
                <w:ilvl w:val="0"/>
                <w:numId w:val="1010"/>
              </w:numPr>
            </w:pPr>
            <w:r>
              <w:t xml:space="preserve">Does a new drug reduce the number of deaths in patients with severe heart disease?</w:t>
            </w:r>
          </w:p>
          <w:p>
            <w:pPr>
              <w:pStyle w:val="FirstParagraph"/>
            </w:pPr>
            <w:pPr>
              <w:spacing w:after="16"/>
            </w:pPr>
            <w:r>
              <w:t xml:space="preserve">In small groups, identify the target population and what represents an individual case for each of the questions above.</w:t>
            </w:r>
          </w:p>
          <w:p/>
        </w:tc>
      </w:tr>
    </w:tbl>
    <w:bookmarkEnd w:id="20"/>
    <w:bookmarkStart w:id="21" w:name="exploratory-data-analysis-eda"/>
    <w:p>
      <w:pPr>
        <w:pStyle w:val="Heading2"/>
      </w:pPr>
      <w:r>
        <w:t xml:space="preserve">Exploratory data analysis (EDA)</w:t>
      </w:r>
    </w:p>
    <w:p>
      <w:pPr>
        <w:pStyle w:val="Compact"/>
        <w:numPr>
          <w:ilvl w:val="0"/>
          <w:numId w:val="1011"/>
        </w:numPr>
      </w:pPr>
      <w:r>
        <w:t xml:space="preserve">Initial data analysis approach that summarizes main characteristics of dataset</w:t>
      </w:r>
    </w:p>
    <w:p>
      <w:pPr>
        <w:pStyle w:val="Compact"/>
        <w:numPr>
          <w:ilvl w:val="0"/>
          <w:numId w:val="1011"/>
        </w:numPr>
      </w:pPr>
      <w:r>
        <w:t xml:space="preserve">Often visual or in the form of basic summary statistics</w:t>
      </w:r>
    </w:p>
    <w:bookmarkEnd w:id="21"/>
    <w:bookmarkStart w:id="22" w:name="data-visualization"/>
    <w:p>
      <w:pPr>
        <w:pStyle w:val="Heading2"/>
      </w:pPr>
      <w:r>
        <w:t xml:space="preserve">Data visualization</w:t>
      </w:r>
    </w:p>
    <w:p>
      <w:pPr>
        <w:pStyle w:val="Compact"/>
        <w:numPr>
          <w:ilvl w:val="0"/>
          <w:numId w:val="1012"/>
        </w:numPr>
      </w:pPr>
      <w:r>
        <w:t xml:space="preserve">The creation and study of the visual representation of data</w:t>
      </w:r>
    </w:p>
    <w:p>
      <w:pPr>
        <w:pStyle w:val="Compact"/>
        <w:numPr>
          <w:ilvl w:val="0"/>
          <w:numId w:val="1012"/>
        </w:numPr>
      </w:pPr>
      <w:r>
        <w:t xml:space="preserve">Many tools available (R is popular; many systems within R for data visualization)</w:t>
      </w:r>
    </w:p>
    <w:p>
      <w:pPr>
        <w:pStyle w:val="Compact"/>
        <w:numPr>
          <w:ilvl w:val="0"/>
          <w:numId w:val="1012"/>
        </w:numPr>
      </w:pPr>
      <w:r>
        <w:t xml:space="preserve">Creating visualizations helps us see patterns and identify potential data quality issues</w:t>
      </w:r>
    </w:p>
    <w:p>
      <w:pPr>
        <w:pStyle w:val="Compact"/>
        <w:numPr>
          <w:ilvl w:val="0"/>
          <w:numId w:val="1012"/>
        </w:numPr>
      </w:pPr>
      <w:r>
        <w:t xml:space="preserve">We will focus on</w:t>
      </w:r>
      <w:r>
        <w:t xml:space="preserve"> </w:t>
      </w:r>
      <w:r>
        <w:rPr>
          <w:b/>
          <w:bCs/>
        </w:rPr>
        <w:t xml:space="preserve">ggplot2</w:t>
      </w:r>
      <w:r>
        <w:t xml:space="preserve">, a component of the</w:t>
      </w:r>
      <w:r>
        <w:t xml:space="preserve"> </w:t>
      </w:r>
      <w:r>
        <w:rPr>
          <w:b/>
          <w:bCs/>
        </w:rPr>
        <w:t xml:space="preserve">tidyverse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after="16"/>
            </w:pPr>
            <w:r>
              <w:t xml:space="preserve">“The simple graph has brought more information to the data analyst’s mind than any other device.”</w:t>
            </w:r>
            <w:r>
              <w:t xml:space="preserve"> </w:t>
            </w:r>
            <w:r>
              <w:t xml:space="preserve">- John Tukey</w:t>
            </w:r>
          </w:p>
        </w:tc>
      </w:tr>
    </w:tbl>
    <w:bookmarkEnd w:id="22"/>
    <w:bookmarkStart w:id="29" w:name="ggplot2-in-tidyverse"/>
    <w:p>
      <w:pPr>
        <w:pStyle w:val="Heading2"/>
      </w:pPr>
      <w:r>
        <w:t xml:space="preserve">ggplot2 in tidyverse</w:t>
      </w:r>
    </w:p>
    <w:p>
      <w:pPr>
        <w:pStyle w:val="Compact"/>
        <w:numPr>
          <w:ilvl w:val="0"/>
          <w:numId w:val="1013"/>
        </w:numPr>
      </w:pPr>
      <w:r>
        <w:t xml:space="preserve">The tidyverse is a group of R packages designed for data science</w:t>
      </w:r>
    </w:p>
    <w:p>
      <w:pPr>
        <w:pStyle w:val="Compact"/>
        <w:numPr>
          <w:ilvl w:val="0"/>
          <w:numId w:val="1013"/>
        </w:numPr>
      </w:pPr>
      <w:r>
        <w:t xml:space="preserve">All tidyverse packages share an underlying design philosophy</w:t>
      </w:r>
    </w:p>
    <w:p>
      <w:pPr>
        <w:pStyle w:val="Compact"/>
        <w:numPr>
          <w:ilvl w:val="0"/>
          <w:numId w:val="1013"/>
        </w:numPr>
      </w:pPr>
      <w:r>
        <w:t xml:space="preserve">ggplot2 is the data visualization package in the tidyverse</w:t>
      </w:r>
    </w:p>
    <w:p>
      <w:pPr>
        <w:pStyle w:val="Compact"/>
        <w:numPr>
          <w:ilvl w:val="0"/>
          <w:numId w:val="1013"/>
        </w:numPr>
      </w:pPr>
      <w:r>
        <w:t xml:space="preserve">Inspired by</w:t>
      </w:r>
      <w:r>
        <w:t xml:space="preserve"> </w:t>
      </w:r>
      <w:r>
        <w:rPr>
          <w:i/>
          <w:iCs/>
        </w:rPr>
        <w:t xml:space="preserve">The Grammar of Graphics</w:t>
      </w:r>
      <w:r>
        <w:t xml:space="preserve"> </w:t>
      </w:r>
      <w:r>
        <w:t xml:space="preserve">(Wilkinson)</w:t>
      </w:r>
    </w:p>
    <w:p>
      <w:pPr>
        <w:pStyle w:val="FirstParagraph"/>
      </w:pPr>
      <w:r>
        <w:drawing>
          <wp:inline>
            <wp:extent cx="3746500" cy="2171700"/>
            <wp:effectExtent b="0" l="0" r="0" t="0"/>
            <wp:docPr descr="" title="" id="24" name="Picture"/>
            <a:graphic>
              <a:graphicData uri="http://schemas.openxmlformats.org/drawingml/2006/picture">
                <pic:pic>
                  <pic:nvPicPr>
                    <pic:cNvPr descr="images/lec-2/gg.png" id="25" name="Picture"/>
                    <pic:cNvPicPr>
                      <a:picLocks noChangeArrowheads="1" noChangeAspect="1"/>
                    </pic:cNvPicPr>
                  </pic:nvPicPr>
                  <pic:blipFill>
                    <a:blip r:embed="rId23"/>
                    <a:stretch>
                      <a:fillRect/>
                    </a:stretch>
                  </pic:blipFill>
                  <pic:spPr bwMode="auto">
                    <a:xfrm>
                      <a:off x="0" y="0"/>
                      <a:ext cx="3746500" cy="2171700"/>
                    </a:xfrm>
                    <a:prstGeom prst="rect">
                      <a:avLst/>
                    </a:prstGeom>
                    <a:noFill/>
                    <a:ln w="9525">
                      <a:noFill/>
                      <a:headEnd/>
                      <a:tailEnd/>
                    </a:ln>
                  </pic:spPr>
                </pic:pic>
              </a:graphicData>
            </a:graphic>
          </wp:inline>
        </w:drawing>
      </w:r>
    </w:p>
    <w:p>
      <w:pPr>
        <w:pStyle w:val="BodyText"/>
      </w:pPr>
      <w:r>
        <w:drawing>
          <wp:inline>
            <wp:extent cx="5334000" cy="6790812"/>
            <wp:effectExtent b="0" l="0" r="0" t="0"/>
            <wp:docPr descr="" title="" id="27" name="Picture"/>
            <a:graphic>
              <a:graphicData uri="http://schemas.openxmlformats.org/drawingml/2006/picture">
                <pic:pic>
                  <pic:nvPicPr>
                    <pic:cNvPr descr="images/lec-2/ggplot2.png" id="28" name="Picture"/>
                    <pic:cNvPicPr>
                      <a:picLocks noChangeArrowheads="1" noChangeAspect="1"/>
                    </pic:cNvPicPr>
                  </pic:nvPicPr>
                  <pic:blipFill>
                    <a:blip r:embed="rId26"/>
                    <a:stretch>
                      <a:fillRect/>
                    </a:stretch>
                  </pic:blipFill>
                  <pic:spPr bwMode="auto">
                    <a:xfrm>
                      <a:off x="0" y="0"/>
                      <a:ext cx="5334000" cy="6790812"/>
                    </a:xfrm>
                    <a:prstGeom prst="rect">
                      <a:avLst/>
                    </a:prstGeom>
                    <a:noFill/>
                    <a:ln w="9525">
                      <a:noFill/>
                      <a:headEnd/>
                      <a:tailEnd/>
                    </a:ln>
                  </pic:spPr>
                </pic:pic>
              </a:graphicData>
            </a:graphic>
          </wp:inline>
        </w:drawing>
      </w:r>
    </w:p>
    <w:bookmarkEnd w:id="29"/>
    <w:bookmarkStart w:id="33" w:name="what-is-a-grammar-of-graphics"/>
    <w:p>
      <w:pPr>
        <w:pStyle w:val="Heading2"/>
      </w:pPr>
      <w:r>
        <w:t xml:space="preserve">What is a Grammar of Graphics?</w:t>
      </w:r>
    </w:p>
    <w:p>
      <w:pPr>
        <w:pStyle w:val="Compact"/>
        <w:numPr>
          <w:ilvl w:val="0"/>
          <w:numId w:val="1014"/>
        </w:numPr>
      </w:pPr>
      <w:r>
        <w:t xml:space="preserve">A system allowing for concise description of graphical components</w:t>
      </w:r>
    </w:p>
    <w:p>
      <w:pPr>
        <w:pStyle w:val="FirstParagraph"/>
      </w:pPr>
      <w:r>
        <w:drawing>
          <wp:inline>
            <wp:extent cx="2857500" cy="2128621"/>
            <wp:effectExtent b="0" l="0" r="0" t="0"/>
            <wp:docPr descr="" title="" id="31" name="Picture"/>
            <a:graphic>
              <a:graphicData uri="http://schemas.openxmlformats.org/drawingml/2006/picture">
                <pic:pic>
                  <pic:nvPicPr>
                    <pic:cNvPr descr="images/lec-2/gg2.png" id="32" name="Picture"/>
                    <pic:cNvPicPr>
                      <a:picLocks noChangeArrowheads="1" noChangeAspect="1"/>
                    </pic:cNvPicPr>
                  </pic:nvPicPr>
                  <pic:blipFill>
                    <a:blip r:embed="rId30"/>
                    <a:stretch>
                      <a:fillRect/>
                    </a:stretch>
                  </pic:blipFill>
                  <pic:spPr bwMode="auto">
                    <a:xfrm>
                      <a:off x="0" y="0"/>
                      <a:ext cx="2857500" cy="2128621"/>
                    </a:xfrm>
                    <a:prstGeom prst="rect">
                      <a:avLst/>
                    </a:prstGeom>
                    <a:noFill/>
                    <a:ln w="9525">
                      <a:noFill/>
                      <a:headEnd/>
                      <a:tailEnd/>
                    </a:ln>
                  </pic:spPr>
                </pic:pic>
              </a:graphicData>
            </a:graphic>
          </wp:inline>
        </w:drawing>
      </w:r>
    </w:p>
    <w:bookmarkEnd w:id="33"/>
    <w:bookmarkStart w:id="34" w:name="what-is-a-grammar-of-graphics-1"/>
    <w:p>
      <w:pPr>
        <w:pStyle w:val="Heading2"/>
      </w:pPr>
      <w:r>
        <w:t xml:space="preserve">What is a Grammar of Graphics?</w:t>
      </w:r>
    </w:p>
    <w:p>
      <w:pPr>
        <w:pStyle w:val="FirstParagraph"/>
      </w:pPr>
      <w:r>
        <w:t xml:space="preserve">A statistical graphic is</w:t>
      </w:r>
    </w:p>
    <w:p>
      <w:pPr>
        <w:pStyle w:val="Compact"/>
        <w:numPr>
          <w:ilvl w:val="0"/>
          <w:numId w:val="1015"/>
        </w:numPr>
      </w:pPr>
      <w:r>
        <w:t xml:space="preserve">data (which may be statistically summarized or transformed)</w:t>
      </w:r>
    </w:p>
    <w:p>
      <w:pPr>
        <w:pStyle w:val="Compact"/>
        <w:numPr>
          <w:ilvl w:val="0"/>
          <w:numId w:val="1015"/>
        </w:numPr>
      </w:pPr>
      <w:r>
        <w:rPr>
          <w:b/>
          <w:bCs/>
        </w:rPr>
        <w:t xml:space="preserve">mapped</w:t>
      </w:r>
      <w:r>
        <w:t xml:space="preserve"> </w:t>
      </w:r>
      <w:r>
        <w:t xml:space="preserve">to</w:t>
      </w:r>
      <w:r>
        <w:t xml:space="preserve"> </w:t>
      </w:r>
      <w:r>
        <w:rPr>
          <w:b/>
          <w:bCs/>
        </w:rPr>
        <w:t xml:space="preserve">aesthetic</w:t>
      </w:r>
      <w:r>
        <w:t xml:space="preserve"> </w:t>
      </w:r>
      <w:r>
        <w:t xml:space="preserve">attributes (color, size, xy-position, etc.)</w:t>
      </w:r>
    </w:p>
    <w:p>
      <w:pPr>
        <w:pStyle w:val="Compact"/>
        <w:numPr>
          <w:ilvl w:val="0"/>
          <w:numId w:val="1015"/>
        </w:numPr>
      </w:pPr>
      <w:r>
        <w:t xml:space="preserve">using</w:t>
      </w:r>
      <w:r>
        <w:t xml:space="preserve"> </w:t>
      </w:r>
      <w:r>
        <w:rPr>
          <w:b/>
          <w:bCs/>
        </w:rPr>
        <w:t xml:space="preserve">geometries</w:t>
      </w:r>
      <w:r>
        <w:t xml:space="preserve"> </w:t>
      </w:r>
      <w:r>
        <w:t xml:space="preserve">(points, lines, bars, etc.)</w:t>
      </w:r>
    </w:p>
    <w:p>
      <w:pPr>
        <w:pStyle w:val="Compact"/>
        <w:numPr>
          <w:ilvl w:val="0"/>
          <w:numId w:val="1015"/>
        </w:numPr>
      </w:pPr>
      <w:r>
        <w:t xml:space="preserve">mapped onto a specific</w:t>
      </w:r>
      <w:r>
        <w:t xml:space="preserve"> </w:t>
      </w:r>
      <w:r>
        <w:rPr>
          <w:b/>
          <w:bCs/>
        </w:rPr>
        <w:t xml:space="preserve">coordinate</w:t>
      </w:r>
      <w:r>
        <w:t xml:space="preserve"> </w:t>
      </w:r>
      <w:r>
        <w:t xml:space="preserve">and/or</w:t>
      </w:r>
      <w:r>
        <w:t xml:space="preserve"> </w:t>
      </w:r>
      <w:r>
        <w:rPr>
          <w:b/>
          <w:bCs/>
        </w:rPr>
        <w:t xml:space="preserve">facet</w:t>
      </w:r>
      <w:r>
        <w:t xml:space="preserve"> </w:t>
      </w:r>
      <w:r>
        <w:t xml:space="preserve">system</w:t>
      </w:r>
    </w:p>
    <w:bookmarkEnd w:id="34"/>
    <w:bookmarkEnd w:id="35"/>
    <w:bookmarkStart w:id="79" w:name="types-of-data"/>
    <w:p>
      <w:pPr>
        <w:pStyle w:val="Heading1"/>
      </w:pPr>
      <w:r>
        <w:t xml:space="preserve">Types of data</w:t>
      </w:r>
    </w:p>
    <w:bookmarkStart w:id="36" w:name="categorical-data"/>
    <w:p>
      <w:pPr>
        <w:pStyle w:val="Heading2"/>
      </w:pPr>
      <w:r>
        <w:t xml:space="preserve">Categorical data</w:t>
      </w:r>
    </w:p>
    <w:p>
      <w:pPr>
        <w:pStyle w:val="FirstParagraph"/>
      </w:pPr>
      <w:r>
        <w:rPr>
          <w:b/>
          <w:bCs/>
        </w:rPr>
        <w:t xml:space="preserve">Nominal data</w:t>
      </w:r>
    </w:p>
    <w:p>
      <w:pPr>
        <w:pStyle w:val="Compact"/>
        <w:numPr>
          <w:ilvl w:val="0"/>
          <w:numId w:val="1016"/>
        </w:numPr>
      </w:pPr>
      <w:r>
        <w:t xml:space="preserve">Named categories without numeric meaning</w:t>
      </w:r>
    </w:p>
    <w:p>
      <w:pPr>
        <w:pStyle w:val="Compact"/>
        <w:numPr>
          <w:ilvl w:val="0"/>
          <w:numId w:val="1016"/>
        </w:numPr>
      </w:pPr>
      <w:r>
        <w:t xml:space="preserve">Ex: Only two categories: binary or dichotomous</w:t>
      </w:r>
    </w:p>
    <w:p>
      <w:pPr>
        <w:pStyle w:val="Compact"/>
        <w:numPr>
          <w:ilvl w:val="0"/>
          <w:numId w:val="1016"/>
        </w:numPr>
      </w:pPr>
      <w:r>
        <w:t xml:space="preserve">Ex: breast cancer status, blood type, health insurance provider type, etc.</w:t>
      </w:r>
    </w:p>
    <w:p>
      <w:pPr>
        <w:pStyle w:val="FirstParagraph"/>
      </w:pPr>
      <w:r>
        <w:rPr>
          <w:b/>
          <w:bCs/>
        </w:rPr>
        <w:t xml:space="preserve">Ordinal data</w:t>
      </w:r>
    </w:p>
    <w:p>
      <w:pPr>
        <w:pStyle w:val="Compact"/>
        <w:numPr>
          <w:ilvl w:val="0"/>
          <w:numId w:val="1017"/>
        </w:numPr>
      </w:pPr>
      <w:r>
        <w:t xml:space="preserve">Ordered categories, but differences between values not easily measured</w:t>
      </w:r>
    </w:p>
    <w:p>
      <w:pPr>
        <w:pStyle w:val="Compact"/>
        <w:numPr>
          <w:ilvl w:val="0"/>
          <w:numId w:val="1017"/>
        </w:numPr>
      </w:pPr>
      <w:r>
        <w:t xml:space="preserve">Relative comparisons made about differences between levels</w:t>
      </w:r>
    </w:p>
    <w:p>
      <w:pPr>
        <w:pStyle w:val="Compact"/>
        <w:numPr>
          <w:ilvl w:val="0"/>
          <w:numId w:val="1017"/>
        </w:numPr>
      </w:pPr>
      <w:r>
        <w:t xml:space="preserve">Stage of colon cancer, Likert scale, frequency of smoking (often, sometimes, rarely, never), etc.</w:t>
      </w:r>
    </w:p>
    <w:bookmarkEnd w:id="36"/>
    <w:bookmarkStart w:id="37" w:name="numerical-data"/>
    <w:p>
      <w:pPr>
        <w:pStyle w:val="Heading2"/>
      </w:pPr>
      <w:r>
        <w:t xml:space="preserve">Numerical data</w:t>
      </w:r>
    </w:p>
    <w:p>
      <w:pPr>
        <w:pStyle w:val="FirstParagraph"/>
      </w:pPr>
      <w:r>
        <w:rPr>
          <w:b/>
          <w:bCs/>
        </w:rPr>
        <w:t xml:space="preserve">Count</w:t>
      </w:r>
      <w:r>
        <w:t xml:space="preserve"> </w:t>
      </w:r>
      <w:r>
        <w:t xml:space="preserve">or</w:t>
      </w:r>
      <w:r>
        <w:t xml:space="preserve"> </w:t>
      </w:r>
      <w:r>
        <w:rPr>
          <w:b/>
          <w:bCs/>
        </w:rPr>
        <w:t xml:space="preserve">rank</w:t>
      </w:r>
      <w:r>
        <w:t xml:space="preserve"> </w:t>
      </w:r>
      <w:r>
        <w:t xml:space="preserve">data</w:t>
      </w:r>
    </w:p>
    <w:p>
      <w:pPr>
        <w:pStyle w:val="Compact"/>
        <w:numPr>
          <w:ilvl w:val="0"/>
          <w:numId w:val="1018"/>
        </w:numPr>
      </w:pPr>
      <w:r>
        <w:t xml:space="preserve">Discrete counts or ranks.</w:t>
      </w:r>
    </w:p>
    <w:p>
      <w:pPr>
        <w:pStyle w:val="Compact"/>
        <w:numPr>
          <w:ilvl w:val="0"/>
          <w:numId w:val="1018"/>
        </w:numPr>
      </w:pPr>
      <w:r>
        <w:t xml:space="preserve">Number of alcoholic drinks consumed in the past week, numerical rank of cancers by mortality, etc.</w:t>
      </w:r>
    </w:p>
    <w:p>
      <w:pPr>
        <w:pStyle w:val="FirstParagraph"/>
      </w:pPr>
      <w:r>
        <w:rPr>
          <w:b/>
          <w:bCs/>
        </w:rPr>
        <w:t xml:space="preserve">Continuous data</w:t>
      </w:r>
    </w:p>
    <w:p>
      <w:pPr>
        <w:pStyle w:val="Compact"/>
        <w:numPr>
          <w:ilvl w:val="0"/>
          <w:numId w:val="1019"/>
        </w:numPr>
      </w:pPr>
      <w:r>
        <w:t xml:space="preserve">Measurable quantities where difference between possible values can be arbitrarily small</w:t>
      </w:r>
    </w:p>
    <w:p>
      <w:pPr>
        <w:pStyle w:val="Compact"/>
        <w:numPr>
          <w:ilvl w:val="0"/>
          <w:numId w:val="1019"/>
        </w:numPr>
      </w:pPr>
      <w:r>
        <w:t xml:space="preserve">Data may lie within a range or be unbounded</w:t>
      </w:r>
    </w:p>
    <w:p>
      <w:pPr>
        <w:pStyle w:val="Compact"/>
        <w:numPr>
          <w:ilvl w:val="0"/>
          <w:numId w:val="1019"/>
        </w:numPr>
      </w:pPr>
      <w:r>
        <w:t xml:space="preserve">Birth weight, BMI, ppm ozone, etc.</w:t>
      </w:r>
    </w:p>
    <w:bookmarkEnd w:id="37"/>
    <w:bookmarkStart w:id="41" w:name="identifying-data-types"/>
    <w:p>
      <w:pPr>
        <w:pStyle w:val="Heading2"/>
      </w:pPr>
      <w:r>
        <w:t xml:space="preserve">Identifying data types</w:t>
      </w:r>
    </w:p>
    <w:p>
      <w:pPr>
        <w:pStyle w:val="FirstParagraph"/>
      </w:pPr>
      <w:r>
        <w:drawing>
          <wp:inline>
            <wp:extent cx="3810000" cy="2706608"/>
            <wp:effectExtent b="0" l="0" r="0" t="0"/>
            <wp:docPr descr="" title="" id="39" name="Picture"/>
            <a:graphic>
              <a:graphicData uri="http://schemas.openxmlformats.org/drawingml/2006/picture">
                <pic:pic>
                  <pic:nvPicPr>
                    <pic:cNvPr descr="images/lec-2/tab1.PNG" id="40" name="Picture"/>
                    <pic:cNvPicPr>
                      <a:picLocks noChangeArrowheads="1" noChangeAspect="1"/>
                    </pic:cNvPicPr>
                  </pic:nvPicPr>
                  <pic:blipFill>
                    <a:blip r:embed="rId38"/>
                    <a:stretch>
                      <a:fillRect/>
                    </a:stretch>
                  </pic:blipFill>
                  <pic:spPr bwMode="auto">
                    <a:xfrm>
                      <a:off x="0" y="0"/>
                      <a:ext cx="3810000" cy="2706608"/>
                    </a:xfrm>
                    <a:prstGeom prst="rect">
                      <a:avLst/>
                    </a:prstGeom>
                    <a:noFill/>
                    <a:ln w="9525">
                      <a:noFill/>
                      <a:headEnd/>
                      <a:tailEnd/>
                    </a:ln>
                  </pic:spPr>
                </pic:pic>
              </a:graphicData>
            </a:graphic>
          </wp:inline>
        </w:drawing>
      </w:r>
    </w:p>
    <w:bookmarkEnd w:id="41"/>
    <w:bookmarkStart w:id="44" w:name="identifying-data-types-1"/>
    <w:p>
      <w:pPr>
        <w:pStyle w:val="Heading2"/>
      </w:pPr>
      <w:r>
        <w:t xml:space="preserve">Identifying data types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RStudio.app/Contents/Resources/app/quarto/share/formats/docx/tip.png" id="43"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 small groups, discuss the following:</w:t>
            </w:r>
          </w:p>
        </w:tc>
      </w:tr>
      <w:tr>
        <w:trPr>
          <w:cantSplit/>
        </w:trPr>
        <w:tc>
          <w:tcPr>
            <w:tcMar>
              <w:top w:w="108" w:type="dxa"/>
              <w:bottom w:w="108" w:type="dxa"/>
            </w:tcMar>
          </w:tcPr>
          <w:p>
            <w:pPr>
              <w:pStyle w:val="BodyText"/>
            </w:pPr>
            <w:pPr>
              <w:spacing w:before="16"/>
            </w:pPr>
            <w:r>
              <w:t xml:space="preserve">According to the table on the previous slide, what kind of data types are the following variables?</w:t>
            </w:r>
          </w:p>
          <w:p>
            <w:pPr>
              <w:pStyle w:val="Compact"/>
              <w:numPr>
                <w:ilvl w:val="0"/>
                <w:numId w:val="1020"/>
              </w:numPr>
            </w:pPr>
            <w:r>
              <w:t xml:space="preserve">Age</w:t>
            </w:r>
          </w:p>
          <w:p>
            <w:pPr>
              <w:pStyle w:val="Compact"/>
              <w:numPr>
                <w:ilvl w:val="0"/>
                <w:numId w:val="1020"/>
              </w:numPr>
            </w:pPr>
            <w:r>
              <w:t xml:space="preserve">Female</w:t>
            </w:r>
          </w:p>
          <w:p>
            <w:pPr>
              <w:pStyle w:val="Compact"/>
              <w:numPr>
                <w:ilvl w:val="0"/>
                <w:numId w:val="1020"/>
              </w:numPr>
            </w:pPr>
            <w:r>
              <w:t xml:space="preserve">Education</w:t>
            </w:r>
          </w:p>
          <w:p>
            <w:pPr>
              <w:pStyle w:val="Compact"/>
              <w:numPr>
                <w:ilvl w:val="0"/>
                <w:numId w:val="1020"/>
              </w:numPr>
            </w:pPr>
            <w:r>
              <w:t xml:space="preserve">Hemoglobin A1c</w:t>
            </w:r>
          </w:p>
          <w:p>
            <w:pPr>
              <w:pStyle w:val="Compact"/>
              <w:numPr>
                <w:ilvl w:val="0"/>
                <w:numId w:val="1020"/>
              </w:numPr>
            </w:pPr>
            <w:r>
              <w:t xml:space="preserve">Current smoking</w:t>
            </w:r>
          </w:p>
          <w:p/>
        </w:tc>
      </w:tr>
    </w:tbl>
    <w:p>
      <w:pPr>
        <w:pStyle w:val="FirstParagraph"/>
      </w:pPr>
      <w:r>
        <w:t xml:space="preserve">Use the convention</w:t>
      </w:r>
      <w:r>
        <w:t xml:space="preserve"> </w:t>
      </w:r>
      <w:r>
        <w:t xml:space="preserve">“Numerical; continuous”</w:t>
      </w:r>
      <w:r>
        <w:t xml:space="preserve"> </w:t>
      </w:r>
      <w:r>
        <w:t xml:space="preserve">or</w:t>
      </w:r>
      <w:r>
        <w:t xml:space="preserve"> </w:t>
      </w:r>
      <w:r>
        <w:t xml:space="preserve">“Categorical; Ordinal”</w:t>
      </w:r>
      <w:r>
        <w:t xml:space="preserve">, etc.</w:t>
      </w:r>
    </w:p>
    <w:bookmarkEnd w:id="44"/>
    <w:bookmarkStart w:id="45" w:name="complications"/>
    <w:p>
      <w:pPr>
        <w:pStyle w:val="Heading2"/>
      </w:pPr>
      <w:r>
        <w:t xml:space="preserve">Complications</w:t>
      </w:r>
    </w:p>
    <w:p>
      <w:pPr>
        <w:pStyle w:val="FirstParagraph"/>
      </w:pPr>
      <w:r>
        <w:t xml:space="preserve">In designing a study, what variable should we use for smoking exposure?</w:t>
      </w:r>
    </w:p>
    <w:p>
      <w:pPr>
        <w:pStyle w:val="Compact"/>
        <w:numPr>
          <w:ilvl w:val="0"/>
          <w:numId w:val="1021"/>
        </w:numPr>
      </w:pPr>
      <w:r>
        <w:t xml:space="preserve">Binary variable yes/no?</w:t>
      </w:r>
    </w:p>
    <w:p>
      <w:pPr>
        <w:pStyle w:val="Compact"/>
        <w:numPr>
          <w:ilvl w:val="0"/>
          <w:numId w:val="1021"/>
        </w:numPr>
      </w:pPr>
      <w:r>
        <w:t xml:space="preserve">Ordinal current/former/never smoker?</w:t>
      </w:r>
    </w:p>
    <w:p>
      <w:pPr>
        <w:pStyle w:val="Compact"/>
        <w:numPr>
          <w:ilvl w:val="0"/>
          <w:numId w:val="1021"/>
        </w:numPr>
      </w:pPr>
      <w:r>
        <w:t xml:space="preserve">Discrete number of cigarettes smoked in past week?</w:t>
      </w:r>
    </w:p>
    <w:p>
      <w:pPr>
        <w:pStyle w:val="Compact"/>
        <w:numPr>
          <w:ilvl w:val="0"/>
          <w:numId w:val="1021"/>
        </w:numPr>
      </w:pPr>
      <w:r>
        <w:t xml:space="preserve">Continuous measurement of lifetime pack-years?</w:t>
      </w:r>
    </w:p>
    <w:p>
      <w:pPr>
        <w:pStyle w:val="FirstParagraph"/>
      </w:pPr>
      <w:r>
        <w:t xml:space="preserve">In the real world, decisions are made based on sample size, statistical power, likelihood of measurement error, or simply convenience (this happens a lot!)</w:t>
      </w:r>
    </w:p>
    <w:bookmarkEnd w:id="45"/>
    <w:bookmarkStart w:id="46" w:name="visualizing-cdc-data"/>
    <w:p>
      <w:pPr>
        <w:pStyle w:val="Heading2"/>
      </w:pPr>
      <w:r>
        <w:t xml:space="preserve">Visualizing CDC data</w:t>
      </w:r>
    </w:p>
    <w:p>
      <w:pPr>
        <w:pStyle w:val="FirstParagraph"/>
      </w:pPr>
      <w:r>
        <w:t xml:space="preserve">Let’s take a look at some basic visualizations using state-level data collected by the Center for Disease Control (CDC). We’ll examine the following variables:</w:t>
      </w:r>
    </w:p>
    <w:p>
      <w:pPr>
        <w:pStyle w:val="Compact"/>
        <w:numPr>
          <w:ilvl w:val="0"/>
          <w:numId w:val="1022"/>
        </w:numPr>
      </w:pPr>
      <w:r>
        <w:t xml:space="preserve">State (categorical; nominal)</w:t>
      </w:r>
    </w:p>
    <w:p>
      <w:pPr>
        <w:pStyle w:val="Compact"/>
        <w:numPr>
          <w:ilvl w:val="0"/>
          <w:numId w:val="1022"/>
        </w:numPr>
      </w:pPr>
      <w:r>
        <w:t xml:space="preserve">Human Development Index (HDI) (categorical; ordinal)</w:t>
      </w:r>
    </w:p>
    <w:p>
      <w:pPr>
        <w:pStyle w:val="Compact"/>
        <w:numPr>
          <w:ilvl w:val="1"/>
          <w:numId w:val="1023"/>
        </w:numPr>
      </w:pPr>
      <w:r>
        <w:t xml:space="preserve">a composite index that measures a country’s average achievements in health, knowledge, and standard of living</w:t>
      </w:r>
    </w:p>
    <w:p>
      <w:pPr>
        <w:pStyle w:val="Compact"/>
        <w:numPr>
          <w:ilvl w:val="0"/>
          <w:numId w:val="1022"/>
        </w:numPr>
      </w:pPr>
      <w:r>
        <w:t xml:space="preserve">Region (categorical; nominal)</w:t>
      </w:r>
    </w:p>
    <w:p>
      <w:pPr>
        <w:pStyle w:val="Compact"/>
        <w:numPr>
          <w:ilvl w:val="0"/>
          <w:numId w:val="1022"/>
        </w:numPr>
      </w:pPr>
      <w:r>
        <w:t xml:space="preserve">Adult obesity % (numerical; continuous)</w:t>
      </w:r>
    </w:p>
    <w:p>
      <w:pPr>
        <w:pStyle w:val="Compact"/>
        <w:numPr>
          <w:ilvl w:val="0"/>
          <w:numId w:val="1022"/>
        </w:numPr>
      </w:pPr>
      <w:r>
        <w:t xml:space="preserve">Adequate aerobic activity % (numerical; continuous)</w:t>
      </w:r>
    </w:p>
    <w:bookmarkEnd w:id="46"/>
    <w:bookmarkStart w:id="50" w:name="bar-charts"/>
    <w:p>
      <w:pPr>
        <w:pStyle w:val="Heading2"/>
      </w:pPr>
      <w:r>
        <w:t xml:space="preserve">Bar charts</w:t>
      </w:r>
    </w:p>
    <w:p>
      <w:pPr>
        <w:pStyle w:val="SourceCode"/>
      </w:pPr>
      <w:r>
        <w:rPr>
          <w:rStyle w:val="NormalTok"/>
        </w:rPr>
        <w:t xml:space="preserve">cdc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"https://karamccor.github.io/b6002/labs/data/cdc_cleaned.csv"</w:t>
      </w:r>
      <w:r>
        <w:rPr>
          <w:rStyle w:val="NormalTok"/>
        </w:rPr>
        <w:t xml:space="preserve">)</w:t>
      </w:r>
      <w:r>
        <w:br/>
      </w:r>
      <w:r>
        <w:br/>
      </w:r>
      <w:r>
        <w:rPr>
          <w:rStyle w:val="CommentTok"/>
        </w:rPr>
        <w:t xml:space="preserve"># cdc &lt;- read.csv("https://www2.stat.duke.edu/courses/Spring21/sta102.001/labs/data/cdc_cleaned.csv")</w:t>
      </w:r>
      <w:r>
        <w:br/>
      </w:r>
      <w:r>
        <w:br/>
      </w:r>
      <w:r>
        <w:rPr>
          <w:rStyle w:val="CommentTok"/>
        </w:rPr>
        <w:t xml:space="preserve"># write.csv(cdc, "C:/Users/kmcco/OneDrive - University of North Carolina at Chapel Hill/Documents/UNC_Teaching/fall2024/bios600-f24/labs/data/cdc_cleaned.csv")</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cdc,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"Number of US States by Census Region"</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p>
    <w:p>
      <w:pPr>
        <w:pStyle w:val="FirstParagraph"/>
      </w:pPr>
      <w:r>
        <w:drawing>
          <wp:inline>
            <wp:extent cx="5334000" cy="5334000"/>
            <wp:effectExtent b="0" l="0" r="0" t="0"/>
            <wp:docPr descr="" title="" id="48" name="Picture"/>
            <a:graphic>
              <a:graphicData uri="http://schemas.openxmlformats.org/drawingml/2006/picture">
                <pic:pic>
                  <pic:nvPicPr>
                    <pic:cNvPr descr="lec-2-nature-data-updated_AGH_files/figure-docx/unnamed-chunk-3-1.png" id="49" name="Picture"/>
                    <pic:cNvPicPr>
                      <a:picLocks noChangeArrowheads="1" noChangeAspect="1"/>
                    </pic:cNvPicPr>
                  </pic:nvPicPr>
                  <pic:blipFill>
                    <a:blip r:embed="rId47"/>
                    <a:stretch>
                      <a:fillRect/>
                    </a:stretch>
                  </pic:blipFill>
                  <pic:spPr bwMode="auto">
                    <a:xfrm>
                      <a:off x="0" y="0"/>
                      <a:ext cx="5334000" cy="5334000"/>
                    </a:xfrm>
                    <a:prstGeom prst="rect">
                      <a:avLst/>
                    </a:prstGeom>
                    <a:noFill/>
                    <a:ln w="9525">
                      <a:noFill/>
                      <a:headEnd/>
                      <a:tailEnd/>
                    </a:ln>
                  </pic:spPr>
                </pic:pic>
              </a:graphicData>
            </a:graphic>
          </wp:inline>
        </w:drawing>
      </w:r>
    </w:p>
    <w:p>
      <w:pPr>
        <w:pStyle w:val="Compact"/>
        <w:numPr>
          <w:ilvl w:val="0"/>
          <w:numId w:val="1024"/>
        </w:numPr>
      </w:pPr>
      <w:r>
        <w:t xml:space="preserve">Summarizes numerical variable by categories</w:t>
      </w:r>
    </w:p>
    <w:p>
      <w:pPr>
        <w:pStyle w:val="Compact"/>
        <w:numPr>
          <w:ilvl w:val="0"/>
          <w:numId w:val="1024"/>
        </w:numPr>
      </w:pPr>
      <w:r>
        <w:t xml:space="preserve">Visually depict frequency distributions for nominal or ordinal data</w:t>
      </w:r>
    </w:p>
    <w:p>
      <w:pPr>
        <w:pStyle w:val="Compact"/>
        <w:numPr>
          <w:ilvl w:val="0"/>
          <w:numId w:val="1024"/>
        </w:numPr>
      </w:pPr>
      <w:r>
        <w:t xml:space="preserve">Bars represent either frequency or relative frequency by category</w:t>
      </w:r>
    </w:p>
    <w:p>
      <w:pPr>
        <w:pStyle w:val="Compact"/>
        <w:numPr>
          <w:ilvl w:val="0"/>
          <w:numId w:val="1024"/>
        </w:numPr>
      </w:pPr>
      <w:r>
        <w:t xml:space="preserve">Separation between bars (non-continuous data)</w:t>
      </w:r>
    </w:p>
    <w:p>
      <w:pPr>
        <w:pStyle w:val="Compact"/>
        <w:numPr>
          <w:ilvl w:val="0"/>
          <w:numId w:val="1024"/>
        </w:numPr>
      </w:pPr>
      <w:r>
        <w:t xml:space="preserve">May contain error bars to indicate estimate variability</w:t>
      </w:r>
    </w:p>
    <w:bookmarkEnd w:id="50"/>
    <w:bookmarkStart w:id="54" w:name="box-plots"/>
    <w:p>
      <w:pPr>
        <w:pStyle w:val="Heading2"/>
      </w:pPr>
      <w:r>
        <w:t xml:space="preserve">Box plots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cdc, </w:t>
      </w:r>
      <w:r>
        <w:rPr>
          <w:rStyle w:val="FunctionTok"/>
        </w:rPr>
        <w:t xml:space="preserve">aes</w:t>
      </w:r>
      <w:r>
        <w:rPr>
          <w:rStyle w:val="NormalTok"/>
        </w:rPr>
        <w:t xml:space="preserve">(</w:t>
      </w:r>
      <w:r>
        <w:rPr>
          <w:rStyle w:val="AttributeTok"/>
        </w:rPr>
        <w:t xml:space="preserve">x =</w:t>
      </w:r>
      <w:r>
        <w:rPr>
          <w:rStyle w:val="NormalTok"/>
        </w:rPr>
        <w:t xml:space="preserve"> HDI, </w:t>
      </w:r>
      <w:r>
        <w:rPr>
          <w:rStyle w:val="AttributeTok"/>
        </w:rPr>
        <w:t xml:space="preserve">y =</w:t>
      </w:r>
      <w:r>
        <w:rPr>
          <w:rStyle w:val="NormalTok"/>
        </w:rPr>
        <w:t xml:space="preserve"> Obesity)) </w:t>
      </w:r>
      <w:r>
        <w:rPr>
          <w:rStyle w:val="SpecialCharTok"/>
        </w:rPr>
        <w:t xml:space="preserve">+</w:t>
      </w:r>
      <w:r>
        <w:rPr>
          <w:rStyle w:val="NormalTok"/>
        </w:rPr>
        <w:t xml:space="preserve"> </w:t>
      </w:r>
      <w:r>
        <w:rPr>
          <w:rStyle w:val="FunctionTok"/>
        </w:rPr>
        <w:t xml:space="preserve">geom_boxplot</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"Adult Obesity (%) by State HDI"</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"HDI"</w:t>
      </w:r>
      <w:r>
        <w:rPr>
          <w:rStyle w:val="NormalTok"/>
        </w:rPr>
        <w:t xml:space="preserve">, </w:t>
      </w:r>
      <w:r>
        <w:rPr>
          <w:rStyle w:val="AttributeTok"/>
        </w:rPr>
        <w:t xml:space="preserve">y =</w:t>
      </w:r>
      <w:r>
        <w:rPr>
          <w:rStyle w:val="NormalTok"/>
        </w:rPr>
        <w:t xml:space="preserve"> </w:t>
      </w:r>
      <w:r>
        <w:rPr>
          <w:rStyle w:val="StringTok"/>
        </w:rPr>
        <w:t xml:space="preserve">"Adult Obesity (%)"</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p>
    <w:p>
      <w:pPr>
        <w:pStyle w:val="FirstParagraph"/>
      </w:pPr>
      <w:r>
        <w:drawing>
          <wp:inline>
            <wp:extent cx="5334000" cy="5334000"/>
            <wp:effectExtent b="0" l="0" r="0" t="0"/>
            <wp:docPr descr="" title="" id="52" name="Picture"/>
            <a:graphic>
              <a:graphicData uri="http://schemas.openxmlformats.org/drawingml/2006/picture">
                <pic:pic>
                  <pic:nvPicPr>
                    <pic:cNvPr descr="lec-2-nature-data-updated_AGH_files/figure-docx/unnamed-chunk-4-1.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pStyle w:val="Compact"/>
        <w:numPr>
          <w:ilvl w:val="0"/>
          <w:numId w:val="1025"/>
        </w:numPr>
      </w:pPr>
      <w:r>
        <w:t xml:space="preserve">Summarizes numerical variable</w:t>
      </w:r>
    </w:p>
    <w:p>
      <w:pPr>
        <w:pStyle w:val="Compact"/>
        <w:numPr>
          <w:ilvl w:val="0"/>
          <w:numId w:val="1025"/>
        </w:numPr>
      </w:pPr>
      <w:r>
        <w:t xml:space="preserve">Five-number summary: sample minimum, 25th percentile, median, 75th percentile, sample maximum</w:t>
      </w:r>
    </w:p>
    <w:p>
      <w:pPr>
        <w:pStyle w:val="Compact"/>
        <w:numPr>
          <w:ilvl w:val="0"/>
          <w:numId w:val="1025"/>
        </w:numPr>
      </w:pPr>
      <w:r>
        <w:t xml:space="preserve">Outliers</w:t>
      </w:r>
    </w:p>
    <w:p>
      <w:pPr>
        <w:pStyle w:val="Compact"/>
        <w:numPr>
          <w:ilvl w:val="0"/>
          <w:numId w:val="1025"/>
        </w:numPr>
      </w:pPr>
      <w:r>
        <w:t xml:space="preserve">Spread and skew</w:t>
      </w:r>
    </w:p>
    <w:p>
      <w:pPr>
        <w:pStyle w:val="Compact"/>
        <w:numPr>
          <w:ilvl w:val="0"/>
          <w:numId w:val="1025"/>
        </w:numPr>
      </w:pPr>
      <w:r>
        <w:t xml:space="preserve">(More on all these later!)</w:t>
      </w:r>
    </w:p>
    <w:bookmarkEnd w:id="54"/>
    <w:bookmarkStart w:id="58" w:name="histograms"/>
    <w:p>
      <w:pPr>
        <w:pStyle w:val="Heading2"/>
      </w:pPr>
      <w:r>
        <w:t xml:space="preserve">Histograms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cdc, </w:t>
      </w:r>
      <w:r>
        <w:rPr>
          <w:rStyle w:val="FunctionTok"/>
        </w:rPr>
        <w:t xml:space="preserve">aes</w:t>
      </w:r>
      <w:r>
        <w:rPr>
          <w:rStyle w:val="NormalTok"/>
        </w:rPr>
        <w:t xml:space="preserve">(</w:t>
      </w:r>
      <w:r>
        <w:rPr>
          <w:rStyle w:val="AttributeTok"/>
        </w:rPr>
        <w:t xml:space="preserve">x =</w:t>
      </w:r>
      <w:r>
        <w:rPr>
          <w:rStyle w:val="NormalTok"/>
        </w:rPr>
        <w:t xml:space="preserve"> Obesity))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binwidth =</w:t>
      </w:r>
      <w:r>
        <w:rPr>
          <w:rStyle w:val="NormalTok"/>
        </w:rPr>
        <w:t xml:space="preserve"> </w:t>
      </w:r>
      <w:r>
        <w:rPr>
          <w:rStyle w:val="DecValTok"/>
        </w:rPr>
        <w:t xml:space="preserve">2</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Adult Obesity (%) by State"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"Adult Obesity (%)"</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p>
    <w:p>
      <w:pPr>
        <w:pStyle w:val="FirstParagraph"/>
      </w:pPr>
      <w:r>
        <w:drawing>
          <wp:inline>
            <wp:extent cx="5334000" cy="5334000"/>
            <wp:effectExtent b="0" l="0" r="0" t="0"/>
            <wp:docPr descr="" title="" id="56" name="Picture"/>
            <a:graphic>
              <a:graphicData uri="http://schemas.openxmlformats.org/drawingml/2006/picture">
                <pic:pic>
                  <pic:nvPicPr>
                    <pic:cNvPr descr="lec-2-nature-data-updated_AGH_files/figure-docx/unnamed-chunk-5-1.png" id="57" name="Picture"/>
                    <pic:cNvPicPr>
                      <a:picLocks noChangeArrowheads="1" noChangeAspect="1"/>
                    </pic:cNvPicPr>
                  </pic:nvPicPr>
                  <pic:blipFill>
                    <a:blip r:embed="rId55"/>
                    <a:stretch>
                      <a:fillRect/>
                    </a:stretch>
                  </pic:blipFill>
                  <pic:spPr bwMode="auto">
                    <a:xfrm>
                      <a:off x="0" y="0"/>
                      <a:ext cx="5334000" cy="5334000"/>
                    </a:xfrm>
                    <a:prstGeom prst="rect">
                      <a:avLst/>
                    </a:prstGeom>
                    <a:noFill/>
                    <a:ln w="9525">
                      <a:noFill/>
                      <a:headEnd/>
                      <a:tailEnd/>
                    </a:ln>
                  </pic:spPr>
                </pic:pic>
              </a:graphicData>
            </a:graphic>
          </wp:inline>
        </w:drawing>
      </w:r>
    </w:p>
    <w:p>
      <w:pPr>
        <w:pStyle w:val="Compact"/>
        <w:numPr>
          <w:ilvl w:val="0"/>
          <w:numId w:val="1026"/>
        </w:numPr>
      </w:pPr>
      <w:r>
        <w:t xml:space="preserve">Summarizes numerical variable</w:t>
      </w:r>
    </w:p>
    <w:p>
      <w:pPr>
        <w:pStyle w:val="Compact"/>
        <w:numPr>
          <w:ilvl w:val="0"/>
          <w:numId w:val="1026"/>
        </w:numPr>
      </w:pPr>
      <w:r>
        <w:t xml:space="preserve">Frequency distribution for discrete or continuous numerical data</w:t>
      </w:r>
    </w:p>
    <w:p>
      <w:pPr>
        <w:pStyle w:val="Compact"/>
        <w:numPr>
          <w:ilvl w:val="0"/>
          <w:numId w:val="1026"/>
        </w:numPr>
      </w:pPr>
      <w:r>
        <w:t xml:space="preserve">Outliers</w:t>
      </w:r>
    </w:p>
    <w:p>
      <w:pPr>
        <w:pStyle w:val="Compact"/>
        <w:numPr>
          <w:ilvl w:val="0"/>
          <w:numId w:val="1026"/>
        </w:numPr>
      </w:pPr>
      <w:r>
        <w:t xml:space="preserve">Each bar is proportional to the frequency of the categories</w:t>
      </w:r>
    </w:p>
    <w:bookmarkEnd w:id="58"/>
    <w:bookmarkStart w:id="65" w:name="line-plots"/>
    <w:p>
      <w:pPr>
        <w:pStyle w:val="Heading2"/>
      </w:pPr>
      <w:r>
        <w:t xml:space="preserve">Line plots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cdc[</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State, </w:t>
      </w:r>
      <w:r>
        <w:rPr>
          <w:rStyle w:val="AttributeTok"/>
        </w:rPr>
        <w:t xml:space="preserve">y =</w:t>
      </w:r>
      <w:r>
        <w:rPr>
          <w:rStyle w:val="NormalTok"/>
        </w:rPr>
        <w:t xml:space="preserve"> Obesity,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"Obesity by State"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"State"</w:t>
      </w:r>
      <w:r>
        <w:rPr>
          <w:rStyle w:val="NormalTok"/>
        </w:rPr>
        <w:t xml:space="preserve">, </w:t>
      </w:r>
      <w:r>
        <w:rPr>
          <w:rStyle w:val="AttributeTok"/>
        </w:rPr>
        <w:t xml:space="preserve">y =</w:t>
      </w:r>
      <w:r>
        <w:rPr>
          <w:rStyle w:val="NormalTok"/>
        </w:rPr>
        <w:t xml:space="preserve"> </w:t>
      </w:r>
      <w:r>
        <w:rPr>
          <w:rStyle w:val="StringTok"/>
        </w:rPr>
        <w:t xml:space="preserve">"Adult Obesity (%)"</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28</w:t>
      </w:r>
      <w:r>
        <w:rPr>
          <w:rStyle w:val="NormalTok"/>
        </w:rPr>
        <w:t xml:space="preserve">))</w:t>
      </w:r>
    </w:p>
    <w:p>
      <w:pPr>
        <w:pStyle w:val="FirstParagraph"/>
      </w:pPr>
      <w:r>
        <w:drawing>
          <wp:inline>
            <wp:extent cx="5334000" cy="5334000"/>
            <wp:effectExtent b="0" l="0" r="0" t="0"/>
            <wp:docPr descr="" title="" id="60" name="Picture"/>
            <a:graphic>
              <a:graphicData uri="http://schemas.openxmlformats.org/drawingml/2006/picture">
                <pic:pic>
                  <pic:nvPicPr>
                    <pic:cNvPr descr="lec-2-nature-data-updated_AGH_files/figure-docx/unnamed-chunk-6-1.png" id="61" name="Picture"/>
                    <pic:cNvPicPr>
                      <a:picLocks noChangeArrowheads="1" noChangeAspect="1"/>
                    </pic:cNvPicPr>
                  </pic:nvPicPr>
                  <pic:blipFill>
                    <a:blip r:embed="rId59"/>
                    <a:stretch>
                      <a:fillRect/>
                    </a:stretch>
                  </pic:blipFill>
                  <pic:spPr bwMode="auto">
                    <a:xfrm>
                      <a:off x="0" y="0"/>
                      <a:ext cx="5334000" cy="5334000"/>
                    </a:xfrm>
                    <a:prstGeom prst="rect">
                      <a:avLst/>
                    </a:prstGeom>
                    <a:noFill/>
                    <a:ln w="9525">
                      <a:noFill/>
                      <a:headEnd/>
                      <a:tailEnd/>
                    </a:ln>
                  </pic:spPr>
                </pic:pic>
              </a:graphicData>
            </a:graphic>
          </wp:inline>
        </w:drawing>
      </w:r>
    </w:p>
    <w:p>
      <w:pPr>
        <w:pStyle w:val="Compact"/>
        <w:numPr>
          <w:ilvl w:val="0"/>
          <w:numId w:val="1027"/>
        </w:numPr>
      </w:pPr>
      <w:r>
        <w:t xml:space="preserve">Summarizes numerical variable (most often used across time)</w:t>
      </w:r>
    </w:p>
    <w:p>
      <w:pPr>
        <w:pStyle w:val="Compact"/>
        <w:numPr>
          <w:ilvl w:val="0"/>
          <w:numId w:val="1027"/>
        </w:numPr>
      </w:pPr>
      <w:r>
        <w:t xml:space="preserve">Each value on x-axis corresponds to only one measurement on y-axis (and vice versa)</w:t>
      </w:r>
    </w:p>
    <w:p>
      <w:pPr>
        <w:pStyle w:val="Compact"/>
        <w:numPr>
          <w:ilvl w:val="0"/>
          <w:numId w:val="1027"/>
        </w:numPr>
      </w:pPr>
      <w:r>
        <w:t xml:space="preserve">Often used to depict change over time and connected with line.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RStudio.app/Contents/Resources/app/quarto/share/formats/docx/warning.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w:t>
            </w:r>
          </w:p>
        </w:tc>
      </w:tr>
      <w:tr>
        <w:trPr>
          <w:cantSplit/>
        </w:trPr>
        <w:tc>
          <w:tcPr>
            <w:tcMar>
              <w:top w:w="108" w:type="dxa"/>
              <w:bottom w:w="108" w:type="dxa"/>
            </w:tcMar>
          </w:tcPr>
          <w:p>
            <w:pPr>
              <w:pStyle w:val="BodyText"/>
            </w:pPr>
            <w:pPr>
              <w:spacing w:before="16" w:after="16"/>
            </w:pPr>
            <w:r>
              <w:t xml:space="preserve">Is this plot useful?</w:t>
            </w:r>
          </w:p>
          <w:p/>
        </w:tc>
      </w:tr>
    </w:tbl>
    <w:bookmarkEnd w:id="65"/>
    <w:bookmarkStart w:id="69" w:name="scatterplots"/>
    <w:p>
      <w:pPr>
        <w:pStyle w:val="Heading2"/>
      </w:pPr>
      <w:r>
        <w:t xml:space="preserve">Scatterplots</w:t>
      </w:r>
    </w:p>
    <w:p>
      <w:pPr>
        <w:pStyle w:val="SourceCode"/>
      </w:pPr>
      <w:r>
        <w:rPr>
          <w:rStyle w:val="NormalTok"/>
        </w:rPr>
        <w:t xml:space="preserve">cdc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Exercise, </w:t>
      </w:r>
      <w:r>
        <w:rPr>
          <w:rStyle w:val="AttributeTok"/>
        </w:rPr>
        <w:t xml:space="preserve">y =</w:t>
      </w:r>
      <w:r>
        <w:rPr>
          <w:rStyle w:val="NormalTok"/>
        </w:rPr>
        <w:t xml:space="preserve"> Obesity))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HDI)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"Adequate aerobic activity </w:t>
      </w:r>
      <w:r>
        <w:rPr>
          <w:rStyle w:val="SpecialCharTok"/>
        </w:rPr>
        <w:t xml:space="preserve">\n</w:t>
      </w:r>
      <w:r>
        <w:rPr>
          <w:rStyle w:val="StringTok"/>
        </w:rPr>
        <w:t xml:space="preserve"> associated with lower obesity by State HDI"</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"Adequate aerobic activity (%)"</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26</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CommentTok"/>
        </w:rPr>
        <w:t xml:space="preserve"># make title smaller)</w:t>
      </w:r>
    </w:p>
    <w:p>
      <w:pPr>
        <w:pStyle w:val="FirstParagraph"/>
      </w:pPr>
      <w:r>
        <w:drawing>
          <wp:inline>
            <wp:extent cx="5334000" cy="6096000"/>
            <wp:effectExtent b="0" l="0" r="0" t="0"/>
            <wp:docPr descr="" title="" id="67" name="Picture"/>
            <a:graphic>
              <a:graphicData uri="http://schemas.openxmlformats.org/drawingml/2006/picture">
                <pic:pic>
                  <pic:nvPicPr>
                    <pic:cNvPr descr="lec-2-nature-data-updated_AGH_files/figure-docx/unnamed-chunk-7-1.png" id="68" name="Picture"/>
                    <pic:cNvPicPr>
                      <a:picLocks noChangeArrowheads="1" noChangeAspect="1"/>
                    </pic:cNvPicPr>
                  </pic:nvPicPr>
                  <pic:blipFill>
                    <a:blip r:embed="rId66"/>
                    <a:stretch>
                      <a:fillRect/>
                    </a:stretch>
                  </pic:blipFill>
                  <pic:spPr bwMode="auto">
                    <a:xfrm>
                      <a:off x="0" y="0"/>
                      <a:ext cx="5334000" cy="6096000"/>
                    </a:xfrm>
                    <a:prstGeom prst="rect">
                      <a:avLst/>
                    </a:prstGeom>
                    <a:noFill/>
                    <a:ln w="9525">
                      <a:noFill/>
                      <a:headEnd/>
                      <a:tailEnd/>
                    </a:ln>
                  </pic:spPr>
                </pic:pic>
              </a:graphicData>
            </a:graphic>
          </wp:inline>
        </w:drawing>
      </w:r>
    </w:p>
    <w:p>
      <w:pPr>
        <w:numPr>
          <w:ilvl w:val="0"/>
          <w:numId w:val="1028"/>
        </w:numPr>
      </w:pPr>
      <w:r>
        <w:t xml:space="preserve">Shows relationship between multiple continuous measurements</w:t>
      </w:r>
    </w:p>
    <w:p>
      <w:pPr>
        <w:numPr>
          <w:ilvl w:val="0"/>
          <w:numId w:val="1028"/>
        </w:numPr>
      </w:pPr>
      <w:r>
        <w:t xml:space="preserve">You can add color, shape, transparency, etc to further differentiate by category</w:t>
      </w:r>
    </w:p>
    <w:bookmarkEnd w:id="69"/>
    <w:bookmarkStart w:id="70" w:name="some-best-practices"/>
    <w:p>
      <w:pPr>
        <w:pStyle w:val="Heading2"/>
      </w:pPr>
      <w:r>
        <w:t xml:space="preserve">Some best practices</w:t>
      </w:r>
    </w:p>
    <w:p>
      <w:pPr>
        <w:pStyle w:val="Compact"/>
        <w:numPr>
          <w:ilvl w:val="0"/>
          <w:numId w:val="1029"/>
        </w:numPr>
      </w:pPr>
      <w:r>
        <w:t xml:space="preserve">Keep it simple</w:t>
      </w:r>
    </w:p>
    <w:p>
      <w:pPr>
        <w:pStyle w:val="Compact"/>
        <w:numPr>
          <w:ilvl w:val="0"/>
          <w:numId w:val="1029"/>
        </w:numPr>
      </w:pPr>
      <w:r>
        <w:t xml:space="preserve">Summarize and highlight</w:t>
      </w:r>
    </w:p>
    <w:p>
      <w:pPr>
        <w:pStyle w:val="Compact"/>
        <w:numPr>
          <w:ilvl w:val="0"/>
          <w:numId w:val="1029"/>
        </w:numPr>
      </w:pPr>
      <w:r>
        <w:t xml:space="preserve">Tell a story with the plot (use</w:t>
      </w:r>
      <w:r>
        <w:t xml:space="preserve"> </w:t>
      </w:r>
      <w:r>
        <w:t xml:space="preserve">“active titles”</w:t>
      </w:r>
      <w:r>
        <w:t xml:space="preserve">)</w:t>
      </w:r>
    </w:p>
    <w:p>
      <w:pPr>
        <w:pStyle w:val="Compact"/>
        <w:numPr>
          <w:ilvl w:val="0"/>
          <w:numId w:val="1029"/>
        </w:numPr>
      </w:pPr>
      <w:r>
        <w:t xml:space="preserve">If possible, replace text with visuals</w:t>
      </w:r>
    </w:p>
    <w:bookmarkEnd w:id="70"/>
    <w:bookmarkStart w:id="74" w:name="reminder-the-population-vs.-a-sample"/>
    <w:p>
      <w:pPr>
        <w:pStyle w:val="Heading2"/>
      </w:pPr>
      <w:r>
        <w:t xml:space="preserve">Reminder: the population vs. a sample</w:t>
      </w:r>
    </w:p>
    <w:p>
      <w:pPr>
        <w:pStyle w:val="FirstParagraph"/>
      </w:pPr>
      <w:r>
        <w:drawing>
          <wp:inline>
            <wp:extent cx="2857500" cy="1585863"/>
            <wp:effectExtent b="0" l="0" r="0" t="0"/>
            <wp:docPr descr="" title="" id="72" name="Picture"/>
            <a:graphic>
              <a:graphicData uri="http://schemas.openxmlformats.org/drawingml/2006/picture">
                <pic:pic>
                  <pic:nvPicPr>
                    <pic:cNvPr descr="images/lec-2/poly.PNG" id="73" name="Picture"/>
                    <pic:cNvPicPr>
                      <a:picLocks noChangeArrowheads="1" noChangeAspect="1"/>
                    </pic:cNvPicPr>
                  </pic:nvPicPr>
                  <pic:blipFill>
                    <a:blip r:embed="rId71"/>
                    <a:stretch>
                      <a:fillRect/>
                    </a:stretch>
                  </pic:blipFill>
                  <pic:spPr bwMode="auto">
                    <a:xfrm>
                      <a:off x="0" y="0"/>
                      <a:ext cx="2857500" cy="1585863"/>
                    </a:xfrm>
                    <a:prstGeom prst="rect">
                      <a:avLst/>
                    </a:prstGeom>
                    <a:noFill/>
                    <a:ln w="9525">
                      <a:noFill/>
                      <a:headEnd/>
                      <a:tailEnd/>
                    </a:ln>
                  </pic:spPr>
                </pic:pic>
              </a:graphicData>
            </a:graphic>
          </wp:inline>
        </w:drawing>
      </w:r>
    </w:p>
    <w:p>
      <w:pPr>
        <w:numPr>
          <w:ilvl w:val="0"/>
          <w:numId w:val="1030"/>
        </w:numPr>
      </w:pPr>
      <w:r>
        <w:rPr>
          <w:b/>
          <w:bCs/>
        </w:rPr>
        <w:t xml:space="preserve">Population and research question</w:t>
      </w:r>
      <w:r>
        <w:t xml:space="preserve">: Is the PCV13 vaccine effective against community acquired pneumonia in</w:t>
      </w:r>
      <w:r>
        <w:t xml:space="preserve"> </w:t>
      </w:r>
      <w:r>
        <w:rPr>
          <w:b/>
          <w:bCs/>
        </w:rPr>
        <w:t xml:space="preserve">adults aged 65 or older</w:t>
      </w:r>
      <w:r>
        <w:t xml:space="preserve">?</w:t>
      </w:r>
    </w:p>
    <w:p>
      <w:pPr>
        <w:numPr>
          <w:ilvl w:val="0"/>
          <w:numId w:val="1030"/>
        </w:numPr>
      </w:pPr>
      <w:r>
        <w:t xml:space="preserve">Sample: 84,496 adults 65 years of age or older recruited in a trial between September 2008 and January 2010 and 101 sites throughout the Netherlands.</w:t>
      </w:r>
    </w:p>
    <w:bookmarkEnd w:id="74"/>
    <w:bookmarkStart w:id="75" w:name="parameters-and-statistics"/>
    <w:p>
      <w:pPr>
        <w:pStyle w:val="Heading2"/>
      </w:pPr>
      <w:r>
        <w:t xml:space="preserve">Parameters and statistics</w:t>
      </w:r>
    </w:p>
    <w:p>
      <w:pPr>
        <w:pStyle w:val="FirstParagraph"/>
      </w:pPr>
      <w:r>
        <w:rPr>
          <w:b/>
          <w:bCs/>
        </w:rPr>
        <w:t xml:space="preserve">Parameters</w:t>
      </w:r>
    </w:p>
    <w:p>
      <w:pPr>
        <w:pStyle w:val="Compact"/>
        <w:numPr>
          <w:ilvl w:val="0"/>
          <w:numId w:val="1031"/>
        </w:numPr>
      </w:pPr>
      <w:r>
        <w:t xml:space="preserve">Attribute of the population of interest</w:t>
      </w:r>
    </w:p>
    <w:p>
      <w:pPr>
        <w:pStyle w:val="Compact"/>
        <w:numPr>
          <w:ilvl w:val="0"/>
          <w:numId w:val="1031"/>
        </w:numPr>
      </w:pPr>
      <w:r>
        <w:t xml:space="preserve">Not computable directly (unless entire population is perfectly measured)</w:t>
      </w:r>
    </w:p>
    <w:p>
      <w:pPr>
        <w:pStyle w:val="Compact"/>
        <w:numPr>
          <w:ilvl w:val="0"/>
          <w:numId w:val="1031"/>
        </w:numPr>
      </w:pPr>
      <w:r>
        <w:t xml:space="preserve">Written in Greek letters</w:t>
      </w:r>
    </w:p>
    <w:p>
      <w:pPr>
        <w:pStyle w:val="FirstParagraph"/>
      </w:pPr>
      <w:r>
        <w:rPr>
          <w:b/>
          <w:bCs/>
        </w:rPr>
        <w:t xml:space="preserve">Statistics</w:t>
      </w:r>
    </w:p>
    <w:p>
      <w:pPr>
        <w:pStyle w:val="Compact"/>
        <w:numPr>
          <w:ilvl w:val="0"/>
          <w:numId w:val="1032"/>
        </w:numPr>
      </w:pPr>
      <w:r>
        <w:t xml:space="preserve">Attribute of a sample</w:t>
      </w:r>
    </w:p>
    <w:p>
      <w:pPr>
        <w:pStyle w:val="Compact"/>
        <w:numPr>
          <w:ilvl w:val="0"/>
          <w:numId w:val="1032"/>
        </w:numPr>
      </w:pPr>
      <w:r>
        <w:t xml:space="preserve">Function of the observed values at hand</w:t>
      </w:r>
    </w:p>
    <w:p>
      <w:pPr>
        <w:pStyle w:val="Compact"/>
        <w:numPr>
          <w:ilvl w:val="0"/>
          <w:numId w:val="1032"/>
        </w:numPr>
      </w:pPr>
      <w:r>
        <w:t xml:space="preserve">Confusingly, both the function and the values</w:t>
      </w:r>
    </w:p>
    <w:p>
      <w:pPr>
        <w:pStyle w:val="Compact"/>
        <w:numPr>
          <w:ilvl w:val="0"/>
          <w:numId w:val="1032"/>
        </w:numPr>
      </w:pPr>
      <w:r>
        <w:t xml:space="preserve">Written in Roman letters</w:t>
      </w:r>
    </w:p>
    <w:bookmarkEnd w:id="75"/>
    <w:bookmarkStart w:id="78" w:name="example"/>
    <w:p>
      <w:pPr>
        <w:pStyle w:val="Heading2"/>
      </w:pPr>
      <w:r>
        <w:t xml:space="preserve">Example</w:t>
      </w:r>
    </w:p>
    <w:p>
      <w:pPr>
        <w:numPr>
          <w:ilvl w:val="0"/>
          <w:numId w:val="1033"/>
        </w:numPr>
      </w:pPr>
      <w:r>
        <w:t xml:space="preserve">Population</w:t>
      </w:r>
      <w:r>
        <w:t xml:space="preserve"> </w:t>
      </w:r>
      <w:r>
        <w:rPr>
          <w:b/>
          <w:bCs/>
        </w:rPr>
        <w:t xml:space="preserve">parameter</w:t>
      </w:r>
      <w:r>
        <w:t xml:space="preserve"> </w:t>
      </w:r>
      <w:r>
        <w:t xml:space="preserve">of interest: vaccine efficacy among all adults aged 65 or older</w:t>
      </w:r>
    </w:p>
    <w:p>
      <w:pPr>
        <w:numPr>
          <w:ilvl w:val="0"/>
          <w:numId w:val="1033"/>
        </w:numPr>
      </w:pPr>
      <w:r>
        <w:t xml:space="preserve">Sample</w:t>
      </w:r>
      <w:r>
        <w:t xml:space="preserve"> </w:t>
      </w:r>
      <w:r>
        <w:rPr>
          <w:b/>
          <w:bCs/>
        </w:rPr>
        <w:t xml:space="preserve">statistic</w:t>
      </w:r>
      <w:r>
        <w:t xml:space="preserve"> </w:t>
      </w:r>
      <w:r>
        <w:t xml:space="preserve">collected: proportion of vaccinated adults in the trial who became ill with community-acquired pneumonia</w:t>
      </w:r>
    </w:p>
    <w:p>
      <w:pPr>
        <w:pStyle w:val="FirstParagraph"/>
      </w:pPr>
      <w:r>
        <w:drawing>
          <wp:inline>
            <wp:extent cx="5334000" cy="2960278"/>
            <wp:effectExtent b="0" l="0" r="0" t="0"/>
            <wp:docPr descr="" title="" id="76" name="Picture"/>
            <a:graphic>
              <a:graphicData uri="http://schemas.openxmlformats.org/drawingml/2006/picture">
                <pic:pic>
                  <pic:nvPicPr>
                    <pic:cNvPr descr="images/lec-2/poly.PNG" id="77" name="Picture"/>
                    <pic:cNvPicPr>
                      <a:picLocks noChangeArrowheads="1" noChangeAspect="1"/>
                    </pic:cNvPicPr>
                  </pic:nvPicPr>
                  <pic:blipFill>
                    <a:blip r:embed="rId71"/>
                    <a:stretch>
                      <a:fillRect/>
                    </a:stretch>
                  </pic:blipFill>
                  <pic:spPr bwMode="auto">
                    <a:xfrm>
                      <a:off x="0" y="0"/>
                      <a:ext cx="5334000" cy="2960278"/>
                    </a:xfrm>
                    <a:prstGeom prst="rect">
                      <a:avLst/>
                    </a:prstGeom>
                    <a:noFill/>
                    <a:ln w="9525">
                      <a:noFill/>
                      <a:headEnd/>
                      <a:tailEnd/>
                    </a:ln>
                  </pic:spPr>
                </pic:pic>
              </a:graphicData>
            </a:graphic>
          </wp:inline>
        </w:drawing>
      </w:r>
    </w:p>
    <w:bookmarkEnd w:id="78"/>
    <w:bookmarkEnd w:id="79"/>
    <w:bookmarkStart w:id="114" w:name="numerical-summary-statistics"/>
    <w:p>
      <w:pPr>
        <w:pStyle w:val="Heading1"/>
      </w:pPr>
      <w:r>
        <w:t xml:space="preserve">Numerical summary statistics</w:t>
      </w:r>
    </w:p>
    <w:bookmarkStart w:id="80" w:name="mean"/>
    <w:p>
      <w:pPr>
        <w:pStyle w:val="Heading2"/>
      </w:pPr>
      <w:r>
        <w:t xml:space="preserve">Mean</w:t>
      </w:r>
    </w:p>
    <w:p>
      <w:pPr>
        <w:pStyle w:val="Compact"/>
        <w:numPr>
          <w:ilvl w:val="0"/>
          <w:numId w:val="1034"/>
        </w:numPr>
      </w:pPr>
      <w:r>
        <w:rPr>
          <w:b/>
          <w:bCs/>
        </w:rPr>
        <w:t xml:space="preserve">Sample mean</w:t>
      </w:r>
      <w:r>
        <w:t xml:space="preserve">: the arithmetic average of values in the sample:</w:t>
      </w:r>
    </w:p>
    <w:p>
      <w:pPr>
        <w:pStyle w:val="FirstParagraph"/>
      </w:pPr>
      <m:oMathPara>
        <m:oMathParaPr>
          <m:jc m:val="center"/>
        </m:oMathParaPr>
        <m:oMath>
          <m:acc>
            <m:accPr>
              <m:chr m:val="‾"/>
            </m:accPr>
            <m:e>
              <m:r>
                <m:t>x</m:t>
              </m:r>
            </m:e>
          </m:acc>
          <m:r>
            <m:rPr>
              <m:sty m:val="p"/>
            </m:rPr>
            <m:t>=</m:t>
          </m:r>
          <m:f>
            <m:fPr>
              <m:type m:val="bar"/>
            </m:fPr>
            <m:num>
              <m:r>
                <m:t>1</m:t>
              </m:r>
            </m:num>
            <m:den>
              <m:r>
                <m:t>n</m:t>
              </m:r>
            </m:den>
          </m:f>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numPr>
          <w:ilvl w:val="0"/>
          <w:numId w:val="1035"/>
        </w:numPr>
      </w:pPr>
      <w:r>
        <w:t xml:space="preserve">Population mean</w:t>
      </w:r>
      <w:r>
        <w:t xml:space="preserve"> </w:t>
      </w:r>
      <m:oMath>
        <m:r>
          <m:t>μ</m:t>
        </m:r>
      </m:oMath>
      <w:r>
        <w:t xml:space="preserve"> </w:t>
      </w:r>
      <w:r>
        <w:t xml:space="preserve">is calculated the same way, but would involve sum over every observation in the population (rarely possible!)</w:t>
      </w:r>
    </w:p>
    <w:p>
      <w:pPr>
        <w:numPr>
          <w:ilvl w:val="0"/>
          <w:numId w:val="1035"/>
        </w:numPr>
      </w:pPr>
      <w:r>
        <w:t xml:space="preserve">The sample mean is a</w:t>
      </w:r>
      <w:r>
        <w:t xml:space="preserve"> </w:t>
      </w:r>
      <w:r>
        <w:rPr>
          <w:b/>
          <w:bCs/>
        </w:rPr>
        <w:t xml:space="preserve">point estimate</w:t>
      </w:r>
      <w:r>
        <w:t xml:space="preserve"> </w:t>
      </w:r>
      <w:r>
        <w:t xml:space="preserve">of the population mean</w:t>
      </w:r>
    </w:p>
    <w:p>
      <w:pPr>
        <w:numPr>
          <w:ilvl w:val="0"/>
          <w:numId w:val="1035"/>
        </w:numPr>
      </w:pPr>
      <w:r>
        <w:t xml:space="preserve">Not the exact population mean (unless lucky), but for a representative sample, it’s a pretty good guess</w:t>
      </w:r>
    </w:p>
    <w:p>
      <w:pPr>
        <w:numPr>
          <w:ilvl w:val="0"/>
          <w:numId w:val="1035"/>
        </w:numPr>
      </w:pPr>
      <w:r>
        <w:t xml:space="preserve">As the sample size gets larger, on average</w:t>
      </w:r>
      <w:r>
        <w:t xml:space="preserve"> </w:t>
      </w:r>
      <m:oMath>
        <m:acc>
          <m:accPr>
            <m:chr m:val="‾"/>
          </m:accPr>
          <m:e>
            <m:r>
              <m:t>x</m:t>
            </m:r>
          </m:e>
        </m:acc>
      </m:oMath>
      <w:r>
        <w:t xml:space="preserve"> </w:t>
      </w:r>
      <w:r>
        <w:t xml:space="preserve">gets closer and closer to</w:t>
      </w:r>
      <w:r>
        <w:t xml:space="preserve"> </w:t>
      </w:r>
      <m:oMath>
        <m:r>
          <m:t>μ</m:t>
        </m:r>
      </m:oMath>
    </w:p>
    <w:bookmarkEnd w:id="80"/>
    <w:bookmarkStart w:id="81" w:name="median"/>
    <w:p>
      <w:pPr>
        <w:pStyle w:val="Heading2"/>
      </w:pPr>
      <w:r>
        <w:t xml:space="preserve">Median</w:t>
      </w:r>
    </w:p>
    <w:p>
      <w:pPr>
        <w:numPr>
          <w:ilvl w:val="0"/>
          <w:numId w:val="1036"/>
        </w:numPr>
      </w:pPr>
      <w:r>
        <w:rPr>
          <w:b/>
          <w:bCs/>
        </w:rPr>
        <w:t xml:space="preserve">Sample median</w:t>
      </w:r>
      <w:r>
        <w:t xml:space="preserve">: the</w:t>
      </w:r>
      <w:r>
        <w:t xml:space="preserve"> </w:t>
      </w:r>
      <m:oMath>
        <m:sSup>
          <m:e>
            <m:r>
              <m:t>50</m:t>
            </m:r>
          </m:e>
          <m:sup>
            <m:r>
              <m:t>t</m:t>
            </m:r>
            <m:r>
              <m:t>h</m:t>
            </m:r>
          </m:sup>
        </m:sSup>
      </m:oMath>
      <w:r>
        <w:t xml:space="preserve"> </w:t>
      </w:r>
      <w:r>
        <w:rPr>
          <w:b/>
          <w:bCs/>
        </w:rPr>
        <w:t xml:space="preserve">percentile</w:t>
      </w:r>
    </w:p>
    <w:p>
      <w:pPr>
        <w:numPr>
          <w:ilvl w:val="0"/>
          <w:numId w:val="1036"/>
        </w:numPr>
      </w:pPr>
      <w:r>
        <w:t xml:space="preserve">Middle number of observations after being ranked in numerical order</w:t>
      </w:r>
    </w:p>
    <w:p>
      <w:pPr>
        <w:numPr>
          <w:ilvl w:val="0"/>
          <w:numId w:val="1036"/>
        </w:numPr>
      </w:pPr>
      <w:r>
        <w:t xml:space="preserve">For odd number observations, it is the exact middle value; otherwise, it is the arithmetic average of the middle two.</w:t>
      </w:r>
    </w:p>
    <w:p>
      <w:pPr>
        <w:numPr>
          <w:ilvl w:val="0"/>
          <w:numId w:val="1036"/>
        </w:numPr>
      </w:pPr>
      <w:r>
        <w:t xml:space="preserve">Example: What is the median of</w:t>
      </w:r>
      <w:r>
        <w:t xml:space="preserve"> </w:t>
      </w:r>
      <m:oMath>
        <m:r>
          <m:rPr>
            <m:sty m:val="p"/>
          </m:rPr>
          <m:t>{</m:t>
        </m:r>
        <m:r>
          <m:t>3</m:t>
        </m:r>
        <m:r>
          <m:rPr>
            <m:sty m:val="p"/>
          </m:rPr>
          <m:t>,</m:t>
        </m:r>
        <m:r>
          <m:t>4</m:t>
        </m:r>
        <m:r>
          <m:rPr>
            <m:sty m:val="p"/>
          </m:rPr>
          <m:t>,</m:t>
        </m:r>
        <m:r>
          <m:t>5</m:t>
        </m:r>
        <m:r>
          <m:rPr>
            <m:sty m:val="p"/>
          </m:rPr>
          <m:t>,</m:t>
        </m:r>
        <m:r>
          <m:t>5</m:t>
        </m:r>
        <m:r>
          <m:rPr>
            <m:sty m:val="p"/>
          </m:rPr>
          <m:t>,</m:t>
        </m:r>
        <m:r>
          <m:t>7</m:t>
        </m:r>
        <m:r>
          <m:rPr>
            <m:sty m:val="p"/>
          </m:rPr>
          <m:t>,</m:t>
        </m:r>
        <m:r>
          <m:t>8</m:t>
        </m:r>
        <m:r>
          <m:rPr>
            <m:sty m:val="p"/>
          </m:rPr>
          <m:t>,</m:t>
        </m:r>
        <m:r>
          <m:t>9</m:t>
        </m:r>
        <m:r>
          <m:rPr>
            <m:sty m:val="p"/>
          </m:rPr>
          <m:t>,</m:t>
        </m:r>
        <m:r>
          <m:t>9</m:t>
        </m:r>
        <m:r>
          <m:rPr>
            <m:sty m:val="p"/>
          </m:rPr>
          <m:t>}</m:t>
        </m:r>
      </m:oMath>
      <w:r>
        <w:t xml:space="preserve"> </w:t>
      </w:r>
      <w:r>
        <w:t xml:space="preserve">?</w:t>
      </w:r>
    </w:p>
    <w:p>
      <w:pPr>
        <w:numPr>
          <w:ilvl w:val="0"/>
          <w:numId w:val="1036"/>
        </w:numPr>
      </w:pPr>
      <w:r>
        <w:t xml:space="preserve">More</w:t>
      </w:r>
      <w:r>
        <w:t xml:space="preserve"> </w:t>
      </w:r>
      <w:r>
        <w:rPr>
          <w:b/>
          <w:bCs/>
        </w:rPr>
        <w:t xml:space="preserve">robust</w:t>
      </w:r>
      <w:r>
        <w:t xml:space="preserve"> </w:t>
      </w:r>
      <w:r>
        <w:t xml:space="preserve">to extreme values or outliers when compared to the mean.</w:t>
      </w:r>
    </w:p>
    <w:bookmarkEnd w:id="81"/>
    <w:bookmarkStart w:id="82" w:name="mode"/>
    <w:p>
      <w:pPr>
        <w:pStyle w:val="Heading2"/>
      </w:pPr>
      <w:r>
        <w:t xml:space="preserve">Mode</w:t>
      </w:r>
    </w:p>
    <w:p>
      <w:pPr>
        <w:pStyle w:val="Compact"/>
        <w:numPr>
          <w:ilvl w:val="0"/>
          <w:numId w:val="1037"/>
        </w:numPr>
      </w:pPr>
      <w:r>
        <w:rPr>
          <w:b/>
          <w:bCs/>
        </w:rPr>
        <w:t xml:space="preserve">Sample mode</w:t>
      </w:r>
      <w:r>
        <w:t xml:space="preserve">: the most frequent value in the dataset</w:t>
      </w:r>
    </w:p>
    <w:p>
      <w:pPr>
        <w:pStyle w:val="Compact"/>
        <w:numPr>
          <w:ilvl w:val="0"/>
          <w:numId w:val="1037"/>
        </w:numPr>
      </w:pPr>
      <w:r>
        <w:t xml:space="preserve">There does not only have to be one mode (we can have bimodal or trimodal or other</w:t>
      </w:r>
      <w:r>
        <w:t xml:space="preserve"> </w:t>
      </w:r>
      <w:r>
        <w:rPr>
          <w:b/>
          <w:bCs/>
        </w:rPr>
        <w:t xml:space="preserve">multimodal</w:t>
      </w:r>
      <w:r>
        <w:t xml:space="preserve"> </w:t>
      </w:r>
      <w:r>
        <w:t xml:space="preserve">distributions)</w:t>
      </w:r>
    </w:p>
    <w:p>
      <w:pPr>
        <w:pStyle w:val="Compact"/>
        <w:numPr>
          <w:ilvl w:val="0"/>
          <w:numId w:val="1037"/>
        </w:numPr>
      </w:pPr>
      <w:r>
        <w:t xml:space="preserve">Example: What is the mode of</w:t>
      </w:r>
      <w:r>
        <w:t xml:space="preserve"> </w:t>
      </w:r>
      <m:oMath>
        <m:r>
          <m:rPr>
            <m:sty m:val="p"/>
          </m:rPr>
          <m:t>{</m:t>
        </m:r>
        <m:r>
          <m:t>1</m:t>
        </m:r>
        <m:r>
          <m:rPr>
            <m:sty m:val="p"/>
          </m:rPr>
          <m:t>,</m:t>
        </m:r>
        <m:r>
          <m:t>2</m:t>
        </m:r>
        <m:r>
          <m:rPr>
            <m:sty m:val="p"/>
          </m:rPr>
          <m:t>,</m:t>
        </m:r>
        <m:r>
          <m:t>3</m:t>
        </m:r>
        <m:r>
          <m:rPr>
            <m:sty m:val="p"/>
          </m:rPr>
          <m:t>,</m:t>
        </m:r>
        <m:r>
          <m:t>4</m:t>
        </m:r>
        <m:r>
          <m:rPr>
            <m:sty m:val="p"/>
          </m:rPr>
          <m:t>,</m:t>
        </m:r>
        <m:r>
          <m:t>4</m:t>
        </m:r>
        <m:r>
          <m:rPr>
            <m:sty m:val="p"/>
          </m:rPr>
          <m:t>,</m:t>
        </m:r>
        <m:r>
          <m:t>5</m:t>
        </m:r>
        <m:r>
          <m:rPr>
            <m:sty m:val="p"/>
          </m:rPr>
          <m:t>,</m:t>
        </m:r>
        <m:r>
          <m:t>5</m:t>
        </m:r>
        <m:r>
          <m:rPr>
            <m:sty m:val="p"/>
          </m:rPr>
          <m:t>,</m:t>
        </m:r>
        <m:r>
          <m:t>5</m:t>
        </m:r>
        <m:r>
          <m:rPr>
            <m:sty m:val="p"/>
          </m:rPr>
          <m:t>,</m:t>
        </m:r>
        <m:r>
          <m:t>7</m:t>
        </m:r>
        <m:r>
          <m:rPr>
            <m:sty m:val="p"/>
          </m:rPr>
          <m:t>,</m:t>
        </m:r>
        <m:r>
          <m:t>9</m:t>
        </m:r>
        <m:r>
          <m:rPr>
            <m:sty m:val="p"/>
          </m:rPr>
          <m:t>}</m:t>
        </m:r>
      </m:oMath>
      <w:r>
        <w:t xml:space="preserve">?</w:t>
      </w:r>
    </w:p>
    <w:bookmarkEnd w:id="82"/>
    <w:bookmarkStart w:id="86" w:name="are-point-estimates-of-location-enough"/>
    <w:p>
      <w:pPr>
        <w:pStyle w:val="Heading2"/>
      </w:pPr>
      <w:r>
        <w:t xml:space="preserve">Are point estimates of location enough?</w:t>
      </w:r>
    </w:p>
    <w:p>
      <w:pPr>
        <w:pStyle w:val="FirstParagraph"/>
      </w:pPr>
      <w:r>
        <w:drawing>
          <wp:inline>
            <wp:extent cx="5334000" cy="4376615"/>
            <wp:effectExtent b="0" l="0" r="0" t="0"/>
            <wp:docPr descr="" title="" id="84" name="Picture"/>
            <a:graphic>
              <a:graphicData uri="http://schemas.openxmlformats.org/drawingml/2006/picture">
                <pic:pic>
                  <pic:nvPicPr>
                    <pic:cNvPr descr="images/lec-2/irma.png" id="85" name="Picture"/>
                    <pic:cNvPicPr>
                      <a:picLocks noChangeArrowheads="1" noChangeAspect="1"/>
                    </pic:cNvPicPr>
                  </pic:nvPicPr>
                  <pic:blipFill>
                    <a:blip r:embed="rId83"/>
                    <a:stretch>
                      <a:fillRect/>
                    </a:stretch>
                  </pic:blipFill>
                  <pic:spPr bwMode="auto">
                    <a:xfrm>
                      <a:off x="0" y="0"/>
                      <a:ext cx="5334000" cy="4376615"/>
                    </a:xfrm>
                    <a:prstGeom prst="rect">
                      <a:avLst/>
                    </a:prstGeom>
                    <a:noFill/>
                    <a:ln w="9525">
                      <a:noFill/>
                      <a:headEnd/>
                      <a:tailEnd/>
                    </a:ln>
                  </pic:spPr>
                </pic:pic>
              </a:graphicData>
            </a:graphic>
          </wp:inline>
        </w:drawing>
      </w:r>
    </w:p>
    <w:bookmarkEnd w:id="86"/>
    <w:bookmarkStart w:id="90" w:name="skewness"/>
    <w:p>
      <w:pPr>
        <w:pStyle w:val="Heading2"/>
      </w:pPr>
      <w:r>
        <w:t xml:space="preserve">Skewness</w:t>
      </w:r>
    </w:p>
    <w:p>
      <w:pPr>
        <w:pStyle w:val="SourceCode"/>
      </w:pPr>
      <w:r>
        <w:rPr>
          <w:rStyle w:val="CommentTok"/>
        </w:rPr>
        <w:t xml:space="preserve"># Set the seed for reproducibility</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Simulate data from a normal distribution</w:t>
      </w:r>
      <w:r>
        <w:br/>
      </w:r>
      <w:r>
        <w:rPr>
          <w:rStyle w:val="NormalTok"/>
        </w:rPr>
        <w:t xml:space="preserve">normal_data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400</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br/>
      </w:r>
      <w:r>
        <w:rPr>
          <w:rStyle w:val="CommentTok"/>
        </w:rPr>
        <w:t xml:space="preserve"># Transform the data to make it right-skewed</w:t>
      </w:r>
      <w:r>
        <w:br/>
      </w:r>
      <w:r>
        <w:rPr>
          <w:rStyle w:val="NormalTok"/>
        </w:rPr>
        <w:t xml:space="preserve">right_skewed_data </w:t>
      </w:r>
      <w:r>
        <w:rPr>
          <w:rStyle w:val="OtherTok"/>
        </w:rPr>
        <w:t xml:space="preserve">&lt;-</w:t>
      </w:r>
      <w:r>
        <w:rPr>
          <w:rStyle w:val="NormalTok"/>
        </w:rPr>
        <w:t xml:space="preserve"> </w:t>
      </w:r>
      <w:r>
        <w:rPr>
          <w:rStyle w:val="FunctionTok"/>
        </w:rPr>
        <w:t xml:space="preserve">exp</w:t>
      </w:r>
      <w:r>
        <w:rPr>
          <w:rStyle w:val="NormalTok"/>
        </w:rPr>
        <w:t xml:space="preserve">(normal_data)</w:t>
      </w:r>
      <w:r>
        <w:br/>
      </w:r>
      <w:r>
        <w:br/>
      </w:r>
      <w:r>
        <w:rPr>
          <w:rStyle w:val="CommentTok"/>
        </w:rPr>
        <w:t xml:space="preserve"># Create a histogram</w:t>
      </w:r>
      <w:r>
        <w:br/>
      </w:r>
      <w:r>
        <w:rPr>
          <w:rStyle w:val="FunctionTok"/>
        </w:rPr>
        <w:t xml:space="preserve">hist</w:t>
      </w:r>
      <w:r>
        <w:rPr>
          <w:rStyle w:val="NormalTok"/>
        </w:rPr>
        <w:t xml:space="preserve">(right_skewed_data, </w:t>
      </w:r>
      <w:r>
        <w:rPr>
          <w:rStyle w:val="AttributeTok"/>
        </w:rPr>
        <w:t xml:space="preserve">breaks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"darkgoldenrod3"</w:t>
      </w:r>
      <w:r>
        <w:rPr>
          <w:rStyle w:val="NormalTok"/>
        </w:rPr>
        <w:t xml:space="preserve">, </w:t>
      </w:r>
      <w:r>
        <w:rPr>
          <w:rStyle w:val="AttributeTok"/>
        </w:rPr>
        <w:t xml:space="preserve">main =</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p>
    <w:p>
      <w:pPr>
        <w:pStyle w:val="FirstParagraph"/>
      </w:pPr>
      <w:r>
        <w:drawing>
          <wp:inline>
            <wp:extent cx="5334000" cy="4267200"/>
            <wp:effectExtent b="0" l="0" r="0" t="0"/>
            <wp:docPr descr="" title="" id="88" name="Picture"/>
            <a:graphic>
              <a:graphicData uri="http://schemas.openxmlformats.org/drawingml/2006/picture">
                <pic:pic>
                  <pic:nvPicPr>
                    <pic:cNvPr descr="lec-2-nature-data-updated_AGH_files/figure-docx/unnamed-chunk-8-1.png" id="89" name="Picture"/>
                    <pic:cNvPicPr>
                      <a:picLocks noChangeArrowheads="1" noChangeAspect="1"/>
                    </pic:cNvPicPr>
                  </pic:nvPicPr>
                  <pic:blipFill>
                    <a:blip r:embed="rId87"/>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38"/>
        </w:numPr>
      </w:pPr>
      <w:r>
        <w:rPr>
          <w:b/>
          <w:bCs/>
        </w:rPr>
        <w:t xml:space="preserve">Skewed</w:t>
      </w:r>
      <w:r>
        <w:t xml:space="preserve"> </w:t>
      </w:r>
      <w:r>
        <w:t xml:space="preserve">distributions are not symmetric</w:t>
      </w:r>
    </w:p>
    <w:p>
      <w:pPr>
        <w:numPr>
          <w:ilvl w:val="0"/>
          <w:numId w:val="1038"/>
        </w:numPr>
      </w:pPr>
      <w:r>
        <w:t xml:space="preserve">They can be right or left skewed depending on which side the</w:t>
      </w:r>
      <w:r>
        <w:t xml:space="preserve"> </w:t>
      </w:r>
      <w:r>
        <w:t xml:space="preserve">“tail”</w:t>
      </w:r>
      <w:r>
        <w:t xml:space="preserve"> </w:t>
      </w:r>
      <w:r>
        <w:t xml:space="preserve">is on.</w:t>
      </w:r>
    </w:p>
    <w:bookmarkEnd w:id="90"/>
    <w:bookmarkStart w:id="91" w:name="minimum-maximum-and-range"/>
    <w:p>
      <w:pPr>
        <w:pStyle w:val="Heading2"/>
      </w:pPr>
      <w:r>
        <w:t xml:space="preserve">Minimum, maximum, and range</w:t>
      </w:r>
    </w:p>
    <w:p>
      <w:pPr>
        <w:numPr>
          <w:ilvl w:val="0"/>
          <w:numId w:val="1039"/>
        </w:numPr>
      </w:pPr>
      <w:r>
        <w:rPr>
          <w:b/>
          <w:bCs/>
        </w:rPr>
        <w:t xml:space="preserve">Sample minimum</w:t>
      </w:r>
      <w:r>
        <w:t xml:space="preserve"> </w:t>
      </w:r>
      <w:r>
        <w:t xml:space="preserve">and</w:t>
      </w:r>
      <w:r>
        <w:t xml:space="preserve"> </w:t>
      </w:r>
      <w:r>
        <w:rPr>
          <w:b/>
          <w:bCs/>
        </w:rPr>
        <w:t xml:space="preserve">maximum</w:t>
      </w:r>
      <w:r>
        <w:t xml:space="preserve">: the smallest and largest observations in the dataset</w:t>
      </w:r>
    </w:p>
    <w:p>
      <w:pPr>
        <w:numPr>
          <w:ilvl w:val="0"/>
          <w:numId w:val="1039"/>
        </w:numPr>
      </w:pPr>
      <w:r>
        <w:rPr>
          <w:b/>
          <w:bCs/>
        </w:rPr>
        <w:t xml:space="preserve">Sample range</w:t>
      </w:r>
      <w:r>
        <w:t xml:space="preserve">: the difference between the sample maximum and the sample minimum</w:t>
      </w:r>
    </w:p>
    <w:bookmarkEnd w:id="91"/>
    <w:bookmarkStart w:id="92" w:name="quantiles"/>
    <w:p>
      <w:pPr>
        <w:pStyle w:val="Heading2"/>
      </w:pPr>
      <w:r>
        <w:t xml:space="preserve">Quantiles</w:t>
      </w:r>
    </w:p>
    <w:p>
      <w:pPr>
        <w:numPr>
          <w:ilvl w:val="0"/>
          <w:numId w:val="1040"/>
        </w:numPr>
      </w:pPr>
      <w:r>
        <w:t xml:space="preserve">Cutpoints dividing the data into equal-sized groups (tertiles, quartiles, quintiles, percentiles, etc.)</w:t>
      </w:r>
    </w:p>
    <w:p>
      <w:pPr>
        <w:numPr>
          <w:ilvl w:val="0"/>
          <w:numId w:val="1040"/>
        </w:numPr>
      </w:pPr>
      <w:r>
        <w:t xml:space="preserve">First quartile (Q1) and third quartile (Q3) cut off the bottom and top 25%, respectively</w:t>
      </w:r>
    </w:p>
    <w:p>
      <w:pPr>
        <w:numPr>
          <w:ilvl w:val="0"/>
          <w:numId w:val="1040"/>
        </w:numPr>
      </w:pPr>
      <w:r>
        <w:rPr>
          <w:b/>
          <w:bCs/>
        </w:rPr>
        <w:t xml:space="preserve">Interquartile range</w:t>
      </w:r>
      <w:r>
        <w:t xml:space="preserve"> </w:t>
      </w:r>
      <w:r>
        <w:t xml:space="preserve">(IQR): Q3-Q1; shows the width of the middle 50% of the data</w:t>
      </w:r>
    </w:p>
    <w:p>
      <w:pPr>
        <w:numPr>
          <w:ilvl w:val="0"/>
          <w:numId w:val="1040"/>
        </w:numPr>
      </w:pPr>
      <w:r>
        <w:t xml:space="preserve">The sample minimum, Q1, Q2 (median), Q3, and maximum are sometimes called the</w:t>
      </w:r>
      <w:r>
        <w:t xml:space="preserve"> </w:t>
      </w:r>
      <w:r>
        <w:rPr>
          <w:b/>
          <w:bCs/>
        </w:rPr>
        <w:t xml:space="preserve">five number summary</w:t>
      </w:r>
    </w:p>
    <w:bookmarkEnd w:id="92"/>
    <w:bookmarkStart w:id="93" w:name="outliers"/>
    <w:p>
      <w:pPr>
        <w:pStyle w:val="Heading2"/>
      </w:pPr>
      <w:r>
        <w:t xml:space="preserve">Outliers</w:t>
      </w:r>
    </w:p>
    <w:p>
      <w:pPr>
        <w:numPr>
          <w:ilvl w:val="0"/>
          <w:numId w:val="1041"/>
        </w:numPr>
      </w:pPr>
      <w:r>
        <w:t xml:space="preserve">Observations numerically distant from others (definitions vary)</w:t>
      </w:r>
    </w:p>
    <w:p>
      <w:pPr>
        <w:numPr>
          <w:ilvl w:val="0"/>
          <w:numId w:val="1041"/>
        </w:numPr>
      </w:pPr>
      <w:r>
        <w:t xml:space="preserve">Statistical methods robust to outliers (e.g. the median) can be used if outliers are problematic</w:t>
      </w:r>
    </w:p>
    <w:p>
      <w:pPr>
        <w:numPr>
          <w:ilvl w:val="0"/>
          <w:numId w:val="1041"/>
        </w:numPr>
      </w:pPr>
      <w:r>
        <w:t xml:space="preserve">For example: the mean of 1, 2, 3, 4, 5, 10 is 4.1667, while the median of the same set of numbers is 3.5.</w:t>
      </w:r>
    </w:p>
    <w:p>
      <w:pPr>
        <w:numPr>
          <w:ilvl w:val="0"/>
          <w:numId w:val="1041"/>
        </w:numPr>
      </w:pPr>
      <w:r>
        <w:t xml:space="preserve">Should be noted and handled carefully! (e.g. maternal ages of 11 vs 111 in a dataset)</w:t>
      </w:r>
    </w:p>
    <w:bookmarkEnd w:id="93"/>
    <w:bookmarkStart w:id="94" w:name="standard-deviation"/>
    <w:p>
      <w:pPr>
        <w:pStyle w:val="Heading2"/>
      </w:pPr>
      <w:r>
        <w:t xml:space="preserve">Standard deviation</w:t>
      </w:r>
    </w:p>
    <w:p>
      <w:pPr>
        <w:pStyle w:val="Compact"/>
        <w:numPr>
          <w:ilvl w:val="0"/>
          <w:numId w:val="1042"/>
        </w:numPr>
      </w:pPr>
      <w:r>
        <w:rPr>
          <w:b/>
          <w:bCs/>
        </w:rPr>
        <w:t xml:space="preserve">Sample standard deviation</w:t>
      </w:r>
      <w:r>
        <w:t xml:space="preserve">: most common measure of spread, based on deviations around the mean</w:t>
      </w:r>
    </w:p>
    <w:p>
      <w:pPr>
        <w:pStyle w:val="FirstParagraph"/>
      </w:pPr>
      <m:oMathPara>
        <m:oMathParaPr>
          <m:jc m:val="center"/>
        </m:oMathParaPr>
        <m:oMath>
          <m:r>
            <m:t>s</m:t>
          </m:r>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oMath>
      </m:oMathPara>
    </w:p>
    <w:p>
      <w:pPr>
        <w:numPr>
          <w:ilvl w:val="0"/>
          <w:numId w:val="1043"/>
        </w:numPr>
      </w:pPr>
      <w:r>
        <w:t xml:space="preserve">Population SD</w:t>
      </w:r>
      <w:r>
        <w:t xml:space="preserve"> </w:t>
      </w:r>
      <m:oMath>
        <m:r>
          <m:t>σ</m:t>
        </m:r>
      </m:oMath>
      <w:r>
        <w:t xml:space="preserve"> </w:t>
      </w:r>
      <w:r>
        <w:t xml:space="preserve">is calculated the same way, but requires sum over everyone in the population (with</w:t>
      </w:r>
      <w:r>
        <w:t xml:space="preserve"> </w:t>
      </w:r>
      <m:oMath>
        <m:acc>
          <m:accPr>
            <m:chr m:val="‾"/>
          </m:accPr>
          <m:e>
            <m:r>
              <m:t>x</m:t>
            </m:r>
          </m:e>
        </m:acc>
      </m:oMath>
      <w:r>
        <w:t xml:space="preserve"> </w:t>
      </w:r>
      <w:r>
        <w:t xml:space="preserve">replaced by</w:t>
      </w:r>
      <w:r>
        <w:t xml:space="preserve"> </w:t>
      </w:r>
      <m:oMath>
        <m:r>
          <m:t>μ</m:t>
        </m:r>
      </m:oMath>
      <w:r>
        <w:t xml:space="preserve">)</w:t>
      </w:r>
    </w:p>
    <w:p>
      <w:pPr>
        <w:numPr>
          <w:ilvl w:val="0"/>
          <w:numId w:val="1043"/>
        </w:numPr>
      </w:pPr>
      <w:r>
        <w:t xml:space="preserve">Same units as original dataset for easier interpretation</w:t>
      </w:r>
    </w:p>
    <w:p>
      <w:pPr>
        <w:numPr>
          <w:ilvl w:val="0"/>
          <w:numId w:val="1043"/>
        </w:numPr>
      </w:pPr>
      <w:r>
        <w:t xml:space="preserve">Often used to express confidence (e.g. a</w:t>
      </w:r>
      <w:r>
        <w:t xml:space="preserve"> </w:t>
      </w:r>
      <w:r>
        <w:rPr>
          <w:b/>
          <w:bCs/>
        </w:rPr>
        <w:t xml:space="preserve">margin of error</w:t>
      </w:r>
      <w:r>
        <w:t xml:space="preserve"> </w:t>
      </w:r>
      <w:r>
        <w:t xml:space="preserve">for a poll being around</w:t>
      </w:r>
      <w:r>
        <w:t xml:space="preserve"> </w:t>
      </w:r>
      <m:oMath>
        <m:r>
          <m:rPr>
            <m:sty m:val="p"/>
          </m:rPr>
          <m:t>±</m:t>
        </m:r>
      </m:oMath>
      <w:r>
        <w:t xml:space="preserve"> </w:t>
      </w:r>
      <w:r>
        <w:t xml:space="preserve">2 SD of the mean)</w:t>
      </w:r>
    </w:p>
    <w:p>
      <w:pPr>
        <w:numPr>
          <w:ilvl w:val="0"/>
          <w:numId w:val="1043"/>
        </w:numPr>
      </w:pPr>
      <w:r>
        <w:t xml:space="preserve">Squared deviations weight larger deviations more heavily, and so also positive and negative deviations do not cancel out</w:t>
      </w:r>
    </w:p>
    <w:bookmarkEnd w:id="94"/>
    <w:bookmarkStart w:id="97" w:name="lets-go-back-to-this-descriptive-table"/>
    <w:p>
      <w:pPr>
        <w:pStyle w:val="Heading2"/>
      </w:pPr>
      <w:r>
        <w:t xml:space="preserve">Let’s go back to this descriptive table</w:t>
      </w:r>
    </w:p>
    <w:p>
      <w:pPr>
        <w:pStyle w:val="FirstParagraph"/>
      </w:pPr>
      <w:r>
        <w:drawing>
          <wp:inline>
            <wp:extent cx="3810000" cy="2706608"/>
            <wp:effectExtent b="0" l="0" r="0" t="0"/>
            <wp:docPr descr="" title="" id="95" name="Picture"/>
            <a:graphic>
              <a:graphicData uri="http://schemas.openxmlformats.org/drawingml/2006/picture">
                <pic:pic>
                  <pic:nvPicPr>
                    <pic:cNvPr descr="images/lec-2/tab1.PNG" id="96" name="Picture"/>
                    <pic:cNvPicPr>
                      <a:picLocks noChangeArrowheads="1" noChangeAspect="1"/>
                    </pic:cNvPicPr>
                  </pic:nvPicPr>
                  <pic:blipFill>
                    <a:blip r:embed="rId38"/>
                    <a:stretch>
                      <a:fillRect/>
                    </a:stretch>
                  </pic:blipFill>
                  <pic:spPr bwMode="auto">
                    <a:xfrm>
                      <a:off x="0" y="0"/>
                      <a:ext cx="3810000" cy="2706608"/>
                    </a:xfrm>
                    <a:prstGeom prst="rect">
                      <a:avLst/>
                    </a:prstGeom>
                    <a:noFill/>
                    <a:ln w="9525">
                      <a:noFill/>
                      <a:headEnd/>
                      <a:tailEnd/>
                    </a:ln>
                  </pic:spPr>
                </pic:pic>
              </a:graphicData>
            </a:graphic>
          </wp:inline>
        </w:drawing>
      </w:r>
    </w:p>
    <w:bookmarkEnd w:id="97"/>
    <w:bookmarkStart w:id="98" w:name="variance"/>
    <w:p>
      <w:pPr>
        <w:pStyle w:val="Heading2"/>
      </w:pPr>
      <w:r>
        <w:t xml:space="preserve">Variance</w:t>
      </w:r>
    </w:p>
    <w:p>
      <w:pPr>
        <w:pStyle w:val="Compact"/>
        <w:numPr>
          <w:ilvl w:val="0"/>
          <w:numId w:val="1044"/>
        </w:numPr>
      </w:pPr>
      <w:r>
        <w:rPr>
          <w:b/>
          <w:bCs/>
        </w:rPr>
        <w:t xml:space="preserve">Sample variance</w:t>
      </w:r>
      <w:r>
        <w:t xml:space="preserve">: approximately the average squared deviation from the mean</w:t>
      </w:r>
    </w:p>
    <w:p>
      <w:pPr>
        <w:pStyle w:val="FirstParagraph"/>
      </w:pPr>
      <m:oMathPara>
        <m:oMathParaPr>
          <m:jc m:val="center"/>
        </m:oMathParaP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oMath>
      </m:oMathPara>
    </w:p>
    <w:p>
      <w:pPr>
        <w:pStyle w:val="Compact"/>
        <w:numPr>
          <w:ilvl w:val="0"/>
          <w:numId w:val="1045"/>
        </w:numPr>
      </w:pPr>
      <w:r>
        <w:t xml:space="preserve">Estimate of the population variance</w:t>
      </w:r>
      <w:r>
        <w:t xml:space="preserve"> </w:t>
      </w:r>
      <m:oMath>
        <m:sSup>
          <m:e>
            <m:r>
              <m:t>σ</m:t>
            </m:r>
          </m:e>
          <m:sup>
            <m:r>
              <m:t>2</m:t>
            </m:r>
          </m:sup>
        </m:sSup>
      </m:oMath>
    </w:p>
    <w:p>
      <w:pPr>
        <w:pStyle w:val="Compact"/>
        <w:numPr>
          <w:ilvl w:val="0"/>
          <w:numId w:val="1045"/>
        </w:numPr>
      </w:pPr>
      <w:r>
        <w:t xml:space="preserve">Division by</w:t>
      </w:r>
      <w:r>
        <w:t xml:space="preserve"> </w:t>
      </w:r>
      <m:oMath>
        <m:r>
          <m:t>n</m:t>
        </m:r>
        <m:r>
          <m:rPr>
            <m:sty m:val="p"/>
          </m:rPr>
          <m:t>−</m:t>
        </m:r>
        <m:r>
          <m:t>1</m:t>
        </m:r>
      </m:oMath>
      <w:r>
        <w:t xml:space="preserve"> </w:t>
      </w:r>
      <w:r>
        <w:t xml:space="preserve">instead of</w:t>
      </w:r>
      <w:r>
        <w:t xml:space="preserve"> </w:t>
      </w:r>
      <m:oMath>
        <m:r>
          <m:t>n</m:t>
        </m:r>
      </m:oMath>
      <w:r>
        <w:t xml:space="preserve"> </w:t>
      </w:r>
      <w:r>
        <w:t xml:space="preserve">to avoid bias in small samples</w:t>
      </w:r>
    </w:p>
    <w:p>
      <w:pPr>
        <w:pStyle w:val="Compact"/>
        <w:numPr>
          <w:ilvl w:val="1"/>
          <w:numId w:val="1046"/>
        </w:numPr>
      </w:pPr>
      <w:r>
        <w:t xml:space="preserve">Don’t worry about that right now, more details in a subsequent statistics class if interested</w:t>
      </w:r>
    </w:p>
    <w:bookmarkEnd w:id="98"/>
    <w:bookmarkStart w:id="99" w:name="how-big-are-most-values"/>
    <w:p>
      <w:pPr>
        <w:pStyle w:val="Heading2"/>
      </w:pPr>
      <w:r>
        <w:t xml:space="preserve">How big are most values?</w:t>
      </w:r>
    </w:p>
    <w:p>
      <w:pPr>
        <w:pStyle w:val="Compact"/>
        <w:numPr>
          <w:ilvl w:val="0"/>
          <w:numId w:val="1047"/>
        </w:numPr>
      </w:pPr>
      <w:r>
        <w:t xml:space="preserve">For a distribution of any shape, most of the data are within</w:t>
      </w:r>
      <w:r>
        <w:t xml:space="preserve"> </w:t>
      </w:r>
      <w:r>
        <w:t xml:space="preserve">“average</w:t>
      </w:r>
      <w:r>
        <w:t xml:space="preserve"> </w:t>
      </w:r>
      <m:oMath>
        <m:r>
          <m:rPr>
            <m:sty m:val="p"/>
          </m:rPr>
          <m:t>±</m:t>
        </m:r>
      </m:oMath>
      <w:r>
        <w:t xml:space="preserve"> </w:t>
      </w:r>
      <m:oMath>
        <m:r>
          <m:t>k</m:t>
        </m:r>
      </m:oMath>
      <w:r>
        <w:t xml:space="preserve"> </w:t>
      </w:r>
      <w:r>
        <w:t xml:space="preserve">SDs”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Chebyshev’s inequality</w:t>
            </w:r>
          </w:p>
          <w:p>
            <w:pPr>
              <w:pStyle w:val="Compact"/>
              <w:numPr>
                <w:ilvl w:val="0"/>
                <w:numId w:val="1048"/>
              </w:numPr>
            </w:pPr>
            <w:r>
              <w:rPr>
                <w:b/>
                <w:bCs/>
              </w:rPr>
              <w:t xml:space="preserve">Chebyshev’s inequality</w:t>
            </w:r>
            <w:r>
              <w:t xml:space="preserve"> </w:t>
            </w:r>
            <w:r>
              <w:t xml:space="preserve">tells us the proportion of values in the range</w:t>
            </w:r>
            <w:r>
              <w:t xml:space="preserve"> </w:t>
            </w:r>
            <w:r>
              <w:t xml:space="preserve">“average</w:t>
            </w:r>
            <w:r>
              <w:t xml:space="preserve"> </w:t>
            </w:r>
            <m:oMath>
              <m:r>
                <m:rPr>
                  <m:sty m:val="p"/>
                </m:rPr>
                <m:t>±</m:t>
              </m:r>
            </m:oMath>
            <w:r>
              <w:t xml:space="preserve"> </w:t>
            </w:r>
            <m:oMath>
              <m:r>
                <m:t>k</m:t>
              </m:r>
            </m:oMath>
            <w:r>
              <w:t xml:space="preserve"> </w:t>
            </w:r>
            <w:r>
              <w:t xml:space="preserve">SDs”</w:t>
            </w:r>
            <w:r>
              <w:t xml:space="preserve"> </w:t>
            </w:r>
            <w:r>
              <w:t xml:space="preserve">is at least</w:t>
            </w:r>
            <w:r>
              <w:t xml:space="preserve"> </w:t>
            </w:r>
            <m:oMath>
              <m:r>
                <m:t>1</m:t>
              </m:r>
              <m:r>
                <m:rPr>
                  <m:sty m:val="p"/>
                </m:rPr>
                <m:t>−</m:t>
              </m:r>
              <m:f>
                <m:fPr>
                  <m:type m:val="bar"/>
                </m:fPr>
                <m:num>
                  <m:r>
                    <m:t>1</m:t>
                  </m:r>
                </m:num>
                <m:den>
                  <m:sSup>
                    <m:e>
                      <m:r>
                        <m:t>k</m:t>
                      </m:r>
                    </m:e>
                    <m:sup>
                      <m:r>
                        <m:t>2</m:t>
                      </m:r>
                    </m:sup>
                  </m:sSup>
                </m:den>
              </m:f>
            </m:oMath>
          </w:p>
        </w:tc>
      </w:tr>
    </w:tbl>
    <w:bookmarkEnd w:id="99"/>
    <w:bookmarkStart w:id="100" w:name="chevychevs-bounds"/>
    <w:p>
      <w:pPr>
        <w:pStyle w:val="Heading2"/>
      </w:pPr>
      <w:r>
        <w:t xml:space="preserve">Chevychev’s bounds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Range</w:t>
            </w:r>
          </w:p>
        </w:tc>
        <w:tc>
          <w:tcPr/>
          <w:p>
            <w:pPr>
              <w:pStyle w:val="Compact"/>
              <w:jc w:val="center"/>
            </w:pPr>
            <w:r>
              <w:t xml:space="preserve">Proportion</w:t>
            </w:r>
          </w:p>
        </w:tc>
      </w:tr>
      <w:tr>
        <w:tc>
          <w:tcPr/>
          <w:p>
            <w:pPr>
              <w:pStyle w:val="Compact"/>
              <w:jc w:val="center"/>
            </w:pPr>
            <w:r>
              <w:t xml:space="preserve">Average</w:t>
            </w:r>
            <w:r>
              <w:t xml:space="preserve"> </w:t>
            </w:r>
            <m:oMath>
              <m:r>
                <m:rPr>
                  <m:sty m:val="p"/>
                </m:rPr>
                <m:t>±</m:t>
              </m:r>
            </m:oMath>
            <w:r>
              <w:t xml:space="preserve"> </w:t>
            </w:r>
            <w:r>
              <w:t xml:space="preserve">2 SDs</w:t>
            </w:r>
          </w:p>
        </w:tc>
        <w:tc>
          <w:tcPr/>
          <w:p>
            <w:pPr>
              <w:pStyle w:val="Compact"/>
              <w:jc w:val="center"/>
            </w:pPr>
            <w:r>
              <w:t xml:space="preserve">at least</w:t>
            </w:r>
            <w:r>
              <w:t xml:space="preserve"> </w:t>
            </w:r>
            <m:oMath>
              <m:r>
                <m:t>1</m:t>
              </m:r>
              <m:r>
                <m:rPr>
                  <m:sty m:val="p"/>
                </m:rPr>
                <m:t>−</m:t>
              </m:r>
              <m:f>
                <m:fPr>
                  <m:type m:val="bar"/>
                </m:fPr>
                <m:num>
                  <m:r>
                    <m:t>1</m:t>
                  </m:r>
                </m:num>
                <m:den>
                  <m:r>
                    <m:t>4</m:t>
                  </m:r>
                </m:den>
              </m:f>
            </m:oMath>
            <w:r>
              <w:t xml:space="preserve"> </w:t>
            </w:r>
            <w:r>
              <w:t xml:space="preserve">= 75%</w:t>
            </w:r>
          </w:p>
        </w:tc>
      </w:tr>
      <w:tr>
        <w:tc>
          <w:tcPr/>
          <w:p>
            <w:pPr>
              <w:pStyle w:val="Compact"/>
              <w:jc w:val="center"/>
            </w:pPr>
            <w:r>
              <w:t xml:space="preserve">Average</w:t>
            </w:r>
            <w:r>
              <w:t xml:space="preserve"> </w:t>
            </w:r>
            <m:oMath>
              <m:r>
                <m:rPr>
                  <m:sty m:val="p"/>
                </m:rPr>
                <m:t>±</m:t>
              </m:r>
            </m:oMath>
            <w:r>
              <w:t xml:space="preserve"> </w:t>
            </w:r>
            <w:r>
              <w:t xml:space="preserve">3 SDs</w:t>
            </w:r>
          </w:p>
        </w:tc>
        <w:tc>
          <w:tcPr/>
          <w:p>
            <w:pPr>
              <w:pStyle w:val="Compact"/>
              <w:jc w:val="center"/>
            </w:pPr>
            <w:r>
              <w:t xml:space="preserve">at least</w:t>
            </w:r>
            <w:r>
              <w:t xml:space="preserve"> </w:t>
            </w:r>
            <m:oMath>
              <m:r>
                <m:t>1</m:t>
              </m:r>
              <m:r>
                <m:rPr>
                  <m:sty m:val="p"/>
                </m:rPr>
                <m:t>−</m:t>
              </m:r>
              <m:f>
                <m:fPr>
                  <m:type m:val="bar"/>
                </m:fPr>
                <m:num>
                  <m:r>
                    <m:t>1</m:t>
                  </m:r>
                </m:num>
                <m:den>
                  <m:r>
                    <m:t>9</m:t>
                  </m:r>
                </m:den>
              </m:f>
            </m:oMath>
            <w:r>
              <w:t xml:space="preserve"> </w:t>
            </w:r>
            <w:r>
              <w:t xml:space="preserve">= 89%</w:t>
            </w:r>
          </w:p>
        </w:tc>
      </w:tr>
      <w:tr>
        <w:tc>
          <w:tcPr/>
          <w:p>
            <w:pPr>
              <w:pStyle w:val="Compact"/>
              <w:jc w:val="center"/>
            </w:pPr>
            <w:r>
              <w:t xml:space="preserve">Average</w:t>
            </w:r>
            <w:r>
              <w:t xml:space="preserve"> </w:t>
            </w:r>
            <m:oMath>
              <m:r>
                <m:rPr>
                  <m:sty m:val="p"/>
                </m:rPr>
                <m:t>±</m:t>
              </m:r>
            </m:oMath>
            <w:r>
              <w:t xml:space="preserve"> </w:t>
            </w:r>
            <w:r>
              <w:t xml:space="preserve">4 SDs</w:t>
            </w:r>
          </w:p>
        </w:tc>
        <w:tc>
          <w:tcPr/>
          <w:p>
            <w:pPr>
              <w:pStyle w:val="Compact"/>
              <w:jc w:val="center"/>
            </w:pPr>
            <w:r>
              <w:t xml:space="preserve">at least</w:t>
            </w:r>
            <w:r>
              <w:t xml:space="preserve"> </w:t>
            </w:r>
            <m:oMath>
              <m:r>
                <m:t>1</m:t>
              </m:r>
              <m:r>
                <m:rPr>
                  <m:sty m:val="p"/>
                </m:rPr>
                <m:t>−</m:t>
              </m:r>
              <m:f>
                <m:fPr>
                  <m:type m:val="bar"/>
                </m:fPr>
                <m:num>
                  <m:r>
                    <m:t>1</m:t>
                  </m:r>
                </m:num>
                <m:den>
                  <m:r>
                    <m:t>16</m:t>
                  </m:r>
                </m:den>
              </m:f>
            </m:oMath>
            <w:r>
              <w:t xml:space="preserve"> </w:t>
            </w:r>
            <w:r>
              <w:t xml:space="preserve">= 94%</w:t>
            </w:r>
          </w:p>
        </w:tc>
      </w:tr>
      <w:tr>
        <w:tc>
          <w:tcPr/>
          <w:p>
            <w:pPr>
              <w:pStyle w:val="Compact"/>
              <w:jc w:val="center"/>
            </w:pPr>
            <w:r>
              <w:t xml:space="preserve">Average</w:t>
            </w:r>
            <w:r>
              <w:t xml:space="preserve"> </w:t>
            </w:r>
            <m:oMath>
              <m:r>
                <m:rPr>
                  <m:sty m:val="p"/>
                </m:rPr>
                <m:t>±</m:t>
              </m:r>
            </m:oMath>
            <w:r>
              <w:t xml:space="preserve"> </w:t>
            </w:r>
            <w:r>
              <w:t xml:space="preserve">5 SDs</w:t>
            </w:r>
          </w:p>
        </w:tc>
        <w:tc>
          <w:tcPr/>
          <w:p>
            <w:pPr>
              <w:pStyle w:val="Compact"/>
              <w:jc w:val="center"/>
            </w:pPr>
            <w:r>
              <w:t xml:space="preserve">at least</w:t>
            </w:r>
            <w:r>
              <w:t xml:space="preserve"> </w:t>
            </w:r>
            <m:oMath>
              <m:r>
                <m:t>1</m:t>
              </m:r>
              <m:r>
                <m:rPr>
                  <m:sty m:val="p"/>
                </m:rPr>
                <m:t>−</m:t>
              </m:r>
              <m:f>
                <m:fPr>
                  <m:type m:val="bar"/>
                </m:fPr>
                <m:num>
                  <m:r>
                    <m:t>1</m:t>
                  </m:r>
                </m:num>
                <m:den>
                  <m:r>
                    <m:t>25</m:t>
                  </m:r>
                </m:den>
              </m:f>
            </m:oMath>
            <w:r>
              <w:t xml:space="preserve"> </w:t>
            </w:r>
            <w:r>
              <w:t xml:space="preserve">= 96%</w:t>
            </w:r>
          </w:p>
        </w:tc>
      </w:tr>
    </w:tbl>
    <w:p>
      <w:pPr>
        <w:numPr>
          <w:ilvl w:val="0"/>
          <w:numId w:val="1049"/>
        </w:numPr>
      </w:pPr>
      <w:r>
        <w:t xml:space="preserve">If we know the exact distribution (coming soon), we can often calculate better bounds</w:t>
      </w:r>
    </w:p>
    <w:p>
      <w:pPr>
        <w:numPr>
          <w:ilvl w:val="0"/>
          <w:numId w:val="1049"/>
        </w:numPr>
      </w:pPr>
      <w:r>
        <w:t xml:space="preserve">However, these bounds hold for</w:t>
      </w:r>
      <w:r>
        <w:t xml:space="preserve"> </w:t>
      </w:r>
      <w:r>
        <w:rPr>
          <w:i/>
          <w:iCs/>
        </w:rPr>
        <w:t xml:space="preserve">any</w:t>
      </w:r>
      <w:r>
        <w:t xml:space="preserve"> </w:t>
      </w:r>
      <w:r>
        <w:t xml:space="preserve">distribution (that has a well-defined mean and variance)</w:t>
      </w:r>
    </w:p>
    <w:bookmarkEnd w:id="100"/>
    <w:bookmarkStart w:id="101" w:name="why-is-chebyshevs-inequality-useful"/>
    <w:p>
      <w:pPr>
        <w:pStyle w:val="Heading2"/>
      </w:pPr>
      <w:r>
        <w:t xml:space="preserve">Why is Chebyshev’s inequality useful?</w:t>
      </w:r>
    </w:p>
    <w:p>
      <w:pPr>
        <w:numPr>
          <w:ilvl w:val="0"/>
          <w:numId w:val="1050"/>
        </w:numPr>
      </w:pPr>
      <w:r>
        <w:t xml:space="preserve">You may have heard of the</w:t>
      </w:r>
      <w:r>
        <w:t xml:space="preserve"> </w:t>
      </w:r>
      <w:r>
        <w:t xml:space="preserve">“68-95-99.7”</w:t>
      </w:r>
      <w:r>
        <w:t xml:space="preserve"> </w:t>
      </w:r>
      <w:r>
        <w:t xml:space="preserve">rule. (68% of your data are within 1 SD, 95% are within 2 SD, 99.7% are within 3 SD).</w:t>
      </w:r>
    </w:p>
    <w:p>
      <w:pPr>
        <w:numPr>
          <w:ilvl w:val="0"/>
          <w:numId w:val="1050"/>
        </w:numPr>
      </w:pPr>
      <w:r>
        <w:t xml:space="preserve">However, this only works for bell-shaped (normal distribution) data.</w:t>
      </w:r>
    </w:p>
    <w:p>
      <w:pPr>
        <w:numPr>
          <w:ilvl w:val="0"/>
          <w:numId w:val="1050"/>
        </w:numPr>
      </w:pPr>
      <w:r>
        <w:t xml:space="preserve">Chebyshev holds for all distributions - no matter how skewed or irregular!</w:t>
      </w:r>
    </w:p>
    <w:bookmarkEnd w:id="101"/>
    <w:bookmarkStart w:id="108" w:name="why-not-always-use-means-and-sds"/>
    <w:p>
      <w:pPr>
        <w:pStyle w:val="Heading2"/>
      </w:pPr>
      <w:r>
        <w:t xml:space="preserve">Why not always use means and SDs?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 Calculate the mean and standard deviation of the right-skewed distribution</w:t>
      </w:r>
      <w:r>
        <w:br/>
      </w:r>
      <w:r>
        <w:rPr>
          <w:rStyle w:val="NormalTok"/>
        </w:rPr>
        <w:t xml:space="preserve">mean_skewed </w:t>
      </w:r>
      <w:r>
        <w:rPr>
          <w:rStyle w:val="OtherTok"/>
        </w:rPr>
        <w:t xml:space="preserve">&lt;-</w:t>
      </w:r>
      <w:r>
        <w:rPr>
          <w:rStyle w:val="NormalTok"/>
        </w:rPr>
        <w:t xml:space="preserve"> </w:t>
      </w:r>
      <w:r>
        <w:rPr>
          <w:rStyle w:val="FunctionTok"/>
        </w:rPr>
        <w:t xml:space="preserve">mean</w:t>
      </w:r>
      <w:r>
        <w:rPr>
          <w:rStyle w:val="NormalTok"/>
        </w:rPr>
        <w:t xml:space="preserve">(right_skewed_data)</w:t>
      </w:r>
      <w:r>
        <w:br/>
      </w:r>
      <w:r>
        <w:rPr>
          <w:rStyle w:val="NormalTok"/>
        </w:rPr>
        <w:t xml:space="preserve">sd_skewed </w:t>
      </w:r>
      <w:r>
        <w:rPr>
          <w:rStyle w:val="OtherTok"/>
        </w:rPr>
        <w:t xml:space="preserve">&lt;-</w:t>
      </w:r>
      <w:r>
        <w:rPr>
          <w:rStyle w:val="NormalTok"/>
        </w:rPr>
        <w:t xml:space="preserve"> </w:t>
      </w:r>
      <w:r>
        <w:rPr>
          <w:rStyle w:val="FunctionTok"/>
        </w:rPr>
        <w:t xml:space="preserve">sd</w:t>
      </w:r>
      <w:r>
        <w:rPr>
          <w:rStyle w:val="NormalTok"/>
        </w:rPr>
        <w:t xml:space="preserve">(right_skewed_data)</w:t>
      </w:r>
      <w:r>
        <w:br/>
      </w:r>
      <w:r>
        <w:br/>
      </w:r>
      <w:r>
        <w:rPr>
          <w:rStyle w:val="CommentTok"/>
        </w:rPr>
        <w:t xml:space="preserve"># Simulate a symmetric normal distribution with the same mean and standard deviation</w:t>
      </w:r>
      <w:r>
        <w:br/>
      </w:r>
      <w:r>
        <w:rPr>
          <w:rStyle w:val="NormalTok"/>
        </w:rPr>
        <w:t xml:space="preserve">symmetric_normal_data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w:t>
      </w:r>
      <w:r>
        <w:rPr>
          <w:rStyle w:val="NormalTok"/>
        </w:rPr>
        <w:t xml:space="preserve">, </w:t>
      </w:r>
      <w:r>
        <w:rPr>
          <w:rStyle w:val="AttributeTok"/>
        </w:rPr>
        <w:t xml:space="preserve">mean =</w:t>
      </w:r>
      <w:r>
        <w:rPr>
          <w:rStyle w:val="NormalTok"/>
        </w:rPr>
        <w:t xml:space="preserve"> mean_skewed, </w:t>
      </w:r>
      <w:r>
        <w:rPr>
          <w:rStyle w:val="AttributeTok"/>
        </w:rPr>
        <w:t xml:space="preserve">sd =</w:t>
      </w:r>
      <w:r>
        <w:rPr>
          <w:rStyle w:val="NormalTok"/>
        </w:rPr>
        <w:t xml:space="preserve"> sd_skewed)</w:t>
      </w:r>
      <w:r>
        <w:br/>
      </w:r>
      <w:r>
        <w:br/>
      </w:r>
      <w:r>
        <w:rPr>
          <w:rStyle w:val="CommentTok"/>
        </w:rPr>
        <w:t xml:space="preserve"># Create a histogram of the symmetric normal distribution without axes, axis labels, or main title</w:t>
      </w:r>
      <w:r>
        <w:br/>
      </w:r>
      <w:r>
        <w:rPr>
          <w:rStyle w:val="FunctionTok"/>
        </w:rPr>
        <w:t xml:space="preserve">hist</w:t>
      </w:r>
      <w:r>
        <w:rPr>
          <w:rStyle w:val="NormalTok"/>
        </w:rPr>
        <w:t xml:space="preserve">(right_skewed_data, </w:t>
      </w:r>
      <w:r>
        <w:rPr>
          <w:rStyle w:val="AttributeTok"/>
        </w:rPr>
        <w:t xml:space="preserve">breaks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"darkgoldenrod3"</w:t>
      </w:r>
      <w:r>
        <w:rPr>
          <w:rStyle w:val="NormalTok"/>
        </w:rPr>
        <w:t xml:space="preserve">, </w:t>
      </w:r>
      <w:r>
        <w:rPr>
          <w:rStyle w:val="AttributeTok"/>
        </w:rPr>
        <w:t xml:space="preserve">main =</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p>
    <w:p>
      <w:pPr>
        <w:pStyle w:val="FirstParagraph"/>
      </w:pPr>
      <w:r>
        <w:drawing>
          <wp:inline>
            <wp:extent cx="5334000" cy="4267200"/>
            <wp:effectExtent b="0" l="0" r="0" t="0"/>
            <wp:docPr descr="" title="" id="103" name="Picture"/>
            <a:graphic>
              <a:graphicData uri="http://schemas.openxmlformats.org/drawingml/2006/picture">
                <pic:pic>
                  <pic:nvPicPr>
                    <pic:cNvPr descr="lec-2-nature-data-updated_AGH_files/figure-docx/unnamed-chunk-9-1.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(symmetric_normal_data, </w:t>
      </w:r>
      <w:r>
        <w:rPr>
          <w:rStyle w:val="AttributeTok"/>
        </w:rPr>
        <w:t xml:space="preserve">breaks =</w:t>
      </w:r>
      <w:r>
        <w:rPr>
          <w:rStyle w:val="NormalTok"/>
        </w:rPr>
        <w:t xml:space="preserve"> </w:t>
      </w:r>
      <w:r>
        <w:rPr>
          <w:rStyle w:val="DecValTok"/>
        </w:rPr>
        <w:t xml:space="preserve">30</w:t>
      </w:r>
      <w:r>
        <w:rPr>
          <w:rStyle w:val="NormalTok"/>
        </w:rPr>
        <w:t xml:space="preserve">, </w:t>
      </w:r>
      <w:r>
        <w:rPr>
          <w:rStyle w:val="AttributeTok"/>
        </w:rPr>
        <w:t xml:space="preserve">ann =</w:t>
      </w:r>
      <w:r>
        <w:rPr>
          <w:rStyle w:val="NormalTok"/>
        </w:rPr>
        <w:t xml:space="preserve"> </w:t>
      </w:r>
      <w:r>
        <w:rPr>
          <w:rStyle w:val="ConstantTok"/>
        </w:rPr>
        <w:t xml:space="preserve">FALSE</w:t>
      </w:r>
      <w:r>
        <w:rPr>
          <w:rStyle w:val="NormalTok"/>
        </w:rPr>
        <w:t xml:space="preserve">, </w:t>
      </w:r>
      <w:r>
        <w:rPr>
          <w:rStyle w:val="AttributeTok"/>
        </w:rPr>
        <w:t xml:space="preserve">col =</w:t>
      </w:r>
      <w:r>
        <w:rPr>
          <w:rStyle w:val="NormalTok"/>
        </w:rPr>
        <w:t xml:space="preserve"> </w:t>
      </w:r>
      <w:r>
        <w:rPr>
          <w:rStyle w:val="StringTok"/>
        </w:rPr>
        <w:t xml:space="preserve">"darkgoldenrod3"</w:t>
      </w:r>
      <w:r>
        <w:rPr>
          <w:rStyle w:val="NormalTok"/>
        </w:rPr>
        <w:t xml:space="preserve">)</w:t>
      </w:r>
    </w:p>
    <w:p>
      <w:pPr>
        <w:pStyle w:val="FirstParagraph"/>
      </w:pPr>
      <w:r>
        <w:drawing>
          <wp:inline>
            <wp:extent cx="5334000" cy="4267200"/>
            <wp:effectExtent b="0" l="0" r="0" t="0"/>
            <wp:docPr descr="" title="" id="106" name="Picture"/>
            <a:graphic>
              <a:graphicData uri="http://schemas.openxmlformats.org/drawingml/2006/picture">
                <pic:pic>
                  <pic:nvPicPr>
                    <pic:cNvPr descr="lec-2-nature-data-updated_AGH_files/figure-docx/unnamed-chunk-10-1.png" id="107" name="Picture"/>
                    <pic:cNvPicPr>
                      <a:picLocks noChangeArrowheads="1" noChangeAspect="1"/>
                    </pic:cNvPicPr>
                  </pic:nvPicPr>
                  <pic:blipFill>
                    <a:blip r:embed="rId10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These two distributions have the same mean and standard deviation, but are clearly very different!</w:t>
      </w:r>
    </w:p>
    <w:p>
      <w:pPr>
        <w:pStyle w:val="Compact"/>
        <w:numPr>
          <w:ilvl w:val="0"/>
          <w:numId w:val="1051"/>
        </w:numPr>
      </w:pPr>
      <w:r>
        <w:t xml:space="preserve">Exploratory data analysis can help us visually see differences in two datasets that basic statistics (e.g. mean and sd) might not reveal</w:t>
      </w:r>
    </w:p>
    <w:bookmarkEnd w:id="108"/>
    <w:bookmarkStart w:id="110" w:name="group-discussion"/>
    <w:p>
      <w:pPr>
        <w:pStyle w:val="Heading2"/>
      </w:pPr>
      <w:r>
        <w:t xml:space="preserve">Group discussion</w:t>
      </w:r>
    </w:p>
    <w:p>
      <w:pPr>
        <w:numPr>
          <w:ilvl w:val="0"/>
          <w:numId w:val="1052"/>
        </w:numPr>
      </w:pPr>
      <w:r>
        <w:t xml:space="preserve">Go to this paper:</w:t>
      </w:r>
      <w:r>
        <w:t xml:space="preserve"> </w:t>
      </w:r>
      <w:hyperlink r:id="rId109">
        <w:r>
          <w:rPr>
            <w:rStyle w:val="Hyperlink"/>
          </w:rPr>
          <w:t xml:space="preserve">https://pmc.ncbi.nlm.nih.gov/articles/PMC8851219/pdf/sur.2020.429.pdf</w:t>
        </w:r>
      </w:hyperlink>
      <w:r>
        <w:t xml:space="preserve"> </w:t>
      </w:r>
      <w:r>
        <w:t xml:space="preserve">(Also linked on Canvas)</w:t>
      </w:r>
    </w:p>
    <w:p>
      <w:pPr>
        <w:pStyle w:val="Compact"/>
        <w:numPr>
          <w:ilvl w:val="1"/>
          <w:numId w:val="1053"/>
        </w:numPr>
      </w:pPr>
      <w:r>
        <w:t xml:space="preserve">Exploratory data analysis of 2017 Nationwide Inpatient Sample (NIS) from the Healthcare Cost and Utilization Project (HCUP).</w:t>
      </w:r>
    </w:p>
    <w:p>
      <w:pPr>
        <w:numPr>
          <w:ilvl w:val="0"/>
          <w:numId w:val="1052"/>
        </w:numPr>
      </w:pPr>
      <w:r>
        <w:t xml:space="preserve">Based on the table (pg. 593), what are the mean and median of the</w:t>
      </w:r>
      <w:r>
        <w:t xml:space="preserve"> </w:t>
      </w:r>
      <w:r>
        <w:rPr>
          <w:b/>
          <w:bCs/>
        </w:rPr>
        <w:t xml:space="preserve">Total charges</w:t>
      </w:r>
      <w:r>
        <w:t xml:space="preserve"> </w:t>
      </w:r>
      <w:r>
        <w:t xml:space="preserve">for emergency general surgery (EGS)? What might this mean about outliers?</w:t>
      </w:r>
    </w:p>
    <w:p>
      <w:pPr>
        <w:numPr>
          <w:ilvl w:val="0"/>
          <w:numId w:val="1052"/>
        </w:numPr>
      </w:pPr>
      <w:r>
        <w:t xml:space="preserve">Based on the histogram (pg. 595), does the data follow a normal distribution? How do you know?</w:t>
      </w:r>
    </w:p>
    <w:p>
      <w:pPr>
        <w:numPr>
          <w:ilvl w:val="1"/>
          <w:numId w:val="1054"/>
        </w:numPr>
      </w:pPr>
      <w:r>
        <w:t xml:space="preserve">What do the histogram and boxplot reveal that summary statistics alone might miss?</w:t>
      </w:r>
    </w:p>
    <w:p>
      <w:pPr>
        <w:numPr>
          <w:ilvl w:val="1"/>
          <w:numId w:val="1054"/>
        </w:numPr>
      </w:pPr>
      <w:r>
        <w:t xml:space="preserve">Which measure of center and spread are more appropriate here and why?</w:t>
      </w:r>
    </w:p>
    <w:bookmarkEnd w:id="110"/>
    <w:bookmarkStart w:id="111" w:name="recap"/>
    <w:p>
      <w:pPr>
        <w:pStyle w:val="Heading2"/>
      </w:pPr>
      <w:r>
        <w:t xml:space="preserve">Recap</w:t>
      </w:r>
    </w:p>
    <w:p>
      <w:pPr>
        <w:pStyle w:val="Compact"/>
        <w:numPr>
          <w:ilvl w:val="0"/>
          <w:numId w:val="1055"/>
        </w:numPr>
      </w:pPr>
      <w:r>
        <w:t xml:space="preserve">Exploratory data analysis: initial data analysis that summarizes key aspects of data</w:t>
      </w:r>
    </w:p>
    <w:p>
      <w:pPr>
        <w:pStyle w:val="Compact"/>
        <w:numPr>
          <w:ilvl w:val="0"/>
          <w:numId w:val="1055"/>
        </w:numPr>
      </w:pPr>
      <w:r>
        <w:t xml:space="preserve">Types of data: categorical, numerical</w:t>
      </w:r>
    </w:p>
    <w:p>
      <w:pPr>
        <w:pStyle w:val="Compact"/>
        <w:numPr>
          <w:ilvl w:val="0"/>
          <w:numId w:val="1055"/>
        </w:numPr>
      </w:pPr>
      <w:r>
        <w:t xml:space="preserve">Examples of plots: bar charts, box plots, histograms, etc.</w:t>
      </w:r>
    </w:p>
    <w:p>
      <w:pPr>
        <w:pStyle w:val="Compact"/>
        <w:numPr>
          <w:ilvl w:val="0"/>
          <w:numId w:val="1055"/>
        </w:numPr>
      </w:pPr>
      <w:r>
        <w:t xml:space="preserve">Population vs. sample</w:t>
      </w:r>
    </w:p>
    <w:p>
      <w:pPr>
        <w:pStyle w:val="Compact"/>
        <w:numPr>
          <w:ilvl w:val="0"/>
          <w:numId w:val="1055"/>
        </w:numPr>
      </w:pPr>
      <w:r>
        <w:t xml:space="preserve">Numerical summary statistics: mean, median, mode</w:t>
      </w:r>
    </w:p>
    <w:p>
      <w:pPr>
        <w:pStyle w:val="Compact"/>
        <w:numPr>
          <w:ilvl w:val="0"/>
          <w:numId w:val="1055"/>
        </w:numPr>
      </w:pPr>
      <w:r>
        <w:t xml:space="preserve">Quantiles, outliers, standard deviation vs. variance, Chebyshev’s inequality</w:t>
      </w:r>
    </w:p>
    <w:bookmarkEnd w:id="111"/>
    <w:bookmarkStart w:id="112" w:name="sneak-peek-for-lab-on-friday"/>
    <w:p>
      <w:pPr>
        <w:pStyle w:val="Heading2"/>
      </w:pPr>
      <w:r>
        <w:t xml:space="preserve">Sneak peek for lab on Friday</w:t>
      </w:r>
    </w:p>
    <w:p>
      <w:pPr>
        <w:pStyle w:val="Compact"/>
        <w:numPr>
          <w:ilvl w:val="0"/>
          <w:numId w:val="1056"/>
        </w:numPr>
      </w:pPr>
      <w:r>
        <w:t xml:space="preserve">For lab on Friday, you’ll need to install the</w:t>
      </w:r>
      <w:r>
        <w:t xml:space="preserve"> </w:t>
      </w:r>
      <w:r>
        <w:rPr>
          <w:rStyle w:val="VerbatimChar"/>
        </w:rPr>
        <w:t xml:space="preserve">tidyverse</w:t>
      </w:r>
      <w:r>
        <w:t xml:space="preserve"> </w:t>
      </w:r>
      <w:r>
        <w:t xml:space="preserve">package. Do so with the following in your Console:</w:t>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p>
    <w:bookmarkEnd w:id="112"/>
    <w:bookmarkStart w:id="113" w:name="next-up"/>
    <w:p>
      <w:pPr>
        <w:pStyle w:val="Heading2"/>
      </w:pPr>
      <w:r>
        <w:t xml:space="preserve">Next up</w:t>
      </w:r>
    </w:p>
    <w:p>
      <w:pPr>
        <w:pStyle w:val="Compact"/>
        <w:numPr>
          <w:ilvl w:val="0"/>
          <w:numId w:val="1057"/>
        </w:numPr>
      </w:pPr>
      <w:r>
        <w:t xml:space="preserve">Tomorrow’s Class: Probability basics, begin conditional probability</w:t>
      </w:r>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62" Target="media/rId62.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83" Target="media/rId83.png" /><Relationship Type="http://schemas.openxmlformats.org/officeDocument/2006/relationships/image" Id="rId71" Target="media/rId71.png" /><Relationship Type="http://schemas.openxmlformats.org/officeDocument/2006/relationships/image" Id="rId38" Target="media/rId38.png" /><Relationship Type="http://schemas.openxmlformats.org/officeDocument/2006/relationships/image" Id="rId105" Target="media/rId105.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87" Target="media/rId87.png" /><Relationship Type="http://schemas.openxmlformats.org/officeDocument/2006/relationships/image" Id="rId102" Target="media/rId102.png" /><Relationship Type="http://schemas.openxmlformats.org/officeDocument/2006/relationships/hyperlink" Id="rId109" Target="https://pmc.ncbi.nlm.nih.gov/articles/PMC8851219/pdf/sur.2020.429.pdf" TargetMode="External" /></Relationships>
</file>

<file path=word/_rels/footnotes.xml.rels><?xml version="1.0" encoding="UTF-8"?><Relationships xmlns="http://schemas.openxmlformats.org/package/2006/relationships"><Relationship Type="http://schemas.openxmlformats.org/officeDocument/2006/relationships/hyperlink" Id="rId109" Target="https://pmc.ncbi.nlm.nih.gov/articles/PMC8851219/pdf/sur.2020.429.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2: The nature of data</dc:title>
  <dc:creator/>
  <cp:keywords/>
  <dcterms:created xsi:type="dcterms:W3CDTF">2026-05-20T19:59:25Z</dcterms:created>
  <dcterms:modified xsi:type="dcterms:W3CDTF">2026-05-20T19:59:25Z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y-affiliation">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institute">
    <vt:lpwstr>UNC - Chapel Hill</vt:lpwstr>
  </property>
  <property fmtid="{D5CDD505-2E9C-101B-9397-08002B2CF9AE}" pid="10" name="institutes">
    <vt:lpwstr/>
  </property>
  <property fmtid="{D5CDD505-2E9C-101B-9397-08002B2CF9AE}" pid="11" name="labels">
    <vt:lpwstr/>
  </property>
  <property fmtid="{D5CDD505-2E9C-101B-9397-08002B2CF9AE}" pid="12" name="logo">
    <vt:lpwstr>images/logo_600.png</vt:lpwstr>
  </property>
  <property fmtid="{D5CDD505-2E9C-101B-9397-08002B2CF9AE}" pid="13" name="subtitle">
    <vt:lpwstr>BIOS 600 - Summer Session II 2026</vt:lpwstr>
  </property>
  <property fmtid="{D5CDD505-2E9C-101B-9397-08002B2CF9AE}" pid="14" name="toc-title">
    <vt:lpwstr>Table of contents</vt:lpwstr>
  </property>
</Properties>
</file>