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Supplementary Technical Note</w:t>
        <w:br/>
      </w:r>
    </w:p>
    <w:p>
      <w:pPr>
        <w:jc w:val="center"/>
      </w:pPr>
      <w:r>
        <w:rPr>
          <w:sz w:val="24"/>
        </w:rPr>
        <w:t>Litvin Noncircular Conjugate Gear Pair – Requirements, Wear Distribution, and Piston-Motion Monitoring</w:t>
        <w:br/>
      </w:r>
    </w:p>
    <w:p>
      <w:pPr>
        <w:jc w:val="center"/>
      </w:pPr>
      <w:r>
        <w:rPr>
          <w:sz w:val="20"/>
        </w:rPr>
        <w:t>Prepared for: Max Holden</w:t>
        <w:br/>
        <w:t>Date: 2026-02-20</w:t>
        <w:br/>
      </w:r>
    </w:p>
    <w:p/>
    <w:p>
      <w:pPr>
        <w:pStyle w:val="Heading1"/>
      </w:pPr>
      <w:r>
        <w:t>1. Scope and System Context</w:t>
      </w:r>
    </w:p>
    <w:p>
      <w:r>
        <w:t>This note supplements the primary deep-research document by translating the project-specific discussion into engineering requirements, risk drivers, and measurable monitoring variables for a Litvin-derived noncircular, conjugate gear pair that drives an opposed-piston motion law. The focus is deliberately limited to the Litvin pair (planet-to-internal ring) and to the implications of: (i) forward-only torque, (ii) phase-locked tooth pairing, (iii) intentional distribution of contact across multiple ring teeth per planet tooth, and (iv) piston-motion tolerance and sensing as the primary “health metric.”</w:t>
      </w:r>
    </w:p>
    <w:p>
      <w:pPr>
        <w:pStyle w:val="Heading2"/>
      </w:pPr>
      <w:r>
        <w:t>1.1 Operating envelope assumed in this supplement</w:t>
      </w:r>
    </w:p>
    <w:p>
      <w:pPr>
        <w:pStyle w:val="ListBullet"/>
      </w:pPr>
      <w:r>
        <w:t>Temperature: 100.000 °C to 300.000 °C (373.150 K to 573.150 K).</w:t>
      </w:r>
    </w:p>
    <w:p>
      <w:pPr>
        <w:pStyle w:val="ListBullet"/>
      </w:pPr>
      <w:r>
        <w:t>Engine speed: up to 7000.000 rpm (116.667 rev/s, 733.038 rad/s).</w:t>
      </w:r>
    </w:p>
    <w:p>
      <w:pPr>
        <w:pStyle w:val="ListBullet"/>
      </w:pPr>
      <w:r>
        <w:t>Average gear speed: approximately 14000.000 rpm (1466.077 rad/s) for two motion-law iterations per engine revolution.</w:t>
      </w:r>
    </w:p>
    <w:p>
      <w:pPr>
        <w:pStyle w:val="ListBullet"/>
      </w:pPr>
      <w:r>
        <w:t>Torque direction: single direction only (no reversal).</w:t>
      </w:r>
    </w:p>
    <w:p>
      <w:pPr>
        <w:pStyle w:val="ListBullet"/>
      </w:pPr>
      <w:r>
        <w:t>Kinematics: noncircular planets rolling/meshing against a noncircular internal ring surface; tooth pairing is synchronized (repeat contacts).</w:t>
      </w:r>
    </w:p>
    <w:p>
      <w:pPr>
        <w:pStyle w:val="ListBullet"/>
      </w:pPr>
      <w:r>
        <w:t>Life target: 10000.000 operating hours at/near the envelope above (≈ 4.200×10^9 engine revolutions; ≈ 8.400×10^9 average gear revolutions for 2× iteration).</w:t>
      </w:r>
    </w:p>
    <w:p>
      <w:pPr>
        <w:pStyle w:val="ListBullet"/>
      </w:pPr>
      <w:r>
        <w:t>Primary/secondary inertial forces: largely cancelled at the engine level by opposed-piston geometry; local mesh forces remain governed by gas load and mesh stiffness.</w:t>
      </w:r>
    </w:p>
    <w:p>
      <w:pPr>
        <w:pStyle w:val="Heading1"/>
      </w:pPr>
      <w:r>
        <w:t>2. Litvin Pair: Functional Requirements and Design Constraints</w:t>
      </w:r>
    </w:p>
    <w:p>
      <w:r>
        <w:t>A Litvin-style design/generation workflow for noncircular gears requires conjugate tooth flanks that satisfy enveloping-based kinematic compatibility across a phase-varying pitch radius. For this application, the gear pair is a motion-law generator. As a result, the design objective is not only strength but also long-term stability of the phase-resolved transmission error (TE) that maps directly to piston position.</w:t>
      </w:r>
    </w:p>
    <w:p>
      <w:pPr>
        <w:pStyle w:val="Heading2"/>
      </w:pPr>
      <w:r>
        <w:t>2.1 Conjugacy and continuity requirements (motion-law integrity)</w:t>
      </w:r>
    </w:p>
    <w:p>
      <w:pPr>
        <w:pStyle w:val="ListBullet"/>
      </w:pPr>
      <w:r>
        <w:t>Conjugate flanks must preserve continuous rolling/meshing across the full operating phase range; avoid phase windows with abrupt contact condition changes (e.g., contact ratio or curvature discontinuities).</w:t>
      </w:r>
    </w:p>
    <w:p>
      <w:pPr>
        <w:pStyle w:val="ListBullet"/>
      </w:pPr>
      <w:r>
        <w:t>Mesh stiffness should vary smoothly with phase; discrete stiffness steps appear as piston-motion “kinks” even if average backlash remains small.</w:t>
      </w:r>
    </w:p>
    <w:p>
      <w:pPr>
        <w:pStyle w:val="ListBullet"/>
      </w:pPr>
      <w:r>
        <w:t>Microgeometry (lead crowning, profile modifications, relief) must be designed as a function of phase sensitivity, not as a single global involute-style prescription.</w:t>
      </w:r>
    </w:p>
    <w:p>
      <w:pPr>
        <w:pStyle w:val="Heading2"/>
      </w:pPr>
      <w:r>
        <w:t>2.2 Manufacturing and metrology requirements (noncircular-specific)</w:t>
      </w:r>
    </w:p>
    <w:p>
      <w:pPr>
        <w:pStyle w:val="ListBullet"/>
      </w:pPr>
      <w:r>
        <w:t>Heat-treatment distortion control is critical for internal noncircular rings; process sequencing should explicitly include stress relief and post-HT finish operations.</w:t>
      </w:r>
    </w:p>
    <w:p>
      <w:pPr>
        <w:pStyle w:val="ListBullet"/>
      </w:pPr>
      <w:r>
        <w:t>Flank tolerances should be specified using a recognized classification system (e.g., ISO 1328-1) for baseline manufacturability, then tightened with a project-specific, phase-binned TE requirement. ISO 1328-1:2013 establishes a flank tolerance classification system for manufacturing and conformity assessment of individual cylindrical involute gear flanks (useful as a lingua franca even when the geometry is noncircular).</w:t>
      </w:r>
    </w:p>
    <w:p>
      <w:pPr>
        <w:pStyle w:val="ListBullet"/>
      </w:pPr>
      <w:r>
        <w:t>Inspection should include functional roll testing (TE measurement) under representative load and temperature, not only geometric inspection of individual flanks.</w:t>
      </w:r>
    </w:p>
    <w:p>
      <w:pPr>
        <w:pStyle w:val="Heading2"/>
      </w:pPr>
      <w:r>
        <w:t>2.3 Materials/process notes tied to 100–300 °C</w:t>
      </w:r>
    </w:p>
    <w:p>
      <w:r>
        <w:t>Because hardness, residual stress, and lubricant film thickness are all temperature-dependent, the material and surface engineering strategy must be compatible with sustained operation up to 300 °C. This supplement does not select a single alloy; instead, it defines what the material/process must achieve:</w:t>
      </w:r>
    </w:p>
    <w:p>
      <w:pPr>
        <w:pStyle w:val="ListBullet"/>
      </w:pPr>
      <w:r>
        <w:t>Stable surface hardness at operating temperature (resistance to softening).</w:t>
      </w:r>
    </w:p>
    <w:p>
      <w:pPr>
        <w:pStyle w:val="ListBullet"/>
      </w:pPr>
      <w:r>
        <w:t>High resistance to micropitting and scuffing in mixed lubrication (high PV segments).</w:t>
      </w:r>
    </w:p>
    <w:p>
      <w:pPr>
        <w:pStyle w:val="ListBullet"/>
      </w:pPr>
      <w:r>
        <w:t>Tough core for bending/root fatigue resistance under phase-localized peak loads.</w:t>
      </w:r>
    </w:p>
    <w:p>
      <w:pPr>
        <w:pStyle w:val="ListBullet"/>
      </w:pPr>
      <w:r>
        <w:t>Finish processes that enable low roughness and isotropic texture on loaded flanks (superfinish strongly favored).</w:t>
      </w:r>
    </w:p>
    <w:p>
      <w:pPr>
        <w:pStyle w:val="Heading1"/>
      </w:pPr>
      <w:r>
        <w:t>3. Dominant Wear Patterns and Failure Modes in a Phase-Locked, Forward-Only Pair</w:t>
      </w:r>
    </w:p>
    <w:p>
      <w:r>
        <w:t>Forward-only torque with synchronized tooth pairing produces deterministic, asymmetric wear: one flank of each tooth is consistently loaded and accumulates the majority of damage. Unlike a hunting-tooth involute pair, defects do not average out automatically; a single weak tooth-pair set can become the life limiter.</w:t>
      </w:r>
    </w:p>
    <w:p>
      <w:pPr>
        <w:pStyle w:val="Heading2"/>
      </w:pPr>
      <w:r>
        <w:t>3.1 Key damage modes to manage</w:t>
      </w:r>
    </w:p>
    <w:p>
      <w:pPr>
        <w:pStyle w:val="ListBullet"/>
      </w:pPr>
      <w:r>
        <w:t>Micropitting: small surface fatigue pits that can reduce tooth accuracy and increase dynamic loads. ISO/TS 6336-22 provides a standardized procedure for micropitting load-capacity evaluation for cylindrical gears (useful as a reference framework for film-thickness-based risk control).</w:t>
      </w:r>
    </w:p>
    <w:p>
      <w:pPr>
        <w:pStyle w:val="ListBullet"/>
      </w:pPr>
      <w:r>
        <w:t>Scuffing (adhesive wear): promoted by high sliding speed, insufficient film thickness, and high flash temperature; often catastrophic compared to gradual micropitting.</w:t>
      </w:r>
    </w:p>
    <w:p>
      <w:pPr>
        <w:pStyle w:val="ListBullet"/>
      </w:pPr>
      <w:r>
        <w:t>Macropitting / pitting fatigue: progression from localized surface fatigue when stress/film conditions remain unfavorable.</w:t>
      </w:r>
    </w:p>
    <w:p>
      <w:pPr>
        <w:pStyle w:val="ListBullet"/>
      </w:pPr>
      <w:r>
        <w:t>Tooth-root bending fatigue: driven by peak loads (often near TDC-related phases).</w:t>
      </w:r>
    </w:p>
    <w:p>
      <w:pPr>
        <w:pStyle w:val="ListBullet"/>
      </w:pPr>
      <w:r>
        <w:t>Tooth flank fracture / case-cracking: especially relevant when high contact stress and brittle case conditions coincide; ISO/TS 6336-4 covers tooth flank fracture for case carburized gears (again as a reference framework).</w:t>
      </w:r>
    </w:p>
    <w:p>
      <w:pPr>
        <w:pStyle w:val="ListBullet"/>
      </w:pPr>
      <w:r>
        <w:t>Abrasive wear from contamination: tends to accelerate TE/backlash drift in deterministic pairs because the same tracks are repeatedly reworked.</w:t>
      </w:r>
    </w:p>
    <w:p>
      <w:pPr>
        <w:pStyle w:val="Heading2"/>
      </w:pPr>
      <w:r>
        <w:t>3.2 “Kill-zone” concept (phase window that sets life)</w:t>
      </w:r>
    </w:p>
    <w:p>
      <w:r>
        <w:t>For noncircular motion-law gearing, the life driver is typically a narrow phase window that combines: (i) high normal load, (ii) unfavorable sliding ratio, and (iii) reduced lubricant film thickness due to local speed/temperature. That window should be treated as a design feature: geometry, rim/web thickness, local microgeometry, and lubrication targeting should be optimized specifically for that phase range.</w:t>
      </w:r>
    </w:p>
    <w:p>
      <w:pPr>
        <w:pStyle w:val="Heading1"/>
      </w:pPr>
      <w:r>
        <w:t>4. Distributing Contact: Multiple Ring Teeth per Planet-Tooth Set (Pseudo Hunting)</w:t>
      </w:r>
    </w:p>
    <w:p>
      <w:r>
        <w:t>To mitigate deterministic wear localization without reversing torque, the system can be designed or controlled so that a given planet tooth engages a larger set of ring teeth over time. This is functionally analogous to a “hunting ratio,” where each pinion tooth contacts every gear tooth before repeating, but achieved here via motion-law iteration count and/or slow phase indexing.</w:t>
      </w:r>
    </w:p>
    <w:p>
      <w:pPr>
        <w:pStyle w:val="Heading2"/>
      </w:pPr>
      <w:r>
        <w:t>4.1 Definitions</w:t>
      </w:r>
    </w:p>
    <w:p>
      <w:r>
        <w:t>Define the following project variables:</w:t>
      </w:r>
    </w:p>
    <w:p>
      <w:pPr>
        <w:pStyle w:val="ListBullet"/>
      </w:pPr>
      <w:r>
        <w:t>k: number of motion-law iterations per engine revolution (k = 2.000 in the baseline two-stroke interpretation used earlier).</w:t>
      </w:r>
    </w:p>
    <w:p>
      <w:pPr>
        <w:pStyle w:val="ListBullet"/>
      </w:pPr>
      <w:r>
        <w:t>S_p: a specific planet tooth (or localized flank patch) being tracked.</w:t>
      </w:r>
    </w:p>
    <w:p>
      <w:pPr>
        <w:pStyle w:val="ListBullet"/>
      </w:pPr>
      <w:r>
        <w:t>T_r(S_p): the set of distinct ring teeth that contact S_p over a defined operational interval (e.g., one engine revolution, one hour, or a designed indexing cycle).</w:t>
      </w:r>
    </w:p>
    <w:p>
      <w:pPr>
        <w:pStyle w:val="ListBullet"/>
      </w:pPr>
      <w:r>
        <w:t>Cardinality |T_r(S_p)|: the number of distinct ring teeth in that set. Increasing |T_r(S_p)| increases wear averaging.</w:t>
      </w:r>
    </w:p>
    <w:p>
      <w:pPr>
        <w:pStyle w:val="Heading2"/>
      </w:pPr>
      <w:r>
        <w:t>4.2 Levers to increase |T_r(S_p)| without torque reversal</w:t>
      </w:r>
    </w:p>
    <w:p>
      <w:pPr>
        <w:pStyle w:val="ListBullet"/>
      </w:pPr>
      <w:r>
        <w:t>Increase k (more motion-law repetitions per engine revolution): increases gear rotational speed and contact events, and can expand the ring-tooth population per planet tooth over a given engine-time interval.</w:t>
      </w:r>
    </w:p>
    <w:p>
      <w:pPr>
        <w:pStyle w:val="ListBullet"/>
      </w:pPr>
      <w:r>
        <w:t>Tooth-count strategy (hunting-like ratio): selecting effective tooth counts/phase mapping so that contacts do not repeat on short cycles; a hunting ratio concept ensures broad distribution before repetition.</w:t>
      </w:r>
    </w:p>
    <w:p>
      <w:pPr>
        <w:pStyle w:val="ListBullet"/>
      </w:pPr>
      <w:r>
        <w:t>Controlled slow phase drift (synthetic hunting): introduce a very slow, monotonic phase offset (e.g., via the sun gear as a tuning surface) so the contact path walks across different ring teeth over minutes/hours while remaining quasi-static over individual cycles.</w:t>
      </w:r>
    </w:p>
    <w:p>
      <w:pPr>
        <w:pStyle w:val="Heading2"/>
      </w:pPr>
      <w:r>
        <w:t>4.3 Trade-offs and constraints (why this is not “free”)</w:t>
      </w:r>
    </w:p>
    <w:p>
      <w:pPr>
        <w:pStyle w:val="ListBullet"/>
      </w:pPr>
      <w:r>
        <w:t>Increasing k increases mean pitch-line speed and sliding velocity, raising scuffing risk unless lubrication film quality improves accordingly.</w:t>
      </w:r>
    </w:p>
    <w:p>
      <w:pPr>
        <w:pStyle w:val="ListBullet"/>
      </w:pPr>
      <w:r>
        <w:t>Higher rotational speed increases churning and windage losses, elevating bulk oil temperature and lowering viscosity (which reduces film thickness).</w:t>
      </w:r>
    </w:p>
    <w:p>
      <w:pPr>
        <w:pStyle w:val="ListBullet"/>
      </w:pPr>
      <w:r>
        <w:t>Synthetic hunting must be low-frequency relative to engine orders; otherwise it injects excitation into piston motion and can violate the motion-law tolerance.</w:t>
      </w:r>
    </w:p>
    <w:p>
      <w:pPr>
        <w:pStyle w:val="ListBullet"/>
      </w:pPr>
      <w:r>
        <w:t>The most practical implementation is typically a slow indexing schedule (hours-scale) rather than cycle-to-cycle modulation.</w:t>
      </w:r>
    </w:p>
    <w:p>
      <w:pPr>
        <w:pStyle w:val="Heading1"/>
      </w:pPr>
      <w:r>
        <w:t>5. Piston Motion Tolerance and Its Relationship to Gear Wear</w:t>
      </w:r>
    </w:p>
    <w:p>
      <w:r>
        <w:t>The system benefits from direct position sensing: gear-angle sensors (crank-like) and piston position sensing provide a closed-loop view of motion-law execution. Because the piston is kinematically linked to the planet center via a connecting rod, the measured piston position is the most direct measure of functional performance, even when tooth flanks wear.</w:t>
      </w:r>
    </w:p>
    <w:p>
      <w:pPr>
        <w:pStyle w:val="Heading2"/>
      </w:pPr>
      <w:r>
        <w:t>5.1 Motion-law tolerance (functional)</w:t>
      </w:r>
    </w:p>
    <w:p>
      <w:r>
        <w:t>Two equivalent tolerance statements were discussed. The more actionable one for diagnostics is a displacement-based limit: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Tolerance statement</w:t>
            </w:r>
          </w:p>
        </w:tc>
        <w:tc>
          <w:tcPr>
            <w:tcW w:type="dxa" w:w="3249"/>
          </w:tcPr>
          <w:p>
            <w:r>
              <w:t>Example value</w:t>
            </w:r>
          </w:p>
        </w:tc>
        <w:tc>
          <w:tcPr>
            <w:tcW w:type="dxa" w:w="3249"/>
          </w:tcPr>
          <w:p>
            <w:r>
              <w:t>Diagnostic use</w:t>
            </w:r>
          </w:p>
        </w:tc>
      </w:tr>
      <w:tr>
        <w:tc>
          <w:tcPr>
            <w:tcW w:type="dxa" w:w="3249"/>
          </w:tcPr>
          <w:p>
            <w:r>
              <w:t>Crank-angle deviation</w:t>
            </w:r>
          </w:p>
        </w:tc>
        <w:tc>
          <w:tcPr>
            <w:tcW w:type="dxa" w:w="3249"/>
          </w:tcPr>
          <w:p>
            <w:r>
              <w:t>±5.000° crank rotation</w:t>
            </w:r>
          </w:p>
        </w:tc>
        <w:tc>
          <w:tcPr>
            <w:tcW w:type="dxa" w:w="3249"/>
          </w:tcPr>
          <w:p>
            <w:r>
              <w:t>Convenient for engine timing context; convert to x(θ) error for wear diagnosis.</w:t>
            </w:r>
          </w:p>
        </w:tc>
      </w:tr>
      <w:tr>
        <w:tc>
          <w:tcPr>
            <w:tcW w:type="dxa" w:w="3249"/>
          </w:tcPr>
          <w:p>
            <w:r>
              <w:t>Stroke fraction deviation</w:t>
            </w:r>
          </w:p>
        </w:tc>
        <w:tc>
          <w:tcPr>
            <w:tcW w:type="dxa" w:w="3249"/>
          </w:tcPr>
          <w:p>
            <w:r>
              <w:t>≤0.500% stroke → 0.250 mm for 50.000 mm stroke</w:t>
            </w:r>
          </w:p>
        </w:tc>
        <w:tc>
          <w:tcPr>
            <w:tcW w:type="dxa" w:w="3249"/>
          </w:tcPr>
          <w:p>
            <w:r>
              <w:t>Directly maps to piston position sensor; easiest to trend vs time and phase.</w:t>
            </w:r>
          </w:p>
        </w:tc>
      </w:tr>
    </w:tbl>
    <w:p>
      <w:pPr>
        <w:pStyle w:val="Heading2"/>
      </w:pPr>
      <w:r>
        <w:t>5.2 From piston error to equivalent transmission error (TE)</w:t>
      </w:r>
    </w:p>
    <w:p>
      <w:r>
        <w:t>Let θ be crank angle, x_cmd(θ) the nominal piston motion law, and x_meas(θ) the measured piston position. Define the phase-resolved position error:</w:t>
      </w:r>
    </w:p>
    <w:p>
      <w:r>
        <w:t>e_x(θ) = x_meas(θ) − x_cmd(θ)</w:t>
      </w:r>
    </w:p>
    <w:p>
      <w:r>
        <w:t>To relate e_x to an equivalent mesh phase error (a TE-like variable), linearize the kinematic mapping around the nominal trajectory. If φ is the relevant gear-phase coordinate that drives the planet center/piston, then:</w:t>
      </w:r>
    </w:p>
    <w:p>
      <w:r>
        <w:t>Δφ(θ) ≈ e_x(θ) / (dx/dφ)(θ)</w:t>
      </w:r>
    </w:p>
    <w:p>
      <w:r>
        <w:t>Because (dx/dφ)(θ) is strongly phase-dependent for a noncircular motion-law, it should be precomputed from the design model and stored as a lookup table indexed by θ. The displacement tolerance e_x,max then implies a phase-dependent TE budget:</w:t>
      </w:r>
    </w:p>
    <w:p>
      <w:r>
        <w:t>|Δφ(θ)| ≤ e_x,max / |(dx/dφ)(θ)|</w:t>
      </w:r>
    </w:p>
    <w:p>
      <w:pPr>
        <w:pStyle w:val="Heading2"/>
      </w:pPr>
      <w:r>
        <w:t>5.3 Tooth-pair localization using phase-binned residuals</w:t>
      </w:r>
    </w:p>
    <w:p>
      <w:r>
        <w:t>In a synchronized pair, a given crank-angle window corresponds to a consistent tooth-pair set. Therefore, persistent error patterns localized in θ can be mapped back to specific contact regions. A practical workflow is:</w:t>
      </w:r>
    </w:p>
    <w:p>
      <w:r>
        <w:t>1. Compute e_x(θ) over many cycles and average/synchronously demodulate to obtain a stable phase signature.</w:t>
      </w:r>
    </w:p>
    <w:p>
      <w:r>
        <w:t>2. Subtract predictable components due to elastic compliance and thermal drift (functions of load and temperature).</w:t>
      </w:r>
    </w:p>
    <w:p>
      <w:r>
        <w:t>3. Use the residual signature e_res(θ) to identify which phase windows are degrading.</w:t>
      </w:r>
    </w:p>
    <w:p>
      <w:r>
        <w:t>4. Map those windows to tooth-pair sets (planet tooth index, ring tooth index) using the known synchronization map.</w:t>
      </w:r>
    </w:p>
    <w:p>
      <w:pPr>
        <w:pStyle w:val="Heading1"/>
      </w:pPr>
      <w:r>
        <w:t>6. Control Variables and Monitoring Strategy for a 10,000 h Life Target</w:t>
      </w:r>
    </w:p>
    <w:p>
      <w:r>
        <w:t>With a 10,000 h target (≈ 10^9–10^10 repeat contacts, depending on phase and iteration count), design decisions should prioritize preventing fast, runaway damage modes (especially scuffing) and bounding gradual drift (micropitting/wear) within the piston-motion tolerance. Because the system is instrumented, the most valuable strategy is to treat wear distribution and calibration as controllable operating modes rather than as purely passive outcomes.</w:t>
      </w:r>
    </w:p>
    <w:p>
      <w:pPr>
        <w:pStyle w:val="Heading2"/>
      </w:pPr>
      <w:r>
        <w:t>6.1 Control-variable set (what you can actually adjust)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Control variable</w:t>
            </w:r>
          </w:p>
        </w:tc>
        <w:tc>
          <w:tcPr>
            <w:tcW w:type="dxa" w:w="2436"/>
          </w:tcPr>
          <w:p>
            <w:r>
              <w:t>Primary effect</w:t>
            </w:r>
          </w:p>
        </w:tc>
        <w:tc>
          <w:tcPr>
            <w:tcW w:type="dxa" w:w="2436"/>
          </w:tcPr>
          <w:p>
            <w:r>
              <w:t>Failure mode addressed</w:t>
            </w:r>
          </w:p>
        </w:tc>
        <w:tc>
          <w:tcPr>
            <w:tcW w:type="dxa" w:w="2436"/>
          </w:tcPr>
          <w:p>
            <w:r>
              <w:t>Notes/constraints</w:t>
            </w:r>
          </w:p>
        </w:tc>
      </w:tr>
      <w:tr>
        <w:tc>
          <w:tcPr>
            <w:tcW w:type="dxa" w:w="2436"/>
          </w:tcPr>
          <w:p>
            <w:r>
              <w:t>k (iterations per engine rev)</w:t>
            </w:r>
          </w:p>
        </w:tc>
        <w:tc>
          <w:tcPr>
            <w:tcW w:type="dxa" w:w="2436"/>
          </w:tcPr>
          <w:p>
            <w:r>
              <w:t>Distributes load and wear; changes gear speed and contact event rate</w:t>
            </w:r>
          </w:p>
        </w:tc>
        <w:tc>
          <w:tcPr>
            <w:tcW w:type="dxa" w:w="2436"/>
          </w:tcPr>
          <w:p>
            <w:r>
              <w:t>Wear localization, root stress</w:t>
            </w:r>
          </w:p>
        </w:tc>
        <w:tc>
          <w:tcPr>
            <w:tcW w:type="dxa" w:w="2436"/>
          </w:tcPr>
          <w:p>
            <w:r>
              <w:t>Raises sliding/churning; must be paired with upgraded lubrication.</w:t>
            </w:r>
          </w:p>
        </w:tc>
      </w:tr>
      <w:tr>
        <w:tc>
          <w:tcPr>
            <w:tcW w:type="dxa" w:w="2436"/>
          </w:tcPr>
          <w:p>
            <w:r>
              <w:t>Sun-gear phase indexing (slow drift)</w:t>
            </w:r>
          </w:p>
        </w:tc>
        <w:tc>
          <w:tcPr>
            <w:tcW w:type="dxa" w:w="2436"/>
          </w:tcPr>
          <w:p>
            <w:r>
              <w:t>Synthetic hunting: increases |T_r(S_p)| over hours</w:t>
            </w:r>
          </w:p>
        </w:tc>
        <w:tc>
          <w:tcPr>
            <w:tcW w:type="dxa" w:w="2436"/>
          </w:tcPr>
          <w:p>
            <w:r>
              <w:t>Deterministic wear tracks, debris rework</w:t>
            </w:r>
          </w:p>
        </w:tc>
        <w:tc>
          <w:tcPr>
            <w:tcW w:type="dxa" w:w="2436"/>
          </w:tcPr>
          <w:p>
            <w:r>
              <w:t>Keep low-frequency to avoid injecting piston excitation.</w:t>
            </w:r>
          </w:p>
        </w:tc>
      </w:tr>
      <w:tr>
        <w:tc>
          <w:tcPr>
            <w:tcW w:type="dxa" w:w="2436"/>
          </w:tcPr>
          <w:p>
            <w:r>
              <w:t>Oil temperature setpoint</w:t>
            </w:r>
          </w:p>
        </w:tc>
        <w:tc>
          <w:tcPr>
            <w:tcW w:type="dxa" w:w="2436"/>
          </w:tcPr>
          <w:p>
            <w:r>
              <w:t>Controls viscosity → film thickness (lambda) and scuffing margin</w:t>
            </w:r>
          </w:p>
        </w:tc>
        <w:tc>
          <w:tcPr>
            <w:tcW w:type="dxa" w:w="2436"/>
          </w:tcPr>
          <w:p>
            <w:r>
              <w:t>Scuffing, micropitting</w:t>
            </w:r>
          </w:p>
        </w:tc>
        <w:tc>
          <w:tcPr>
            <w:tcW w:type="dxa" w:w="2436"/>
          </w:tcPr>
          <w:p>
            <w:r>
              <w:t>Requires stable cooling and adequate flow/jetting.</w:t>
            </w:r>
          </w:p>
        </w:tc>
      </w:tr>
      <w:tr>
        <w:tc>
          <w:tcPr>
            <w:tcW w:type="dxa" w:w="2436"/>
          </w:tcPr>
          <w:p>
            <w:r>
              <w:t>Filtration &amp; cleanliness level</w:t>
            </w:r>
          </w:p>
        </w:tc>
        <w:tc>
          <w:tcPr>
            <w:tcW w:type="dxa" w:w="2436"/>
          </w:tcPr>
          <w:p>
            <w:r>
              <w:t>Reduces abrasive wear and micropitting initiation sites</w:t>
            </w:r>
          </w:p>
        </w:tc>
        <w:tc>
          <w:tcPr>
            <w:tcW w:type="dxa" w:w="2436"/>
          </w:tcPr>
          <w:p>
            <w:r>
              <w:t>Abrasive wear, micropitting</w:t>
            </w:r>
          </w:p>
        </w:tc>
        <w:tc>
          <w:tcPr>
            <w:tcW w:type="dxa" w:w="2436"/>
          </w:tcPr>
          <w:p>
            <w:r>
              <w:t>Set maintenance intervals via debris monitoring if possible.</w:t>
            </w:r>
          </w:p>
        </w:tc>
      </w:tr>
      <w:tr>
        <w:tc>
          <w:tcPr>
            <w:tcW w:type="dxa" w:w="2436"/>
          </w:tcPr>
          <w:p>
            <w:r>
              <w:t>Microgeometry bias schedule</w:t>
            </w:r>
          </w:p>
        </w:tc>
        <w:tc>
          <w:tcPr>
            <w:tcW w:type="dxa" w:w="2436"/>
          </w:tcPr>
          <w:p>
            <w:r>
              <w:t>Keeps load distribution favorable in high-stress phase windows</w:t>
            </w:r>
          </w:p>
        </w:tc>
        <w:tc>
          <w:tcPr>
            <w:tcW w:type="dxa" w:w="2436"/>
          </w:tcPr>
          <w:p>
            <w:r>
              <w:t>Micropitting/macropitting, TE growth</w:t>
            </w:r>
          </w:p>
        </w:tc>
        <w:tc>
          <w:tcPr>
            <w:tcW w:type="dxa" w:w="2436"/>
          </w:tcPr>
          <w:p>
            <w:r>
              <w:t>Implemented via manufacturing (static) or via a controlled phasing schedule (dynamic).</w:t>
            </w:r>
          </w:p>
        </w:tc>
      </w:tr>
    </w:tbl>
    <w:p>
      <w:pPr>
        <w:pStyle w:val="Heading2"/>
      </w:pPr>
      <w:r>
        <w:t>6.2 Monitoring outputs (what to log and threshold)</w:t>
      </w:r>
    </w:p>
    <w:p>
      <w:pPr>
        <w:pStyle w:val="ListBullet"/>
      </w:pPr>
      <w:r>
        <w:t>Phase-binned piston position residual e_res(θ): primary health signal for motion-law fidelity.</w:t>
      </w:r>
    </w:p>
    <w:p>
      <w:pPr>
        <w:pStyle w:val="ListBullet"/>
      </w:pPr>
      <w:r>
        <w:t>Derived equivalent phase error Δφ(θ): TE-like metric that normalizes for phase sensitivity via (dx/dφ)(θ).</w:t>
      </w:r>
    </w:p>
    <w:p>
      <w:pPr>
        <w:pStyle w:val="ListBullet"/>
      </w:pPr>
      <w:r>
        <w:t>Trend of peak-to-peak e_res in the high-load phase window (near TDC-related segments): should remain within the 0.250 mm budget with margin.</w:t>
      </w:r>
    </w:p>
    <w:p>
      <w:pPr>
        <w:pStyle w:val="ListBullet"/>
      </w:pPr>
      <w:r>
        <w:t>Temperature and inferred load proxies (e.g., indicated mean effective pressure or torque estimate): required to separate wear from elastic/thermal effects.</w:t>
      </w:r>
    </w:p>
    <w:p>
      <w:pPr>
        <w:pStyle w:val="ListBullet"/>
      </w:pPr>
      <w:r>
        <w:t>Optional: vibration/structure-borne signatures correlated to TE steps (useful for early scuffing detection).</w:t>
      </w:r>
    </w:p>
    <w:p>
      <w:pPr>
        <w:pStyle w:val="Heading2"/>
      </w:pPr>
      <w:r>
        <w:t>6.3 Recommended control logic (high-level)</w:t>
      </w:r>
    </w:p>
    <w:p>
      <w:r>
        <w:t>1. Run in a baseline mode with fixed phasing to establish a healthy reference signature e_ref(θ).</w:t>
      </w:r>
    </w:p>
    <w:p>
      <w:r>
        <w:t>2. Apply slow phase indexing only when e_res(θ) indicates localized growth (aim: spread wear rather than fight it).</w:t>
      </w:r>
    </w:p>
    <w:p>
      <w:r>
        <w:t>3. Maintain oil temperature/flow such that scuffing margin is protected in the kill-zone phase window.</w:t>
      </w:r>
    </w:p>
    <w:p>
      <w:r>
        <w:t>4. Trigger maintenance/inspection actions based on trend thresholds in e_res(θ) and/or debris metrics, rather than on hours alone.</w:t>
      </w:r>
    </w:p>
    <w:p>
      <w:pPr>
        <w:pStyle w:val="Heading1"/>
      </w:pPr>
      <w:r>
        <w:t>7. Implementation Checklist (Design → Manufacture → Validation)</w:t>
      </w:r>
    </w:p>
    <w:p>
      <w:pPr>
        <w:pStyle w:val="Heading2"/>
      </w:pPr>
      <w:r>
        <w:t>7.1 Design and analysis</w:t>
      </w:r>
    </w:p>
    <w:p>
      <w:pPr>
        <w:pStyle w:val="ListBullet"/>
      </w:pPr>
      <w:r>
        <w:t>Generate conjugate noncircular flanks using the Litvin methodology and validate conjugacy numerically across full phase range.</w:t>
      </w:r>
    </w:p>
    <w:p>
      <w:pPr>
        <w:pStyle w:val="ListBullet"/>
      </w:pPr>
      <w:r>
        <w:t>Compute phase-resolved: normal load, sliding ratio, mesh stiffness, predicted film-thickness proxy; identify kill-zone window(s).</w:t>
      </w:r>
    </w:p>
    <w:p>
      <w:pPr>
        <w:pStyle w:val="ListBullet"/>
      </w:pPr>
      <w:r>
        <w:t>Design local microgeometry and structural reinforcement (ring rim/web, face width distribution, lead correction) to protect the kill zone.</w:t>
      </w:r>
    </w:p>
    <w:p>
      <w:pPr>
        <w:pStyle w:val="ListBullet"/>
      </w:pPr>
      <w:r>
        <w:t>Specify a phase-resolved TE budget derived from piston displacement tolerance and (dx/dφ)(θ).</w:t>
      </w:r>
    </w:p>
    <w:p>
      <w:pPr>
        <w:pStyle w:val="Heading2"/>
      </w:pPr>
      <w:r>
        <w:t>7.2 Manufacturing and inspection</w:t>
      </w:r>
    </w:p>
    <w:p>
      <w:pPr>
        <w:pStyle w:val="ListBullet"/>
      </w:pPr>
      <w:r>
        <w:t>Define process chain with explicit distortion control and post-HT finishing for the internal ring.</w:t>
      </w:r>
    </w:p>
    <w:p>
      <w:pPr>
        <w:pStyle w:val="ListBullet"/>
      </w:pPr>
      <w:r>
        <w:t>Specify flank tolerances using ISO 1328-1 classes as baseline language, plus project-specific TE acceptance criteria.</w:t>
      </w:r>
    </w:p>
    <w:p>
      <w:pPr>
        <w:pStyle w:val="ListBullet"/>
      </w:pPr>
      <w:r>
        <w:t>Perform functional TE roll testing under representative load and temperature whenever feasible.</w:t>
      </w:r>
    </w:p>
    <w:p>
      <w:pPr>
        <w:pStyle w:val="Heading2"/>
      </w:pPr>
      <w:r>
        <w:t>7.3 Instrumentation and validation</w:t>
      </w:r>
    </w:p>
    <w:p>
      <w:pPr>
        <w:pStyle w:val="ListBullet"/>
      </w:pPr>
      <w:r>
        <w:t>Install gear-angle sensors and piston position sensing with synchronized timestamping.</w:t>
      </w:r>
    </w:p>
    <w:p>
      <w:pPr>
        <w:pStyle w:val="ListBullet"/>
      </w:pPr>
      <w:r>
        <w:t>Implement the observer: x_cmd(θ), x_meas(θ), e_x(θ), Δφ(θ), and phase-binned trending.</w:t>
      </w:r>
    </w:p>
    <w:p>
      <w:pPr>
        <w:pStyle w:val="ListBullet"/>
      </w:pPr>
      <w:r>
        <w:t>Validate separation of wear vs temperature/load effects via controlled sweeps (temperature and torque).</w:t>
      </w:r>
    </w:p>
    <w:p>
      <w:pPr>
        <w:pStyle w:val="ListBullet"/>
      </w:pPr>
      <w:r>
        <w:t>Run an accelerated test campaign to provoke micropitting/scuffing boundaries and confirm the control strategy protects against runaway modes.</w:t>
      </w:r>
    </w:p>
    <w:p>
      <w:pPr>
        <w:pStyle w:val="Heading1"/>
      </w:pPr>
      <w:r>
        <w:t>References (selected)</w:t>
      </w:r>
    </w:p>
    <w:p>
      <w:pPr>
        <w:pStyle w:val="ListBullet"/>
      </w:pPr>
      <w:r>
        <w:t>ISO 1328-1:2013, Cylindrical gears — ISO system of flank tolerance classification — Part 1: Definitions and allowable values of deviations relevant to flanks of gear teeth. ISO. (Published 2013).</w:t>
      </w:r>
    </w:p>
    <w:p>
      <w:pPr>
        <w:pStyle w:val="ListBullet"/>
      </w:pPr>
      <w:r>
        <w:t>ISO 6336-1:2019, Calculation of load capacity of spur and helical gears — Part 1: Basic principles, introduction and general influence factors. ISO. (Published 2019).</w:t>
      </w:r>
    </w:p>
    <w:p>
      <w:pPr>
        <w:pStyle w:val="ListBullet"/>
      </w:pPr>
      <w:r>
        <w:t>ISO/TS 6336-22:2018, Calculation of load capacity of spur and helical gears — Part 22: Calculation of micropitting load capacity. ISO. (Published 2018).</w:t>
      </w:r>
    </w:p>
    <w:p>
      <w:pPr>
        <w:pStyle w:val="ListBullet"/>
      </w:pPr>
      <w:r>
        <w:t>ISO/TS 6336-4:2019, Calculation of load capacity of spur and helical gears — Part 4: Calculation of tooth flank fracture load capacity. ISO. (Published 2019).</w:t>
      </w:r>
    </w:p>
    <w:p>
      <w:pPr>
        <w:pStyle w:val="ListBullet"/>
      </w:pPr>
      <w:r>
        <w:t>Litvin, F. L., Fuentes-Aznar, A., Gonzalez-Perez, I., &amp; Hayasaka, K., Noncircular Gears: Design and Generation. Cambridge University Press. (2009/2014 editions).</w:t>
      </w:r>
    </w:p>
    <w:p>
      <w:pPr>
        <w:pStyle w:val="ListBullet"/>
      </w:pPr>
      <w:r>
        <w:t>Gear Technology (article): “Noncircular Gears” (overview of Litvin noncircular gearing literature and applications).</w:t>
      </w:r>
    </w:p>
    <w:p>
      <w:pPr>
        <w:pStyle w:val="ListBullet"/>
      </w:pPr>
      <w:r>
        <w:t>Machine Design (article): “Gearing basics” (includes definition of hunting ratio and related terminology).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