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ttf" ContentType="application/x-font-ttf"/>
  <Default Extension="xml" ContentType="application/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before="28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INFORMATYKA – PROJEKT</w:t>
      </w:r>
    </w:p>
    <w:p w:rsidR="00000000" w:rsidDel="00000000" w:rsidP="00000000" w:rsidRDefault="00000000" w:rsidRPr="00000000" w14:paraId="00000002">
      <w:pPr>
        <w:spacing w:after="280" w:before="28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TEMAT: Wpływ zgodności przestrzennej na czas reakcji w zadaniu Simon’a z bodźcami słownymi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80" w:before="28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ZADANIE SIMON’A – SPECYFIKACJA</w:t>
      </w:r>
    </w:p>
    <w:p w:rsidR="00000000" w:rsidDel="00000000" w:rsidP="00000000" w:rsidRDefault="00000000" w:rsidRPr="00000000" w14:paraId="00000005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Zadanie Simon’a (ang. Simon Task) zostało po raz pierwszy opisane przez Simona i Rudella w 1967 roku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(Simon &amp; Rudell, 1967) jako sposób na badanie tzw. kompatybilności bodźca i reakcji (S-R compatibility). Klasyczny efekt Simon’a polega na tym, że ludzie reagują szybciej i dokładniej, gdy lokalizacja bodźca jest zgodna z lokalizacją reakcji – mimo że ta lokalizacja jest nieistotna dla wykonania zadania. W warunkach niezgodnych dochodzi do interferencji poznawczej, co skutkuje wydłużeniem czasu reakcji i zwiększoną liczbą błędów. Efekt Simon’a stanowi cenne narzędzie do badania zautomatyzowanych procesów przetwarzania informacji (Hommel, 2011).</w:t>
      </w:r>
    </w:p>
    <w:p w:rsidR="00000000" w:rsidDel="00000000" w:rsidP="00000000" w:rsidRDefault="00000000" w:rsidRPr="00000000" w14:paraId="00000006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 niniejszym projekcie wykorzystujemy zmodyfikowaną wersję zadania Simon’a, w której bodźcem jest wyświetlane na ekranie słowo: „LEFT” lub „RIGHT”. Bodźce te pojawiają się losowo po lewej lub prawej stronie ekranu, natomiast uczestnik ma zareagować wyłącznie na treść słowa, ignorując jego pozycję. Dzięki temu możemy zmierzyć różnicę w czasie reakcji i poprawności odpowiedzi między próbami zgodnymi (np. „LEFT” po lewej stronie, reakcja lewą ręką) i niezgodnymi (np. „RIGHT” po lewej stronie, reakcja prawą ręką).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80" w:before="28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SZCZEGÓŁY DOTYCZĄCE BODŹCÓW I ICH PREZENTACJI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48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Procedura badawcza składa się z dwóch sesji: treningowej i eksperymentalnej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Sesja treningowa zawiera 20 prób (mieszanych losowo: zgodne i niezgodne).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Jest to liczba prób zgodna z zaleceniami Hommla, dzięki której uczestnicy oswajają się z procedurą bez ryzyka habituacji (Hommel, 1996).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Sesja eksperymentalna składa się z 4 bloków po 60 prób (łącznie 240), z 3 przerwam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Liczba 240 mieści się w zakresie zalecanym dla zachowania wysokiej mocy statystycznej w analizie efektu Simon’a (Valle-Inclán &amp; Redondo, 1998).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Czas prezentacji bodźców: do momentu udzielenia odpowiedzi lub 4000 ms.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Jest to rozsądna górna granica, pozwalająca odrzucić przypadki braku odpowiedzi lub nieuwagi (Proctor &amp; Lu, 1999).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Kolejność prób: całkowicie losowa (z zachowaniem równowagi zgodnych i niezgodnych)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Wszystkie bodźce oraz punkt fiksacji są wyświetlane na środku wysokości ekranu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Bodźce pojawiają się na lewej lub prawej stronie ekranu w odległości ok. 1/4 szerokości od środka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48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Algorytm losowania prób wyklucza sekwencje dłuższe niż 4 identyczne próby z rzędu (więcej niż 4 zgodne lub 4 niezgodne) </w:t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80" w:before="28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Opis bodźców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BODŹCE ZGODNE: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„LEFT” po lewej stronie (reakcja „Z”), „RIGHT” po prawej stronie (reakcja „M”)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Częstotliwość: 50% wszystkich prób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BODŹCE NIEZGODNE: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„LEFT” po prawej stronie (reakcja „Z”), „RIGHT” po lewej stronie (reakcja „M”)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spacing w:after="28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Częstotliwość: 50% wszystkich prób</w:t>
      </w:r>
    </w:p>
    <w:p w:rsidR="00000000" w:rsidDel="00000000" w:rsidP="00000000" w:rsidRDefault="00000000" w:rsidRPr="00000000" w14:paraId="00000019">
      <w:pPr>
        <w:spacing w:after="280"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Utrzymanie równowagi liczby prób zgodnych i niezgodnych zapewnia porównywalność warunków bez uprzedzeń liczbowych - jest to standard w klasycznym zadaniu Simon’a (Simon &amp; Rudell, 1967).</w:t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80" w:before="28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KOLORY I CHARAKTERYSTYKA GRAFICZNA: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Tło ekranu: ciemnoszare (RGB: #333333)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Punkt fiksacji: czarny znak „+” (RGB: #000000)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Bodźce słowne: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Kolor tekstu: biały (RGB: #FFFFFF)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Czcionka: Arial, pogrubiona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Rozmiar: ok. 0.1 wysokości okna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Punkt fiksacji: wielkość ok. 0.05 wysokości i szerokości ekranu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Okno eksperymentu powinno być pełnoekranowe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Kursor myszy powinien być ukryty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Odległość bodźców od środka ekranu powinna być stała i wynosić dokładnie 1/4 szerokości ekranu </w:t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80" w:before="28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KLUCZ REAKCYJNY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Klawisz „Z” (lewa ręka) – słowo LEFT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Klawisz „M” (prawa ręka) – słowo RIGHT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Ręce powinny spoczywać na odpowiednich klawiszach przez cały czas trwania eksperymentu</w:t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80" w:before="28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KOLEJNOŚĆ WYŚWIETLANIA POSZCZEGÓLNYCH ETAPÓW BADANIA</w:t>
      </w:r>
    </w:p>
    <w:p w:rsidR="00000000" w:rsidDel="00000000" w:rsidP="00000000" w:rsidRDefault="00000000" w:rsidRPr="00000000" w14:paraId="0000002D">
      <w:pPr>
        <w:spacing w:after="280" w:before="28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 INSTRUKCJA WYKONANIA ZADANIA</w:t>
      </w:r>
    </w:p>
    <w:p w:rsidR="00000000" w:rsidDel="00000000" w:rsidP="00000000" w:rsidRDefault="00000000" w:rsidRPr="00000000" w14:paraId="0000002E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 uruchomieniu procedury badawczej wyświetlana jest szczegółowa instrukcja:</w:t>
      </w:r>
    </w:p>
    <w:tbl>
      <w:tblPr>
        <w:tblStyle w:val="Table1"/>
        <w:tblW w:w="9099.0" w:type="dxa"/>
        <w:jc w:val="left"/>
        <w:tblInd w:w="1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099"/>
        <w:tblGridChange w:id="0">
          <w:tblGrid>
            <w:gridCol w:w="9099"/>
          </w:tblGrid>
        </w:tblGridChange>
      </w:tblGrid>
      <w:tr>
        <w:trPr>
          <w:cantSplit w:val="0"/>
          <w:trHeight w:val="3459" w:hRule="atLeast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after="0" w:line="240" w:lineRule="auto"/>
              <w:ind w:left="-23" w:firstLine="0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W zadaniu, które za chwilę wykonasz, na ekranie pojawiać się będą słowa „LEFT” oraz „RIGHT”. Twoim zadaniem będzie nacisnąć odpowiedni klawisz w zależności od tego, jakie słowo widzisz, ignorując miejsce jego pojawienia się na ekranie.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6"/>
              </w:numPr>
              <w:spacing w:after="0" w:before="280" w:line="240" w:lineRule="auto"/>
              <w:ind w:left="922" w:hanging="360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Naciśnij Z, jeśli widzisz słowo LEFT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6"/>
              </w:numPr>
              <w:spacing w:after="280" w:line="240" w:lineRule="auto"/>
              <w:ind w:left="922" w:hanging="360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Naciśnij M, jeśli widzisz słowo RIGHT</w:t>
            </w:r>
          </w:p>
          <w:p w:rsidR="00000000" w:rsidDel="00000000" w:rsidP="00000000" w:rsidRDefault="00000000" w:rsidRPr="00000000" w14:paraId="00000032">
            <w:pPr>
              <w:spacing w:after="0" w:line="240" w:lineRule="auto"/>
              <w:ind w:left="-23" w:firstLine="0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after="0" w:line="240" w:lineRule="auto"/>
              <w:ind w:left="-23" w:firstLine="0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Czas Twojej reakcji będzie mierzony. Staraj się odpowiadać szybko i poprawnie. Dokładność odpowiedzi jest równie ważna co szybkość reakcji.</w:t>
            </w:r>
          </w:p>
          <w:p w:rsidR="00000000" w:rsidDel="00000000" w:rsidP="00000000" w:rsidRDefault="00000000" w:rsidRPr="00000000" w14:paraId="00000034">
            <w:pPr>
              <w:spacing w:after="0" w:line="240" w:lineRule="auto"/>
              <w:ind w:left="-23" w:firstLine="0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after="0" w:line="240" w:lineRule="auto"/>
              <w:ind w:left="-23" w:firstLine="0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Aby przejść dalej, naciśnij spację.</w:t>
            </w:r>
          </w:p>
          <w:p w:rsidR="00000000" w:rsidDel="00000000" w:rsidP="00000000" w:rsidRDefault="00000000" w:rsidRPr="00000000" w14:paraId="00000036">
            <w:pPr>
              <w:spacing w:after="0" w:line="240" w:lineRule="auto"/>
              <w:ind w:left="202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80" w:before="28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 SESJA TRENINGOWA (20 PRÓB)</w:t>
      </w:r>
    </w:p>
    <w:p w:rsidR="00000000" w:rsidDel="00000000" w:rsidP="00000000" w:rsidRDefault="00000000" w:rsidRPr="00000000" w14:paraId="00000039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Każda próba zawiera: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Punkt fiksacji („+”) – 800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ms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(jest to standard w zadaniach uwagi i kompatybilności (Umiltá &amp; Nicoletti, 1992)).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Bodziec (LEFT/RIGHT) – pojawia się po lewej lub prawej stronie na ekranie: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wyświetlany do momentu udzielenia odpowiedzi lub przez 4000 ms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Reakcja uczestnika – naciśnięcie odpowiedniego klawisza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Informacja zwrotna: słowo „dobrze” lub „źle” – 2000 ms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Pusty ekran (pauza) – losowo od 1000 do 2000 ms (jitter)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(zróżnicowanie długości przerwy między próbami przeciwdziała przewidywaniu pojawienia się bodźca (Umiltá &amp; Nicoletti, 1992)).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 sesji treningowej wyświetla się informacja o liczbie poprawnych odpowiedzi oraz średnim czasie reakcji.</w:t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80" w:before="28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 SESJA EKSPERYMENTALNA (4 BLOKI PO 60 PRÓB)</w:t>
      </w:r>
    </w:p>
    <w:p w:rsidR="00000000" w:rsidDel="00000000" w:rsidP="00000000" w:rsidRDefault="00000000" w:rsidRPr="00000000" w14:paraId="00000045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 każdej próbie: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Punkt fiksacji („+”) – 800 ms Bodziec – do momentu reakcji lub 4000 ms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Reakcja uczestnika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spacing w:after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Pauza (jitter): 1000–2000 ms 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spacing w:after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 każdej sesji pojawia się komunikat:</w:t>
      </w:r>
    </w:p>
    <w:p w:rsidR="00000000" w:rsidDel="00000000" w:rsidP="00000000" w:rsidRDefault="00000000" w:rsidRPr="00000000" w14:paraId="0000004A">
      <w:pPr>
        <w:numPr>
          <w:ilvl w:val="0"/>
          <w:numId w:val="8"/>
        </w:numPr>
        <w:spacing w:after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„Przerwa (maksymalnie 2 minuty). Aby kontynuować wcześniej, naciśnij spację. Po 2 minutach eksperyment będzie kontynuowany automatycznie."</w:t>
      </w:r>
    </w:p>
    <w:tbl>
      <w:tblPr>
        <w:tblStyle w:val="Table2"/>
        <w:tblW w:w="5521.0" w:type="dxa"/>
        <w:jc w:val="left"/>
        <w:tblInd w:w="177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521"/>
        <w:tblGridChange w:id="0">
          <w:tblGrid>
            <w:gridCol w:w="5521"/>
          </w:tblGrid>
        </w:tblGridChange>
      </w:tblGrid>
      <w:tr>
        <w:trPr>
          <w:cantSplit w:val="0"/>
          <w:trHeight w:val="1142" w:hRule="atLeast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„Przerwa. Aby kontynuować, naciśnij spację.”</w:t>
            </w:r>
          </w:p>
        </w:tc>
      </w:tr>
    </w:tbl>
    <w:p w:rsidR="00000000" w:rsidDel="00000000" w:rsidP="00000000" w:rsidRDefault="00000000" w:rsidRPr="00000000" w14:paraId="0000004C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80" w:before="28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DANE DO ZAREJESTROWANIA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Nazwa sesji (np. „Trening” lub „Sesja eksperymentalna 1”)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Treść bodźca (LEFT / RIGHT)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Pozycja bodźca (lewa / prawa strona ekranu)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Rodzaj próby (0 = zgodna, 1 = niezgodna)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Numer próby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Klawisz, który został naciśnięty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Czas reakcji (ms)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Poprawność odpowiedzi (0 = niepoprawna, 1 = poprawna)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Czas rozpoczęcia i zakończenia każdego bloku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Czas trwania każdej przerwy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Sekwencja poprzednich 3 prób (typ zgodności)</w:t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80" w:before="28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PARAMETRY KONFIGURACJI</w:t>
      </w:r>
    </w:p>
    <w:tbl>
      <w:tblPr>
        <w:tblStyle w:val="Table3"/>
        <w:tblW w:w="9062.0" w:type="dxa"/>
        <w:jc w:val="left"/>
        <w:tblLayout w:type="fixed"/>
        <w:tblLook w:val="0400"/>
      </w:tblPr>
      <w:tblGrid>
        <w:gridCol w:w="2668"/>
        <w:gridCol w:w="2428"/>
        <w:gridCol w:w="1121"/>
        <w:gridCol w:w="1733"/>
        <w:gridCol w:w="1112"/>
        <w:tblGridChange w:id="0">
          <w:tblGrid>
            <w:gridCol w:w="2668"/>
            <w:gridCol w:w="2428"/>
            <w:gridCol w:w="1121"/>
            <w:gridCol w:w="1733"/>
            <w:gridCol w:w="1112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Parametr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Opis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Jednostka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Przykładowe wartości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Domyślna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0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jitter_time_range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czas między próbami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sekundy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3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1.0 – 2.0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4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liczba_prób_treningowych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6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długość sesji treningowej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7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liczba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9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A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liczba_bloków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B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liczba bloków eksperymentalnych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C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liczba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D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E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</w:tr>
      <w:tr>
        <w:trPr>
          <w:cantSplit w:val="0"/>
          <w:trHeight w:val="7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F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próby_na_blok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0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długość bloku eksperymentalnego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1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liczba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60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3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60</w:t>
            </w:r>
          </w:p>
        </w:tc>
      </w:tr>
    </w:tbl>
    <w:p w:rsidR="00000000" w:rsidDel="00000000" w:rsidP="00000000" w:rsidRDefault="00000000" w:rsidRPr="00000000" w14:paraId="00000074">
      <w:pPr>
        <w:spacing w:after="280" w:before="28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INSTRUKCJE W CZASIE ZADANIA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Przed każdą sesją (treningową i eksperymentalną) pojawia się komunikat:</w:t>
      </w:r>
    </w:p>
    <w:tbl>
      <w:tblPr>
        <w:tblStyle w:val="Table4"/>
        <w:tblW w:w="8730.0" w:type="dxa"/>
        <w:jc w:val="left"/>
        <w:tblInd w:w="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30"/>
        <w:tblGridChange w:id="0">
          <w:tblGrid>
            <w:gridCol w:w="8730"/>
          </w:tblGrid>
        </w:tblGridChange>
      </w:tblGrid>
      <w:tr>
        <w:trPr>
          <w:cantSplit w:val="0"/>
          <w:trHeight w:val="1502" w:hRule="atLeast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„Zadanie zaraz się rozpocznie. Umieść lewą rękę na klawiszu Z, a prawą na klawiszu M. Skup wzrok na znaku +.”</w:t>
            </w:r>
          </w:p>
        </w:tc>
      </w:tr>
    </w:tbl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Informacje o klawiszach są widoczne TYLKO podczas przerw między blokami i NIE są wyświetlane podczas wykonywania prób: </w:t>
      </w:r>
    </w:p>
    <w:p w:rsidR="00000000" w:rsidDel="00000000" w:rsidP="00000000" w:rsidRDefault="00000000" w:rsidRPr="00000000" w14:paraId="00000078">
      <w:pPr>
        <w:spacing w:after="280" w:before="280" w:line="240" w:lineRule="auto"/>
        <w:ind w:left="94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„Z = LEFT    M = RIGHT” – czcionka czarna, wysokość 0.03 ekranu</w:t>
      </w:r>
    </w:p>
    <w:p w:rsidR="00000000" w:rsidDel="00000000" w:rsidP="00000000" w:rsidRDefault="00000000" w:rsidRPr="00000000" w14:paraId="00000079">
      <w:pPr>
        <w:spacing w:after="280" w:before="28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ZAKOŃCZENIE BADANIA</w:t>
      </w:r>
    </w:p>
    <w:p w:rsidR="00000000" w:rsidDel="00000000" w:rsidP="00000000" w:rsidRDefault="00000000" w:rsidRPr="00000000" w14:paraId="0000007A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 ukończeniu ostatniego bloku pojawia się komunikat:</w:t>
      </w:r>
    </w:p>
    <w:tbl>
      <w:tblPr>
        <w:tblStyle w:val="Table5"/>
        <w:tblW w:w="8832.0" w:type="dxa"/>
        <w:jc w:val="left"/>
        <w:tblInd w:w="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32"/>
        <w:tblGridChange w:id="0">
          <w:tblGrid>
            <w:gridCol w:w="8832"/>
          </w:tblGrid>
        </w:tblGridChange>
      </w:tblGrid>
      <w:tr>
        <w:trPr>
          <w:cantSplit w:val="0"/>
          <w:trHeight w:val="1195" w:hRule="atLeast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ind w:left="-10" w:firstLine="0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„To już koniec eksperymentu. Serdecznie dziękujemy za udział w badaniu!”</w:t>
            </w:r>
          </w:p>
          <w:p w:rsidR="00000000" w:rsidDel="00000000" w:rsidP="00000000" w:rsidRDefault="00000000" w:rsidRPr="00000000" w14:paraId="0000007C">
            <w:pPr>
              <w:spacing w:after="0" w:line="240" w:lineRule="auto"/>
              <w:ind w:left="215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80" w:before="28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WIZUALIZACJA PRÓBY</w:t>
      </w:r>
    </w:p>
    <w:p w:rsidR="00000000" w:rsidDel="00000000" w:rsidP="00000000" w:rsidRDefault="00000000" w:rsidRPr="00000000" w14:paraId="0000007F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Poniżej przedstawiono przykładowy wygląd ekranu w jednej próbie: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Punkt fiksacji na środku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Słowo „RIGHT” wyświetlone po lewej stronie ekranu – to próba niezgodna (bo należy zareagować prawą ręką – klawisz „M”)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Instrukcje reakcyjne widoczne u góry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Informacje o klawiszach NIE są widoczne podczas prób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78.0000000000000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2486576" cy="1757762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6576" cy="17577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78.0000000000000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78.0000000000000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PROCEDURY AWARYJNE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spacing w:after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Jeśli uczestnik wciśnie niewłaściwy klawisz (inny niż Z lub M), próba jest kontynuowana bez przerywania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Jeśli eksperyment zostanie przerwany, dane są zapisywane z informacją o przerwaniu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spacing w:after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Podczas analizy danych odrzucane są czasy reakcji poniżej 200 ms jako przedwczesne reakcje,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 odpowiada standardom analizy danych reakcyjnych (Whelan, 2008). </w:t>
      </w:r>
    </w:p>
    <w:p w:rsidR="00000000" w:rsidDel="00000000" w:rsidP="00000000" w:rsidRDefault="00000000" w:rsidRPr="00000000" w14:paraId="0000008A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80" w:before="28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LITERATURA CYTOWANA</w:t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Simon, J. R., &amp; Rudell, A. P. (1967). Auditory S-R compatibility: The effect of an irrelevant cue on information processing. Journal of Applied Psychology, 51(3), 300–304.</w:t>
      </w:r>
    </w:p>
    <w:p w:rsidR="00000000" w:rsidDel="00000000" w:rsidP="00000000" w:rsidRDefault="00000000" w:rsidRPr="00000000" w14:paraId="0000008D">
      <w:pPr>
        <w:numPr>
          <w:ilvl w:val="0"/>
          <w:numId w:val="3"/>
        </w:numPr>
        <w:spacing w:after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Hommel, B. (2011). The Simon effect as tool and heuristic. Acta Psychologica, 136(2), 189–202.</w:t>
      </w:r>
    </w:p>
    <w:p w:rsidR="00000000" w:rsidDel="00000000" w:rsidP="00000000" w:rsidRDefault="00000000" w:rsidRPr="00000000" w14:paraId="0000008E">
      <w:pPr>
        <w:numPr>
          <w:ilvl w:val="0"/>
          <w:numId w:val="3"/>
        </w:numPr>
        <w:spacing w:after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Hommel, B. (1996). S-R compatibility effects without response uncertainty. *Quarterly Journal of Experimental Psychology: Section A*, 49(3), 546–571.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u w:val="single"/>
            <w:rtl w:val="0"/>
          </w:rPr>
          <w:t xml:space="preserve">https://doi.org/10.1080/713755643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3"/>
        </w:numPr>
        <w:spacing w:after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Valle-Inclán, F., &amp; Redondo, M. (1998). On the automaticity of ipsilateral response activation in the Simon effect. *Acta Psychologica*, 98(1), 1–16.</w:t>
      </w:r>
    </w:p>
    <w:p w:rsidR="00000000" w:rsidDel="00000000" w:rsidP="00000000" w:rsidRDefault="00000000" w:rsidRPr="00000000" w14:paraId="00000090">
      <w:pPr>
        <w:numPr>
          <w:ilvl w:val="0"/>
          <w:numId w:val="3"/>
        </w:numPr>
        <w:spacing w:after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Proctor, R. W., &amp; Lu, C.-H. (1999). Processing irrelevant location information: Practice and transfer effects in choice-reaction tasks. *Memory &amp; Cognition*, 27(1), 63–77.</w:t>
      </w:r>
    </w:p>
    <w:p w:rsidR="00000000" w:rsidDel="00000000" w:rsidP="00000000" w:rsidRDefault="00000000" w:rsidRPr="00000000" w14:paraId="00000091">
      <w:pPr>
        <w:numPr>
          <w:ilvl w:val="0"/>
          <w:numId w:val="3"/>
        </w:numPr>
        <w:spacing w:after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Umiltà, C., &amp; Nicoletti, R. (1992). Spatial stimulus–response compatibility. In G. E. Stelmach &amp; J. Requin (Eds.), *Tutorials in Motor Neuroscience* (pp. 89–116). North-Holland.</w:t>
      </w:r>
    </w:p>
    <w:p w:rsidR="00000000" w:rsidDel="00000000" w:rsidP="00000000" w:rsidRDefault="00000000" w:rsidRPr="00000000" w14:paraId="00000092">
      <w:pPr>
        <w:numPr>
          <w:ilvl w:val="0"/>
          <w:numId w:val="3"/>
        </w:numPr>
        <w:spacing w:after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Whelan, R. (2008). Effective analysis of reaction time data. *The Psychological Record*, 58(3), 475–482.</w:t>
      </w:r>
    </w:p>
    <w:p w:rsidR="00000000" w:rsidDel="00000000" w:rsidP="00000000" w:rsidRDefault="00000000" w:rsidRPr="00000000" w14:paraId="00000093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</w:rPr>
      </w:pPr>
      <w:bookmarkStart w:colFirst="0" w:colLast="0" w:name="_heading=h.3wnp6uz927ar" w:id="0"/>
      <w:bookmarkEnd w:id="0"/>
      <w:r w:rsidDel="00000000" w:rsidR="00000000" w:rsidRPr="00000000">
        <w:rPr>
          <w:rtl w:val="0"/>
        </w:rPr>
      </w:r>
    </w:p>
    <w:sectPr>
      <w:headerReference r:id="rId9" w:type="default"/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14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pl-PL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ny" w:default="1">
    <w:name w:val="Normal"/>
    <w:qFormat w:val="1"/>
  </w:style>
  <w:style w:type="paragraph" w:styleId="Nagwek1">
    <w:name w:val="heading 1"/>
    <w:basedOn w:val="Normalny"/>
    <w:next w:val="Normalny"/>
    <w:uiPriority w:val="9"/>
    <w:qFormat w:val="1"/>
    <w:pPr>
      <w:keepNext w:val="1"/>
      <w:keepLines w:val="1"/>
      <w:spacing w:after="80" w:before="360"/>
      <w:outlineLvl w:val="0"/>
    </w:pPr>
    <w:rPr>
      <w:rFonts w:ascii="Play" w:cs="Play" w:eastAsia="Play" w:hAnsi="Play"/>
      <w:color w:val="0f4761"/>
      <w:sz w:val="40"/>
      <w:szCs w:val="40"/>
    </w:rPr>
  </w:style>
  <w:style w:type="paragraph" w:styleId="Nagwek2">
    <w:name w:val="heading 2"/>
    <w:basedOn w:val="Normalny"/>
    <w:next w:val="Normalny"/>
    <w:uiPriority w:val="9"/>
    <w:unhideWhenUsed w:val="1"/>
    <w:qFormat w:val="1"/>
    <w:pPr>
      <w:keepNext w:val="1"/>
      <w:keepLines w:val="1"/>
      <w:spacing w:after="80" w:before="160"/>
      <w:outlineLvl w:val="1"/>
    </w:pPr>
    <w:rPr>
      <w:rFonts w:ascii="Play" w:cs="Play" w:eastAsia="Play" w:hAnsi="Play"/>
      <w:color w:val="0f4761"/>
      <w:sz w:val="32"/>
      <w:szCs w:val="32"/>
    </w:rPr>
  </w:style>
  <w:style w:type="paragraph" w:styleId="Nagwek3">
    <w:name w:val="heading 3"/>
    <w:basedOn w:val="Normalny"/>
    <w:next w:val="Normalny"/>
    <w:uiPriority w:val="9"/>
    <w:semiHidden w:val="1"/>
    <w:unhideWhenUsed w:val="1"/>
    <w:qFormat w:val="1"/>
    <w:pPr>
      <w:keepNext w:val="1"/>
      <w:keepLines w:val="1"/>
      <w:spacing w:after="80" w:before="160"/>
      <w:outlineLvl w:val="2"/>
    </w:pPr>
    <w:rPr>
      <w:color w:val="0f4761"/>
      <w:sz w:val="28"/>
      <w:szCs w:val="28"/>
    </w:rPr>
  </w:style>
  <w:style w:type="paragraph" w:styleId="Nagwek4">
    <w:name w:val="heading 4"/>
    <w:basedOn w:val="Normalny"/>
    <w:next w:val="Normalny"/>
    <w:uiPriority w:val="9"/>
    <w:semiHidden w:val="1"/>
    <w:unhideWhenUsed w:val="1"/>
    <w:qFormat w:val="1"/>
    <w:pPr>
      <w:keepNext w:val="1"/>
      <w:keepLines w:val="1"/>
      <w:spacing w:after="40" w:before="80"/>
      <w:outlineLvl w:val="3"/>
    </w:pPr>
    <w:rPr>
      <w:i w:val="1"/>
      <w:color w:val="0f4761"/>
    </w:rPr>
  </w:style>
  <w:style w:type="paragraph" w:styleId="Nagwek5">
    <w:name w:val="heading 5"/>
    <w:basedOn w:val="Normalny"/>
    <w:next w:val="Normalny"/>
    <w:uiPriority w:val="9"/>
    <w:semiHidden w:val="1"/>
    <w:unhideWhenUsed w:val="1"/>
    <w:qFormat w:val="1"/>
    <w:pPr>
      <w:keepNext w:val="1"/>
      <w:keepLines w:val="1"/>
      <w:spacing w:after="40" w:before="80"/>
      <w:outlineLvl w:val="4"/>
    </w:pPr>
    <w:rPr>
      <w:color w:val="0f4761"/>
    </w:rPr>
  </w:style>
  <w:style w:type="paragraph" w:styleId="Nagwek6">
    <w:name w:val="heading 6"/>
    <w:basedOn w:val="Normalny"/>
    <w:next w:val="Normalny"/>
    <w:uiPriority w:val="9"/>
    <w:semiHidden w:val="1"/>
    <w:unhideWhenUsed w:val="1"/>
    <w:qFormat w:val="1"/>
    <w:pPr>
      <w:keepNext w:val="1"/>
      <w:keepLines w:val="1"/>
      <w:spacing w:after="0" w:before="40"/>
      <w:outlineLvl w:val="5"/>
    </w:pPr>
    <w:rPr>
      <w:i w:val="1"/>
      <w:color w:val="595959"/>
    </w:rPr>
  </w:style>
  <w:style w:type="character" w:styleId="Domylnaczcionkaakapitu" w:default="1">
    <w:name w:val="Default Paragraph Font"/>
    <w:uiPriority w:val="1"/>
    <w:semiHidden w:val="1"/>
    <w:unhideWhenUsed w:val="1"/>
  </w:style>
  <w:style w:type="table" w:styleId="Standardowy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Bezlisty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ytu">
    <w:name w:val="Title"/>
    <w:basedOn w:val="Normalny"/>
    <w:next w:val="Normalny"/>
    <w:uiPriority w:val="10"/>
    <w:qFormat w:val="1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Podtytu">
    <w:name w:val="Subtitle"/>
    <w:basedOn w:val="Normalny"/>
    <w:next w:val="Normalny"/>
    <w:uiPriority w:val="11"/>
    <w:qFormat w:val="1"/>
    <w:rPr>
      <w:color w:val="595959"/>
      <w:sz w:val="28"/>
      <w:szCs w:val="28"/>
    </w:rPr>
  </w:style>
  <w:style w:type="table" w:styleId="a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paragraph" w:styleId="Akapitzlist">
    <w:name w:val="List Paragraph"/>
    <w:basedOn w:val="Normalny"/>
    <w:uiPriority w:val="34"/>
    <w:qFormat w:val="1"/>
    <w:rsid w:val="005567EC"/>
    <w:pPr>
      <w:ind w:left="720"/>
      <w:contextualSpacing w:val="1"/>
    </w:p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0" w:line="278.00000000000006" w:lineRule="auto"/>
      <w:ind w:left="0" w:right="0" w:firstLine="0"/>
      <w:jc w:val="left"/>
    </w:pPr>
    <w:rPr>
      <w:rFonts w:ascii="Aptos" w:cs="Aptos" w:eastAsia="Aptos" w:hAnsi="Aptos"/>
      <w:b w:val="0"/>
      <w:i w:val="0"/>
      <w:smallCaps w:val="0"/>
      <w:strike w:val="0"/>
      <w:color w:val="595959"/>
      <w:sz w:val="28"/>
      <w:szCs w:val="2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80/713755643" TargetMode="External"/><Relationship Id="rId3" Type="http://schemas.openxmlformats.org/officeDocument/2006/relationships/fontTable" Target="fontTable.xml"/><Relationship Id="rId7" Type="http://schemas.openxmlformats.org/officeDocument/2006/relationships/image" Target="media/image1.jpg"/><Relationship Id="rId12" Type="http://schemas.openxmlformats.org/officeDocument/2006/relationships/customXml" Target="../customXML/item4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11" Type="http://schemas.openxmlformats.org/officeDocument/2006/relationships/customXml" Target="../customXML/item3.xml"/><Relationship Id="rId5" Type="http://schemas.openxmlformats.org/officeDocument/2006/relationships/styles" Target="styles.xml"/><Relationship Id="rId10" Type="http://schemas.openxmlformats.org/officeDocument/2006/relationships/customXml" Target="../customXML/item2.xml"/><Relationship Id="rId4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/7gGnIRI3hrW4d9wyazJJWZSaQ==">CgMxLjAyDmguM3ducDZ1ejkyN2FyOAByITFUTDVVOVpReXotTUJaSjNuc08zT2lIamZBTWpNbWhDdA==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9F9076C6C81FC40AD5021D608EACBC1" ma:contentTypeVersion="3" ma:contentTypeDescription="Utwórz nowy dokument." ma:contentTypeScope="" ma:versionID="27109f3e0e797230903baf76694a8a47">
  <xsd:schema xmlns:xsd="http://www.w3.org/2001/XMLSchema" xmlns:xs="http://www.w3.org/2001/XMLSchema" xmlns:p="http://schemas.microsoft.com/office/2006/metadata/properties" xmlns:ns2="190c40f1-9b4e-4e5f-98ad-c2a7633fc3b2" targetNamespace="http://schemas.microsoft.com/office/2006/metadata/properties" ma:root="true" ma:fieldsID="9e87e36531c09761379abe5b88a42643" ns2:_="">
    <xsd:import namespace="190c40f1-9b4e-4e5f-98ad-c2a7633fc3b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0c40f1-9b4e-4e5f-98ad-c2a7633fc3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223598FA-8700-40B4-B2BA-7210FF30562A}"/>
</file>

<file path=customXML/itemProps3.xml><?xml version="1.0" encoding="utf-8"?>
<ds:datastoreItem xmlns:ds="http://schemas.openxmlformats.org/officeDocument/2006/customXml" ds:itemID="{485F2E94-E99E-42F6-BF52-EB0D9758B04B}"/>
</file>

<file path=customXML/itemProps4.xml><?xml version="1.0" encoding="utf-8"?>
<ds:datastoreItem xmlns:ds="http://schemas.openxmlformats.org/officeDocument/2006/customXml" ds:itemID="{B511401F-6E8D-4FA8-937D-8B6A7548B2DF}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2025-05-13T17:07:00Z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0x010100D9F9076C6C81FC40AD5021D608EACBC1</vt:lpwstr>
  </property>
</Properties>
</file>