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top w:space="0" w:sz="0" w:val="nil"/>
          <w:left w:space="0" w:sz="0" w:val="nil"/>
          <w:bottom w:space="0" w:sz="0" w:val="nil"/>
          <w:right w:space="0" w:sz="0" w:val="nil"/>
          <w:between w:space="0" w:sz="0" w:val="nil"/>
        </w:pBdr>
        <w:spacing w:after="80" w:before="360" w:lineRule="auto"/>
        <w:contextualSpacing w:val="0"/>
        <w:rPr>
          <w:rFonts w:ascii="Arial" w:cs="Arial" w:eastAsia="Arial" w:hAnsi="Arial"/>
          <w:b w:val="0"/>
          <w:color w:val="003366"/>
          <w:sz w:val="48"/>
          <w:szCs w:val="48"/>
          <w:highlight w:val="white"/>
        </w:rPr>
      </w:pPr>
      <w:bookmarkStart w:colFirst="0" w:colLast="0" w:name="_y8vafuaipson" w:id="0"/>
      <w:bookmarkEnd w:id="0"/>
      <w:r w:rsidDel="00000000" w:rsidR="00000000" w:rsidRPr="00000000">
        <w:rPr>
          <w:rFonts w:ascii="Arial" w:cs="Arial" w:eastAsia="Arial" w:hAnsi="Arial"/>
          <w:b w:val="0"/>
          <w:color w:val="003366"/>
          <w:sz w:val="48"/>
          <w:szCs w:val="48"/>
          <w:highlight w:val="white"/>
          <w:rtl w:val="0"/>
        </w:rPr>
        <w:t xml:space="preserve">Implementation Considerations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rPr/>
      </w:pPr>
      <w:r w:rsidDel="00000000" w:rsidR="00000000" w:rsidRPr="00000000">
        <w:rPr>
          <w:sz w:val="20"/>
          <w:szCs w:val="20"/>
          <w:highlight w:val="white"/>
          <w:rtl w:val="0"/>
        </w:rPr>
        <w:t xml:space="preserve">Due to low power usage, solar applications make the use of this treatment flexible enough for nearly any location.</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rPr/>
      </w:pPr>
      <w:r w:rsidDel="00000000" w:rsidR="00000000" w:rsidRPr="00000000">
        <w:rPr>
          <w:sz w:val="20"/>
          <w:szCs w:val="20"/>
          <w:highlight w:val="white"/>
          <w:rtl w:val="0"/>
        </w:rPr>
        <w:t xml:space="preserve">LEDs may be set to flash 24 hours a day or be vehicle or pedestrian activated.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20"/>
          <w:szCs w:val="20"/>
          <w:highlight w:val="white"/>
        </w:rPr>
      </w:pPr>
      <w:r w:rsidDel="00000000" w:rsidR="00000000" w:rsidRPr="00000000">
        <w:rPr>
          <w:b w:val="1"/>
          <w:sz w:val="20"/>
          <w:szCs w:val="20"/>
          <w:highlight w:val="white"/>
          <w:rtl w:val="0"/>
        </w:rPr>
        <w:t xml:space="preserve">Manual on Uniform Traffic Control Devices (MUTCD) Specifications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rPr>
          <w:b w:val="1"/>
        </w:rPr>
      </w:pPr>
      <w:r w:rsidDel="00000000" w:rsidR="00000000" w:rsidRPr="00000000">
        <w:rPr>
          <w:b w:val="1"/>
          <w:sz w:val="20"/>
          <w:szCs w:val="20"/>
          <w:highlight w:val="white"/>
          <w:rtl w:val="0"/>
        </w:rPr>
        <w:t xml:space="preserve">If used, the LEDs shall be the same color as the sign legend, border, or background. If flashed, all LED units on an installation shall flash simultaneously at a rate of more than 50 and less than 60 times per minute. The uniformity of the sign shall be maintained without any decrease in visibility, legibility, or driver comprehension during either daytime or nighttime conditions. </w:t>
      </w:r>
      <w:r w:rsidDel="00000000" w:rsidR="00000000" w:rsidRPr="00000000">
        <w:rPr>
          <w:b w:val="1"/>
          <w:i w:val="1"/>
          <w:sz w:val="20"/>
          <w:szCs w:val="20"/>
          <w:highlight w:val="white"/>
          <w:rtl w:val="0"/>
        </w:rPr>
        <w:t xml:space="preserve">MUTCD, Section 2A.08</w:t>
      </w:r>
      <w:r w:rsidDel="00000000" w:rsidR="00000000" w:rsidRPr="00000000">
        <w:rPr>
          <w:b w:val="1"/>
          <w:sz w:val="20"/>
          <w:szCs w:val="20"/>
          <w:highlight w:val="white"/>
          <w:rtl w:val="0"/>
        </w:rPr>
        <w:t xml:space="preserve">.</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rPr>
          <w:b w:val="1"/>
        </w:rPr>
      </w:pPr>
      <w:r w:rsidDel="00000000" w:rsidR="00000000" w:rsidRPr="00000000">
        <w:rPr>
          <w:b w:val="1"/>
          <w:sz w:val="20"/>
          <w:szCs w:val="20"/>
          <w:highlight w:val="white"/>
          <w:rtl w:val="0"/>
        </w:rPr>
        <w:t xml:space="preserve">MUTCD, Section 2A.08 contains further information that should be consulted when installing a sign with embedded LEDs.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rPr>
          <w:b w:val="1"/>
        </w:rPr>
      </w:pPr>
      <w:r w:rsidDel="00000000" w:rsidR="00000000" w:rsidRPr="00000000">
        <w:rPr>
          <w:b w:val="1"/>
          <w:sz w:val="20"/>
          <w:szCs w:val="20"/>
          <w:highlight w:val="white"/>
          <w:rtl w:val="0"/>
        </w:rPr>
        <w:t xml:space="preserve">Lighting elements for illuminated signs (e.g. LED-embedded signs) should be replaced on a regular maintenance schedule. </w:t>
      </w:r>
      <w:r w:rsidDel="00000000" w:rsidR="00000000" w:rsidRPr="00000000">
        <w:rPr>
          <w:b w:val="1"/>
          <w:i w:val="1"/>
          <w:sz w:val="20"/>
          <w:szCs w:val="20"/>
          <w:highlight w:val="white"/>
          <w:rtl w:val="0"/>
        </w:rPr>
        <w:t xml:space="preserve">MUTCD, Section 2A.22</w:t>
      </w:r>
      <w:r w:rsidDel="00000000" w:rsidR="00000000" w:rsidRPr="00000000">
        <w:rPr>
          <w:b w:val="1"/>
          <w:sz w:val="20"/>
          <w:szCs w:val="20"/>
          <w:highlight w:val="white"/>
          <w:rtl w:val="0"/>
        </w:rPr>
        <w:t xml:space="preserve">.</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after="80" w:before="360" w:lineRule="auto"/>
        <w:contextualSpacing w:val="0"/>
        <w:rPr>
          <w:rFonts w:ascii="Arial" w:cs="Arial" w:eastAsia="Arial" w:hAnsi="Arial"/>
          <w:b w:val="0"/>
          <w:color w:val="003366"/>
          <w:sz w:val="48"/>
          <w:szCs w:val="48"/>
          <w:highlight w:val="white"/>
        </w:rPr>
      </w:pPr>
      <w:bookmarkStart w:colFirst="0" w:colLast="0" w:name="_hdk2crxssn8r" w:id="1"/>
      <w:bookmarkEnd w:id="1"/>
      <w:r w:rsidDel="00000000" w:rsidR="00000000" w:rsidRPr="00000000">
        <w:rPr>
          <w:rFonts w:ascii="Arial" w:cs="Arial" w:eastAsia="Arial" w:hAnsi="Arial"/>
          <w:b w:val="0"/>
          <w:color w:val="003366"/>
          <w:sz w:val="48"/>
          <w:szCs w:val="48"/>
          <w:highlight w:val="white"/>
          <w:rtl w:val="0"/>
        </w:rPr>
        <w:t xml:space="preserve">Costs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highlight w:val="white"/>
        </w:rPr>
      </w:pPr>
      <w:r w:rsidDel="00000000" w:rsidR="00000000" w:rsidRPr="00000000">
        <w:rPr>
          <w:sz w:val="20"/>
          <w:szCs w:val="20"/>
          <w:highlight w:val="white"/>
          <w:rtl w:val="0"/>
        </w:rPr>
        <w:t xml:space="preserve">During the course of the 2007 Virginia Transportation Research Council study, the costs for 48-inch, 36-inch, and 30-inch signs embedded with LEDs were estimated at $1,860, $1,640, and $1,600, respectively. This included the cost of the solar power supply, but did not include an additional $175 for post and anchor or the cost of installation.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24"/>
          <w:szCs w:val="24"/>
          <w:highlight w:val="white"/>
        </w:rPr>
      </w:pPr>
      <w:r w:rsidDel="00000000" w:rsidR="00000000" w:rsidRPr="00000000">
        <w:rPr>
          <w:b w:val="1"/>
          <w:sz w:val="36"/>
          <w:szCs w:val="36"/>
          <w:highlight w:val="white"/>
          <w:rtl w:val="0"/>
        </w:rPr>
        <w:t xml:space="preserve">2009 MUTCD</w:t>
      </w:r>
      <w:r w:rsidDel="00000000" w:rsidR="00000000" w:rsidRPr="00000000">
        <w:rPr>
          <w:b w:val="1"/>
          <w:sz w:val="60"/>
          <w:szCs w:val="60"/>
          <w:highlight w:val="white"/>
          <w:rtl w:val="0"/>
        </w:rPr>
        <w:t xml:space="preserve">  - </w:t>
      </w:r>
      <w:r w:rsidDel="00000000" w:rsidR="00000000" w:rsidRPr="00000000">
        <w:rPr>
          <w:b w:val="1"/>
          <w:sz w:val="24"/>
          <w:szCs w:val="24"/>
          <w:highlight w:val="white"/>
          <w:rtl w:val="0"/>
        </w:rPr>
        <w:t xml:space="preserve">http://mutcd.fhwa.dot.gov/htm/2009/part2/part2a.htm</w:t>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300" w:lineRule="auto"/>
        <w:contextualSpacing w:val="0"/>
        <w:rPr>
          <w:rFonts w:ascii="Verdana" w:cs="Verdana" w:eastAsia="Verdana" w:hAnsi="Verdana"/>
          <w:color w:val="990033"/>
          <w:sz w:val="20"/>
          <w:szCs w:val="20"/>
          <w:highlight w:val="white"/>
        </w:rPr>
      </w:pPr>
      <w:bookmarkStart w:colFirst="0" w:colLast="0" w:name="_ntibo63zwhkx" w:id="2"/>
      <w:bookmarkEnd w:id="2"/>
      <w:r w:rsidDel="00000000" w:rsidR="00000000" w:rsidRPr="00000000">
        <w:rPr>
          <w:rFonts w:ascii="Verdana" w:cs="Verdana" w:eastAsia="Verdana" w:hAnsi="Verdana"/>
          <w:color w:val="990033"/>
          <w:sz w:val="20"/>
          <w:szCs w:val="20"/>
          <w:highlight w:val="white"/>
          <w:rtl w:val="0"/>
        </w:rPr>
        <w:t xml:space="preserve">Section 2A.07 Retroreflectivity and Illumination</w:t>
      </w:r>
    </w:p>
    <w:p w:rsidR="00000000" w:rsidDel="00000000" w:rsidP="00000000" w:rsidRDefault="00000000" w:rsidRPr="00000000">
      <w:pPr>
        <w:pBdr>
          <w:top w:space="0" w:sz="0" w:val="nil"/>
          <w:left w:space="0" w:sz="0" w:val="nil"/>
          <w:bottom w:space="0" w:sz="0" w:val="nil"/>
          <w:right w:space="0" w:sz="0" w:val="nil"/>
          <w:between w:space="0" w:sz="0" w:val="nil"/>
        </w:pBdr>
        <w:spacing w:before="300" w:lineRule="auto"/>
        <w:contextualSpacing w:val="0"/>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Support:</w:t>
      </w:r>
    </w:p>
    <w:p w:rsidR="00000000" w:rsidDel="00000000" w:rsidP="00000000" w:rsidRDefault="00000000" w:rsidRPr="00000000">
      <w:pPr>
        <w:pBdr>
          <w:top w:space="0" w:sz="0" w:val="nil"/>
          <w:left w:space="0" w:sz="0" w:val="nil"/>
          <w:bottom w:space="0" w:sz="0" w:val="nil"/>
          <w:right w:space="0" w:sz="0" w:val="nil"/>
          <w:between w:space="0" w:sz="0" w:val="nil"/>
        </w:pBdr>
        <w:spacing w:before="300" w:lineRule="auto"/>
        <w:contextualSpacing w:val="0"/>
        <w:rPr>
          <w:rFonts w:ascii="Verdana" w:cs="Verdana" w:eastAsia="Verdana" w:hAnsi="Verdana"/>
          <w:b w:val="1"/>
          <w:sz w:val="20"/>
          <w:szCs w:val="20"/>
          <w:highlight w:val="white"/>
        </w:rPr>
      </w:pPr>
      <w:r w:rsidDel="00000000" w:rsidR="00000000" w:rsidRPr="00000000">
        <w:rPr>
          <w:rFonts w:ascii="Verdana" w:cs="Verdana" w:eastAsia="Verdana" w:hAnsi="Verdana"/>
          <w:b w:val="1"/>
          <w:sz w:val="16"/>
          <w:szCs w:val="16"/>
          <w:highlight w:val="white"/>
          <w:rtl w:val="0"/>
        </w:rPr>
        <w:t xml:space="preserve">01</w:t>
      </w:r>
      <w:r w:rsidDel="00000000" w:rsidR="00000000" w:rsidRPr="00000000">
        <w:rPr>
          <w:rFonts w:ascii="Verdana" w:cs="Verdana" w:eastAsia="Verdana" w:hAnsi="Verdana"/>
          <w:b w:val="1"/>
          <w:sz w:val="20"/>
          <w:szCs w:val="20"/>
          <w:highlight w:val="white"/>
          <w:rtl w:val="0"/>
        </w:rPr>
        <w:t xml:space="preserve"> There are many materials currently available for retroreflection and various methods currently available for the illumination of signs and object markers. New materials and methods continue to emerge. New materials and methods can be used as long as the signs and object markers meet the standard requirements for color, both by day and by night.</w:t>
      </w:r>
    </w:p>
    <w:p w:rsidR="00000000" w:rsidDel="00000000" w:rsidP="00000000" w:rsidRDefault="00000000" w:rsidRPr="00000000">
      <w:pPr>
        <w:pBdr>
          <w:top w:space="0" w:sz="0" w:val="nil"/>
          <w:left w:space="0" w:sz="0" w:val="nil"/>
          <w:bottom w:space="0" w:sz="0" w:val="nil"/>
          <w:right w:space="0" w:sz="0" w:val="nil"/>
          <w:between w:space="0" w:sz="0" w:val="nil"/>
        </w:pBdr>
        <w:spacing w:before="300" w:lineRule="auto"/>
        <w:contextualSpacing w:val="0"/>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Standard:</w:t>
      </w:r>
    </w:p>
    <w:p w:rsidR="00000000" w:rsidDel="00000000" w:rsidP="00000000" w:rsidRDefault="00000000" w:rsidRPr="00000000">
      <w:pPr>
        <w:pBdr>
          <w:top w:space="0" w:sz="0" w:val="nil"/>
          <w:left w:space="0" w:sz="0" w:val="nil"/>
          <w:bottom w:space="0" w:sz="0" w:val="nil"/>
          <w:right w:space="0" w:sz="0" w:val="nil"/>
          <w:between w:space="0" w:sz="0" w:val="nil"/>
        </w:pBdr>
        <w:spacing w:before="300" w:lineRule="auto"/>
        <w:contextualSpacing w:val="0"/>
        <w:rPr>
          <w:rFonts w:ascii="Verdana" w:cs="Verdana" w:eastAsia="Verdana" w:hAnsi="Verdana"/>
          <w:b w:val="1"/>
          <w:sz w:val="20"/>
          <w:szCs w:val="20"/>
          <w:highlight w:val="white"/>
        </w:rPr>
      </w:pPr>
      <w:r w:rsidDel="00000000" w:rsidR="00000000" w:rsidRPr="00000000">
        <w:rPr>
          <w:rFonts w:ascii="Verdana" w:cs="Verdana" w:eastAsia="Verdana" w:hAnsi="Verdana"/>
          <w:b w:val="1"/>
          <w:sz w:val="16"/>
          <w:szCs w:val="16"/>
          <w:highlight w:val="white"/>
          <w:rtl w:val="0"/>
        </w:rPr>
        <w:t xml:space="preserve">02</w:t>
      </w:r>
      <w:r w:rsidDel="00000000" w:rsidR="00000000" w:rsidRPr="00000000">
        <w:rPr>
          <w:rFonts w:ascii="Verdana" w:cs="Verdana" w:eastAsia="Verdana" w:hAnsi="Verdana"/>
          <w:b w:val="1"/>
          <w:sz w:val="20"/>
          <w:szCs w:val="20"/>
          <w:highlight w:val="white"/>
          <w:rtl w:val="0"/>
        </w:rPr>
        <w:t xml:space="preserve"> Regulatory, warning, and guide signs and object markers shall be retroreflective (see </w:t>
      </w:r>
      <w:hyperlink r:id="rId5">
        <w:r w:rsidDel="00000000" w:rsidR="00000000" w:rsidRPr="00000000">
          <w:rPr>
            <w:rFonts w:ascii="Verdana" w:cs="Verdana" w:eastAsia="Verdana" w:hAnsi="Verdana"/>
            <w:b w:val="1"/>
            <w:color w:val="800080"/>
            <w:sz w:val="20"/>
            <w:szCs w:val="20"/>
            <w:highlight w:val="white"/>
            <w:u w:val="single"/>
            <w:rtl w:val="0"/>
          </w:rPr>
          <w:t xml:space="preserve">Section 2A.08</w:t>
        </w:r>
      </w:hyperlink>
      <w:r w:rsidDel="00000000" w:rsidR="00000000" w:rsidRPr="00000000">
        <w:rPr>
          <w:rFonts w:ascii="Verdana" w:cs="Verdana" w:eastAsia="Verdana" w:hAnsi="Verdana"/>
          <w:b w:val="1"/>
          <w:sz w:val="20"/>
          <w:szCs w:val="20"/>
          <w:highlight w:val="white"/>
          <w:rtl w:val="0"/>
        </w:rPr>
        <w:t xml:space="preserve">) or illuminated to show the same shape and similar color by both day and night, unless otherwise provided in the text discussion in this Manual for a particular sign or group of signs.</w:t>
      </w:r>
    </w:p>
    <w:p w:rsidR="00000000" w:rsidDel="00000000" w:rsidP="00000000" w:rsidRDefault="00000000" w:rsidRPr="00000000">
      <w:pPr>
        <w:pBdr>
          <w:top w:space="0" w:sz="0" w:val="nil"/>
          <w:left w:space="0" w:sz="0" w:val="nil"/>
          <w:bottom w:space="0" w:sz="0" w:val="nil"/>
          <w:right w:space="0" w:sz="0" w:val="nil"/>
          <w:between w:space="0" w:sz="0" w:val="nil"/>
        </w:pBdr>
        <w:spacing w:before="300" w:lineRule="auto"/>
        <w:contextualSpacing w:val="0"/>
        <w:rPr>
          <w:rFonts w:ascii="Verdana" w:cs="Verdana" w:eastAsia="Verdana" w:hAnsi="Verdana"/>
          <w:b w:val="1"/>
          <w:sz w:val="20"/>
          <w:szCs w:val="20"/>
          <w:highlight w:val="white"/>
        </w:rPr>
      </w:pPr>
      <w:r w:rsidDel="00000000" w:rsidR="00000000" w:rsidRPr="00000000">
        <w:rPr>
          <w:rFonts w:ascii="Verdana" w:cs="Verdana" w:eastAsia="Verdana" w:hAnsi="Verdana"/>
          <w:b w:val="1"/>
          <w:sz w:val="16"/>
          <w:szCs w:val="16"/>
          <w:highlight w:val="white"/>
          <w:rtl w:val="0"/>
        </w:rPr>
        <w:t xml:space="preserve">03</w:t>
      </w:r>
      <w:r w:rsidDel="00000000" w:rsidR="00000000" w:rsidRPr="00000000">
        <w:rPr>
          <w:rFonts w:ascii="Verdana" w:cs="Verdana" w:eastAsia="Verdana" w:hAnsi="Verdana"/>
          <w:b w:val="1"/>
          <w:sz w:val="20"/>
          <w:szCs w:val="20"/>
          <w:highlight w:val="white"/>
          <w:rtl w:val="0"/>
        </w:rPr>
        <w:t xml:space="preserve"> The requirements for sign illumination shall not be considered to be satisfied by street or highway lighting.</w:t>
      </w:r>
    </w:p>
    <w:p w:rsidR="00000000" w:rsidDel="00000000" w:rsidP="00000000" w:rsidRDefault="00000000" w:rsidRPr="00000000">
      <w:pPr>
        <w:pBdr>
          <w:top w:space="0" w:sz="0" w:val="nil"/>
          <w:left w:space="0" w:sz="0" w:val="nil"/>
          <w:bottom w:space="0" w:sz="0" w:val="nil"/>
          <w:right w:space="0" w:sz="0" w:val="nil"/>
          <w:between w:space="0" w:sz="0" w:val="nil"/>
        </w:pBdr>
        <w:spacing w:before="300" w:lineRule="auto"/>
        <w:contextualSpacing w:val="0"/>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Option:</w:t>
      </w:r>
    </w:p>
    <w:p w:rsidR="00000000" w:rsidDel="00000000" w:rsidP="00000000" w:rsidRDefault="00000000" w:rsidRPr="00000000">
      <w:pPr>
        <w:pBdr>
          <w:top w:space="0" w:sz="0" w:val="nil"/>
          <w:left w:space="0" w:sz="0" w:val="nil"/>
          <w:bottom w:space="0" w:sz="0" w:val="nil"/>
          <w:right w:space="0" w:sz="0" w:val="nil"/>
          <w:between w:space="0" w:sz="0" w:val="nil"/>
        </w:pBdr>
        <w:spacing w:before="300" w:lineRule="auto"/>
        <w:contextualSpacing w:val="0"/>
        <w:rPr>
          <w:rFonts w:ascii="Verdana" w:cs="Verdana" w:eastAsia="Verdana" w:hAnsi="Verdana"/>
          <w:b w:val="1"/>
          <w:sz w:val="20"/>
          <w:szCs w:val="20"/>
          <w:highlight w:val="white"/>
        </w:rPr>
      </w:pPr>
      <w:r w:rsidDel="00000000" w:rsidR="00000000" w:rsidRPr="00000000">
        <w:rPr>
          <w:rFonts w:ascii="Verdana" w:cs="Verdana" w:eastAsia="Verdana" w:hAnsi="Verdana"/>
          <w:b w:val="1"/>
          <w:sz w:val="16"/>
          <w:szCs w:val="16"/>
          <w:highlight w:val="white"/>
          <w:rtl w:val="0"/>
        </w:rPr>
        <w:t xml:space="preserve">04</w:t>
      </w:r>
      <w:r w:rsidDel="00000000" w:rsidR="00000000" w:rsidRPr="00000000">
        <w:rPr>
          <w:rFonts w:ascii="Verdana" w:cs="Verdana" w:eastAsia="Verdana" w:hAnsi="Verdana"/>
          <w:b w:val="1"/>
          <w:sz w:val="20"/>
          <w:szCs w:val="20"/>
          <w:highlight w:val="white"/>
          <w:rtl w:val="0"/>
        </w:rPr>
        <w:t xml:space="preserve"> Sign elements may be illuminated by the means shown in </w:t>
      </w:r>
      <w:hyperlink r:id="rId6">
        <w:r w:rsidDel="00000000" w:rsidR="00000000" w:rsidRPr="00000000">
          <w:rPr>
            <w:rFonts w:ascii="Verdana" w:cs="Verdana" w:eastAsia="Verdana" w:hAnsi="Verdana"/>
            <w:b w:val="1"/>
            <w:color w:val="800080"/>
            <w:sz w:val="20"/>
            <w:szCs w:val="20"/>
            <w:highlight w:val="white"/>
            <w:u w:val="single"/>
            <w:rtl w:val="0"/>
          </w:rPr>
          <w:t xml:space="preserve">Table 2A-1</w:t>
        </w:r>
      </w:hyperlink>
      <w:r w:rsidDel="00000000" w:rsidR="00000000" w:rsidRPr="00000000">
        <w:rPr>
          <w:rFonts w:ascii="Verdana" w:cs="Verdana" w:eastAsia="Verdana" w:hAnsi="Verdana"/>
          <w:b w:val="1"/>
          <w:sz w:val="20"/>
          <w:szCs w:val="20"/>
          <w:highlight w:val="white"/>
          <w:rtl w:val="0"/>
        </w:rPr>
        <w:t xml:space="preserve">.</w:t>
      </w:r>
    </w:p>
    <w:tbl>
      <w:tblPr>
        <w:tblStyle w:val="Table1"/>
        <w:tblW w:w="9360.0" w:type="dxa"/>
        <w:jc w:val="left"/>
        <w:tblLayout w:type="fixed"/>
        <w:tblLook w:val="0600"/>
      </w:tblPr>
      <w:tblGrid>
        <w:gridCol w:w="4680"/>
        <w:gridCol w:w="4680"/>
        <w:tblGridChange w:id="0">
          <w:tblGrid>
            <w:gridCol w:w="4680"/>
            <w:gridCol w:w="4680"/>
          </w:tblGrid>
        </w:tblGridChange>
      </w:tblGrid>
      <w:tr>
        <w:tc>
          <w:tcPr>
            <w:tcBorders>
              <w:top w:color="cf8a9d" w:space="0" w:sz="6" w:val="single"/>
              <w:left w:color="cf8a9d" w:space="0" w:sz="6" w:val="single"/>
              <w:right w:color="cf8a9d" w:space="0" w:sz="6" w:val="single"/>
            </w:tcBorders>
            <w:shd w:fill="edd5db"/>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before="300" w:lineRule="auto"/>
              <w:contextualSpacing w:val="0"/>
              <w:rPr>
                <w:rFonts w:ascii="Verdana" w:cs="Verdana" w:eastAsia="Verdana" w:hAnsi="Verdana"/>
                <w:b w:val="1"/>
                <w:sz w:val="20"/>
                <w:szCs w:val="20"/>
                <w:highlight w:val="white"/>
              </w:rPr>
            </w:pPr>
            <w:r w:rsidDel="00000000" w:rsidR="00000000" w:rsidRPr="00000000">
              <w:rPr>
                <w:rFonts w:ascii="Verdana" w:cs="Verdana" w:eastAsia="Verdana" w:hAnsi="Verdana"/>
                <w:b w:val="1"/>
                <w:sz w:val="18"/>
                <w:szCs w:val="18"/>
                <w:shd w:fill="edd5db" w:val="clear"/>
                <w:rtl w:val="0"/>
              </w:rPr>
              <w:t xml:space="preserve">Means of Illumination</w:t>
            </w:r>
            <w:r w:rsidDel="00000000" w:rsidR="00000000" w:rsidRPr="00000000">
              <w:rPr>
                <w:rtl w:val="0"/>
              </w:rPr>
            </w:r>
          </w:p>
        </w:tc>
        <w:tc>
          <w:tcPr>
            <w:tcBorders>
              <w:top w:color="cf8a9d" w:space="0" w:sz="6" w:val="single"/>
              <w:right w:color="cf8a9d" w:space="0" w:sz="6" w:val="single"/>
            </w:tcBorders>
            <w:shd w:fill="edd5db"/>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Verdana" w:cs="Verdana" w:eastAsia="Verdana" w:hAnsi="Verdana"/>
                <w:b w:val="1"/>
                <w:sz w:val="20"/>
                <w:szCs w:val="20"/>
                <w:highlight w:val="white"/>
              </w:rPr>
            </w:pPr>
            <w:r w:rsidDel="00000000" w:rsidR="00000000" w:rsidRPr="00000000">
              <w:rPr>
                <w:rFonts w:ascii="Verdana" w:cs="Verdana" w:eastAsia="Verdana" w:hAnsi="Verdana"/>
                <w:b w:val="1"/>
                <w:sz w:val="18"/>
                <w:szCs w:val="18"/>
                <w:shd w:fill="edd5db" w:val="clear"/>
                <w:rtl w:val="0"/>
              </w:rPr>
              <w:t xml:space="preserve">Sign Element To Be Illuminated</w:t>
            </w:r>
            <w:r w:rsidDel="00000000" w:rsidR="00000000" w:rsidRPr="00000000">
              <w:rPr>
                <w:rtl w:val="0"/>
              </w:rPr>
            </w:r>
          </w:p>
        </w:tc>
      </w:tr>
      <w:tr>
        <w:tc>
          <w:tcPr>
            <w:tcBorders>
              <w:top w:color="cf8a9d" w:space="0" w:sz="6" w:val="single"/>
              <w:left w:color="cf8a9d" w:space="0" w:sz="6" w:val="single"/>
              <w:right w:color="cf8a9d"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Verdana" w:cs="Verdana" w:eastAsia="Verdana" w:hAnsi="Verdana"/>
                <w:b w:val="1"/>
                <w:sz w:val="20"/>
                <w:szCs w:val="20"/>
                <w:highlight w:val="white"/>
              </w:rPr>
            </w:pPr>
            <w:r w:rsidDel="00000000" w:rsidR="00000000" w:rsidRPr="00000000">
              <w:rPr>
                <w:rFonts w:ascii="Verdana" w:cs="Verdana" w:eastAsia="Verdana" w:hAnsi="Verdana"/>
                <w:b w:val="1"/>
                <w:sz w:val="18"/>
                <w:szCs w:val="18"/>
                <w:highlight w:val="white"/>
                <w:rtl w:val="0"/>
              </w:rPr>
              <w:t xml:space="preserve">Light behind the sign face</w:t>
            </w:r>
            <w:r w:rsidDel="00000000" w:rsidR="00000000" w:rsidRPr="00000000">
              <w:rPr>
                <w:rtl w:val="0"/>
              </w:rPr>
            </w:r>
          </w:p>
        </w:tc>
        <w:tc>
          <w:tcPr>
            <w:tcBorders>
              <w:top w:color="cf8a9d" w:space="0" w:sz="6" w:val="single"/>
              <w:right w:color="cf8a9d" w:space="0" w:sz="6" w:val="single"/>
            </w:tcBorders>
            <w:tcMar>
              <w:top w:w="100.0" w:type="dxa"/>
              <w:left w:w="100.0" w:type="dxa"/>
              <w:bottom w:w="100.0" w:type="dxa"/>
              <w:right w:w="100.0" w:type="dxa"/>
            </w:tcMar>
          </w:tcPr>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pacing w:after="40" w:before="40" w:lineRule="auto"/>
              <w:ind w:left="720" w:hanging="360"/>
              <w:contextualSpacing w:val="1"/>
              <w:rPr/>
            </w:pPr>
            <w:r w:rsidDel="00000000" w:rsidR="00000000" w:rsidRPr="00000000">
              <w:rPr>
                <w:rFonts w:ascii="Verdana" w:cs="Verdana" w:eastAsia="Verdana" w:hAnsi="Verdana"/>
                <w:b w:val="1"/>
                <w:sz w:val="18"/>
                <w:szCs w:val="18"/>
                <w:highlight w:val="white"/>
                <w:rtl w:val="0"/>
              </w:rPr>
              <w:t xml:space="preserve">Symbol or word message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pacing w:after="40" w:before="40" w:lineRule="auto"/>
              <w:ind w:left="720" w:hanging="360"/>
              <w:contextualSpacing w:val="1"/>
              <w:rPr/>
            </w:pPr>
            <w:r w:rsidDel="00000000" w:rsidR="00000000" w:rsidRPr="00000000">
              <w:rPr>
                <w:rFonts w:ascii="Verdana" w:cs="Verdana" w:eastAsia="Verdana" w:hAnsi="Verdana"/>
                <w:b w:val="1"/>
                <w:sz w:val="18"/>
                <w:szCs w:val="18"/>
                <w:highlight w:val="white"/>
                <w:rtl w:val="0"/>
              </w:rPr>
              <w:t xml:space="preserve">Background</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pacing w:after="40" w:before="40" w:lineRule="auto"/>
              <w:ind w:left="720" w:hanging="360"/>
              <w:contextualSpacing w:val="1"/>
              <w:rPr/>
            </w:pPr>
            <w:r w:rsidDel="00000000" w:rsidR="00000000" w:rsidRPr="00000000">
              <w:rPr>
                <w:rFonts w:ascii="Verdana" w:cs="Verdana" w:eastAsia="Verdana" w:hAnsi="Verdana"/>
                <w:b w:val="1"/>
                <w:sz w:val="18"/>
                <w:szCs w:val="18"/>
                <w:highlight w:val="white"/>
                <w:rtl w:val="0"/>
              </w:rPr>
              <w:t xml:space="preserve">Symbol, word message, and background (through a translucent material)</w:t>
            </w:r>
          </w:p>
        </w:tc>
      </w:tr>
      <w:tr>
        <w:tc>
          <w:tcPr>
            <w:tcBorders>
              <w:top w:color="cf8a9d" w:space="0" w:sz="6" w:val="single"/>
              <w:left w:color="cf8a9d" w:space="0" w:sz="6" w:val="single"/>
              <w:right w:color="cf8a9d" w:space="0" w:sz="6"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before="300" w:lineRule="auto"/>
              <w:contextualSpacing w:val="0"/>
              <w:rPr>
                <w:rFonts w:ascii="Verdana" w:cs="Verdana" w:eastAsia="Verdana" w:hAnsi="Verdana"/>
                <w:b w:val="1"/>
                <w:sz w:val="20"/>
                <w:szCs w:val="20"/>
                <w:highlight w:val="white"/>
              </w:rPr>
            </w:pPr>
            <w:r w:rsidDel="00000000" w:rsidR="00000000" w:rsidRPr="00000000">
              <w:rPr>
                <w:rFonts w:ascii="Verdana" w:cs="Verdana" w:eastAsia="Verdana" w:hAnsi="Verdana"/>
                <w:b w:val="1"/>
                <w:sz w:val="18"/>
                <w:szCs w:val="18"/>
                <w:highlight w:val="white"/>
                <w:rtl w:val="0"/>
              </w:rPr>
              <w:t xml:space="preserve">Attached or independently mounted light source designed to direct essentially uniform illumination onto the sign face</w:t>
            </w:r>
            <w:r w:rsidDel="00000000" w:rsidR="00000000" w:rsidRPr="00000000">
              <w:rPr>
                <w:rtl w:val="0"/>
              </w:rPr>
            </w:r>
          </w:p>
        </w:tc>
        <w:tc>
          <w:tcPr>
            <w:tcBorders>
              <w:top w:color="cf8a9d" w:space="0" w:sz="6" w:val="single"/>
              <w:right w:color="cf8a9d" w:space="0" w:sz="6" w:val="single"/>
            </w:tcBorders>
            <w:tcMar>
              <w:top w:w="100.0" w:type="dxa"/>
              <w:left w:w="100.0" w:type="dxa"/>
              <w:bottom w:w="100.0" w:type="dxa"/>
              <w:right w:w="100.0" w:type="dxa"/>
            </w:tcMar>
          </w:tcPr>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after="40" w:before="40" w:lineRule="auto"/>
              <w:ind w:left="720" w:hanging="360"/>
              <w:contextualSpacing w:val="1"/>
              <w:rPr/>
            </w:pPr>
            <w:r w:rsidDel="00000000" w:rsidR="00000000" w:rsidRPr="00000000">
              <w:rPr>
                <w:rFonts w:ascii="Verdana" w:cs="Verdana" w:eastAsia="Verdana" w:hAnsi="Verdana"/>
                <w:b w:val="1"/>
                <w:sz w:val="18"/>
                <w:szCs w:val="18"/>
                <w:highlight w:val="white"/>
                <w:rtl w:val="0"/>
              </w:rPr>
              <w:t xml:space="preserve">Entire sign face</w:t>
            </w:r>
          </w:p>
        </w:tc>
      </w:tr>
      <w:tr>
        <w:tc>
          <w:tcPr>
            <w:tcBorders>
              <w:top w:color="cf8a9d" w:space="0" w:sz="6" w:val="single"/>
              <w:left w:color="cf8a9d" w:space="0" w:sz="6" w:val="single"/>
              <w:right w:color="cf8a9d" w:space="0" w:sz="6"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before="300" w:lineRule="auto"/>
              <w:contextualSpacing w:val="0"/>
              <w:rPr>
                <w:rFonts w:ascii="Verdana" w:cs="Verdana" w:eastAsia="Verdana" w:hAnsi="Verdana"/>
                <w:b w:val="1"/>
                <w:sz w:val="20"/>
                <w:szCs w:val="20"/>
                <w:highlight w:val="white"/>
              </w:rPr>
            </w:pPr>
            <w:r w:rsidDel="00000000" w:rsidR="00000000" w:rsidRPr="00000000">
              <w:rPr>
                <w:rFonts w:ascii="Verdana" w:cs="Verdana" w:eastAsia="Verdana" w:hAnsi="Verdana"/>
                <w:b w:val="1"/>
                <w:sz w:val="18"/>
                <w:szCs w:val="18"/>
                <w:highlight w:val="white"/>
                <w:rtl w:val="0"/>
              </w:rPr>
              <w:t xml:space="preserve">Light emitting diodes (LEDs)</w:t>
            </w:r>
            <w:r w:rsidDel="00000000" w:rsidR="00000000" w:rsidRPr="00000000">
              <w:rPr>
                <w:rtl w:val="0"/>
              </w:rPr>
            </w:r>
          </w:p>
        </w:tc>
        <w:tc>
          <w:tcPr>
            <w:tcBorders>
              <w:top w:color="cf8a9d" w:space="0" w:sz="6" w:val="single"/>
              <w:right w:color="cf8a9d" w:space="0" w:sz="6" w:val="single"/>
            </w:tcBorders>
            <w:tcMar>
              <w:top w:w="100.0" w:type="dxa"/>
              <w:left w:w="100.0" w:type="dxa"/>
              <w:bottom w:w="100.0" w:type="dxa"/>
              <w:right w:w="100.0" w:type="dxa"/>
            </w:tcMar>
          </w:tcPr>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after="40" w:before="40" w:lineRule="auto"/>
              <w:ind w:left="720" w:hanging="360"/>
              <w:contextualSpacing w:val="1"/>
              <w:rPr/>
            </w:pPr>
            <w:r w:rsidDel="00000000" w:rsidR="00000000" w:rsidRPr="00000000">
              <w:rPr>
                <w:rFonts w:ascii="Verdana" w:cs="Verdana" w:eastAsia="Verdana" w:hAnsi="Verdana"/>
                <w:b w:val="1"/>
                <w:sz w:val="18"/>
                <w:szCs w:val="18"/>
                <w:highlight w:val="white"/>
                <w:rtl w:val="0"/>
              </w:rPr>
              <w:t xml:space="preserve">Symbol or word message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after="40" w:before="40" w:lineRule="auto"/>
              <w:ind w:left="720" w:hanging="360"/>
              <w:contextualSpacing w:val="1"/>
              <w:rPr/>
            </w:pPr>
            <w:r w:rsidDel="00000000" w:rsidR="00000000" w:rsidRPr="00000000">
              <w:rPr>
                <w:rFonts w:ascii="Verdana" w:cs="Verdana" w:eastAsia="Verdana" w:hAnsi="Verdana"/>
                <w:b w:val="1"/>
                <w:sz w:val="18"/>
                <w:szCs w:val="18"/>
                <w:highlight w:val="white"/>
                <w:rtl w:val="0"/>
              </w:rPr>
              <w:t xml:space="preserve">Portions of the sign border</w:t>
            </w:r>
          </w:p>
        </w:tc>
      </w:tr>
      <w:tr>
        <w:tc>
          <w:tcPr>
            <w:tcBorders>
              <w:top w:color="cf8a9d" w:space="0" w:sz="6" w:val="single"/>
              <w:left w:color="cf8a9d" w:space="0" w:sz="6" w:val="single"/>
              <w:bottom w:color="cf8a9d" w:space="0" w:sz="6" w:val="single"/>
              <w:right w:color="cf8a9d" w:space="0" w:sz="6"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before="300" w:lineRule="auto"/>
              <w:contextualSpacing w:val="0"/>
              <w:rPr>
                <w:rFonts w:ascii="Verdana" w:cs="Verdana" w:eastAsia="Verdana" w:hAnsi="Verdana"/>
                <w:b w:val="1"/>
                <w:sz w:val="18"/>
                <w:szCs w:val="18"/>
                <w:highlight w:val="white"/>
              </w:rPr>
            </w:pPr>
            <w:r w:rsidDel="00000000" w:rsidR="00000000" w:rsidRPr="00000000">
              <w:rPr>
                <w:rFonts w:ascii="Verdana" w:cs="Verdana" w:eastAsia="Verdana" w:hAnsi="Verdana"/>
                <w:b w:val="1"/>
                <w:sz w:val="18"/>
                <w:szCs w:val="18"/>
                <w:highlight w:val="white"/>
                <w:rtl w:val="0"/>
              </w:rPr>
              <w:t xml:space="preserve">Other devices, or treatments that highlight the sign shape, color, or message: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Verdana" w:cs="Verdana" w:eastAsia="Verdana" w:hAnsi="Verdana"/>
                <w:b w:val="1"/>
                <w:sz w:val="18"/>
                <w:szCs w:val="18"/>
                <w:highlight w:val="white"/>
              </w:rPr>
            </w:pPr>
            <w:r w:rsidDel="00000000" w:rsidR="00000000" w:rsidRPr="00000000">
              <w:rPr>
                <w:rFonts w:ascii="Verdana" w:cs="Verdana" w:eastAsia="Verdana" w:hAnsi="Verdana"/>
                <w:b w:val="1"/>
                <w:sz w:val="18"/>
                <w:szCs w:val="18"/>
                <w:highlight w:val="white"/>
                <w:rtl w:val="0"/>
              </w:rPr>
              <w:t xml:space="preserve">Luminous tubing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Verdana" w:cs="Verdana" w:eastAsia="Verdana" w:hAnsi="Verdana"/>
                <w:b w:val="1"/>
                <w:sz w:val="18"/>
                <w:szCs w:val="18"/>
                <w:highlight w:val="white"/>
              </w:rPr>
            </w:pPr>
            <w:r w:rsidDel="00000000" w:rsidR="00000000" w:rsidRPr="00000000">
              <w:rPr>
                <w:rFonts w:ascii="Verdana" w:cs="Verdana" w:eastAsia="Verdana" w:hAnsi="Verdana"/>
                <w:b w:val="1"/>
                <w:sz w:val="18"/>
                <w:szCs w:val="18"/>
                <w:highlight w:val="white"/>
                <w:rtl w:val="0"/>
              </w:rPr>
              <w:t xml:space="preserve">Fiber optics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Verdana" w:cs="Verdana" w:eastAsia="Verdana" w:hAnsi="Verdana"/>
                <w:b w:val="1"/>
                <w:sz w:val="18"/>
                <w:szCs w:val="18"/>
                <w:highlight w:val="white"/>
              </w:rPr>
            </w:pPr>
            <w:r w:rsidDel="00000000" w:rsidR="00000000" w:rsidRPr="00000000">
              <w:rPr>
                <w:rFonts w:ascii="Verdana" w:cs="Verdana" w:eastAsia="Verdana" w:hAnsi="Verdana"/>
                <w:b w:val="1"/>
                <w:sz w:val="18"/>
                <w:szCs w:val="18"/>
                <w:highlight w:val="white"/>
                <w:rtl w:val="0"/>
              </w:rPr>
              <w:t xml:space="preserve">Incandescent light bulbs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Verdana" w:cs="Verdana" w:eastAsia="Verdana" w:hAnsi="Verdana"/>
                <w:b w:val="1"/>
                <w:sz w:val="18"/>
                <w:szCs w:val="18"/>
                <w:highlight w:val="white"/>
              </w:rPr>
            </w:pPr>
            <w:r w:rsidDel="00000000" w:rsidR="00000000" w:rsidRPr="00000000">
              <w:rPr>
                <w:rFonts w:ascii="Verdana" w:cs="Verdana" w:eastAsia="Verdana" w:hAnsi="Verdana"/>
                <w:b w:val="1"/>
                <w:sz w:val="18"/>
                <w:szCs w:val="18"/>
                <w:highlight w:val="white"/>
                <w:rtl w:val="0"/>
              </w:rPr>
              <w:t xml:space="preserve">Luminescent panels</w:t>
            </w:r>
          </w:p>
        </w:tc>
        <w:tc>
          <w:tcPr>
            <w:tcBorders>
              <w:top w:color="cf8a9d" w:space="0" w:sz="6" w:val="single"/>
              <w:bottom w:color="cf8a9d" w:space="0" w:sz="6" w:val="single"/>
              <w:right w:color="cf8a9d" w:space="0" w:sz="6" w:val="single"/>
            </w:tcBorders>
            <w:tcMar>
              <w:top w:w="100.0" w:type="dxa"/>
              <w:left w:w="100.0" w:type="dxa"/>
              <w:bottom w:w="100.0" w:type="dxa"/>
              <w:right w:w="100.0" w:type="dxa"/>
            </w:tcMar>
          </w:tcPr>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40" w:before="40" w:lineRule="auto"/>
              <w:ind w:left="720" w:hanging="360"/>
              <w:contextualSpacing w:val="1"/>
              <w:rPr/>
            </w:pPr>
            <w:r w:rsidDel="00000000" w:rsidR="00000000" w:rsidRPr="00000000">
              <w:rPr>
                <w:rFonts w:ascii="Verdana" w:cs="Verdana" w:eastAsia="Verdana" w:hAnsi="Verdana"/>
                <w:b w:val="1"/>
                <w:sz w:val="18"/>
                <w:szCs w:val="18"/>
                <w:highlight w:val="white"/>
                <w:rtl w:val="0"/>
              </w:rPr>
              <w:t xml:space="preserve">Symbol or word message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40" w:before="40" w:lineRule="auto"/>
              <w:ind w:left="720" w:hanging="360"/>
              <w:contextualSpacing w:val="1"/>
              <w:rPr/>
            </w:pPr>
            <w:r w:rsidDel="00000000" w:rsidR="00000000" w:rsidRPr="00000000">
              <w:rPr>
                <w:rFonts w:ascii="Verdana" w:cs="Verdana" w:eastAsia="Verdana" w:hAnsi="Verdana"/>
                <w:b w:val="1"/>
                <w:sz w:val="18"/>
                <w:szCs w:val="18"/>
                <w:highlight w:val="white"/>
                <w:rtl w:val="0"/>
              </w:rPr>
              <w:t xml:space="preserve">Entire sign face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pacing w:before="300" w:lineRule="auto"/>
        <w:contextualSpacing w:val="0"/>
        <w:rPr>
          <w:rFonts w:ascii="Verdana" w:cs="Verdana" w:eastAsia="Verdana" w:hAnsi="Verdana"/>
          <w:b w:val="1"/>
          <w:sz w:val="28"/>
          <w:szCs w:val="28"/>
          <w:highlight w:val="white"/>
        </w:rPr>
      </w:pPr>
      <w:r w:rsidDel="00000000" w:rsidR="00000000" w:rsidRPr="00000000">
        <w:rPr>
          <w:rFonts w:ascii="Verdana" w:cs="Verdana" w:eastAsia="Verdana" w:hAnsi="Verdana"/>
          <w:b w:val="1"/>
          <w:sz w:val="28"/>
          <w:szCs w:val="28"/>
          <w:highlight w:val="white"/>
          <w:rtl w:val="0"/>
        </w:rPr>
        <w:t xml:space="preserve">06 Light Emitting Diode (LED) units may be used individually within the legend or symbol of a sign and in the border of a sign, except for changeable message signs, to improve the conspicuity, increase the legibility of sign legends and borders, or provide a changeable message.</w:t>
      </w:r>
    </w:p>
    <w:p w:rsidR="00000000" w:rsidDel="00000000" w:rsidP="00000000" w:rsidRDefault="00000000" w:rsidRPr="00000000">
      <w:pPr>
        <w:pBdr>
          <w:top w:space="0" w:sz="0" w:val="nil"/>
          <w:left w:space="0" w:sz="0" w:val="nil"/>
          <w:bottom w:space="0" w:sz="0" w:val="nil"/>
          <w:right w:space="0" w:sz="0" w:val="nil"/>
          <w:between w:space="0" w:sz="0" w:val="nil"/>
        </w:pBdr>
        <w:spacing w:before="300" w:lineRule="auto"/>
        <w:contextualSpacing w:val="0"/>
        <w:rPr>
          <w:rFonts w:ascii="Verdana" w:cs="Verdana" w:eastAsia="Verdana" w:hAnsi="Verdana"/>
          <w:b w:val="1"/>
          <w:sz w:val="20"/>
          <w:szCs w:val="20"/>
          <w:highlight w:val="white"/>
        </w:rPr>
      </w:pPr>
      <w:r w:rsidDel="00000000" w:rsidR="00000000" w:rsidRPr="00000000">
        <w:rPr>
          <w:rFonts w:ascii="Verdana" w:cs="Verdana" w:eastAsia="Verdana" w:hAnsi="Verdana"/>
          <w:b w:val="1"/>
          <w:sz w:val="16"/>
          <w:szCs w:val="16"/>
          <w:highlight w:val="white"/>
          <w:rtl w:val="0"/>
        </w:rPr>
        <w:t xml:space="preserve">07</w:t>
      </w:r>
      <w:r w:rsidDel="00000000" w:rsidR="00000000" w:rsidRPr="00000000">
        <w:rPr>
          <w:rFonts w:ascii="Verdana" w:cs="Verdana" w:eastAsia="Verdana" w:hAnsi="Verdana"/>
          <w:b w:val="1"/>
          <w:sz w:val="20"/>
          <w:szCs w:val="20"/>
          <w:highlight w:val="white"/>
          <w:rtl w:val="0"/>
        </w:rPr>
        <w:t xml:space="preserve"> Except as provided in </w:t>
      </w:r>
      <w:hyperlink r:id="rId7">
        <w:r w:rsidDel="00000000" w:rsidR="00000000" w:rsidRPr="00000000">
          <w:rPr>
            <w:rFonts w:ascii="Verdana" w:cs="Verdana" w:eastAsia="Verdana" w:hAnsi="Verdana"/>
            <w:b w:val="1"/>
            <w:color w:val="800080"/>
            <w:sz w:val="20"/>
            <w:szCs w:val="20"/>
            <w:highlight w:val="white"/>
            <w:u w:val="single"/>
            <w:rtl w:val="0"/>
          </w:rPr>
          <w:t xml:space="preserve">Paragraphs 11</w:t>
        </w:r>
      </w:hyperlink>
      <w:r w:rsidDel="00000000" w:rsidR="00000000" w:rsidRPr="00000000">
        <w:rPr>
          <w:rFonts w:ascii="Verdana" w:cs="Verdana" w:eastAsia="Verdana" w:hAnsi="Verdana"/>
          <w:b w:val="1"/>
          <w:sz w:val="20"/>
          <w:szCs w:val="20"/>
          <w:highlight w:val="white"/>
          <w:rtl w:val="0"/>
        </w:rPr>
        <w:t xml:space="preserve"> and </w:t>
      </w:r>
      <w:hyperlink r:id="rId8">
        <w:r w:rsidDel="00000000" w:rsidR="00000000" w:rsidRPr="00000000">
          <w:rPr>
            <w:rFonts w:ascii="Verdana" w:cs="Verdana" w:eastAsia="Verdana" w:hAnsi="Verdana"/>
            <w:b w:val="1"/>
            <w:color w:val="800080"/>
            <w:sz w:val="20"/>
            <w:szCs w:val="20"/>
            <w:highlight w:val="white"/>
            <w:u w:val="single"/>
            <w:rtl w:val="0"/>
          </w:rPr>
          <w:t xml:space="preserve">12</w:t>
        </w:r>
      </w:hyperlink>
      <w:r w:rsidDel="00000000" w:rsidR="00000000" w:rsidRPr="00000000">
        <w:rPr>
          <w:rFonts w:ascii="Verdana" w:cs="Verdana" w:eastAsia="Verdana" w:hAnsi="Verdana"/>
          <w:b w:val="1"/>
          <w:sz w:val="20"/>
          <w:szCs w:val="20"/>
          <w:highlight w:val="white"/>
          <w:rtl w:val="0"/>
        </w:rPr>
        <w:t xml:space="preserve">, neither individual LEDs nor groups of LEDs shall be placed within the background area of a sign.</w:t>
      </w:r>
    </w:p>
    <w:p w:rsidR="00000000" w:rsidDel="00000000" w:rsidP="00000000" w:rsidRDefault="00000000" w:rsidRPr="00000000">
      <w:pPr>
        <w:pBdr>
          <w:top w:space="0" w:sz="0" w:val="nil"/>
          <w:left w:space="0" w:sz="0" w:val="nil"/>
          <w:bottom w:space="0" w:sz="0" w:val="nil"/>
          <w:right w:space="0" w:sz="0" w:val="nil"/>
          <w:between w:space="0" w:sz="0" w:val="nil"/>
        </w:pBdr>
        <w:spacing w:before="300" w:lineRule="auto"/>
        <w:contextualSpacing w:val="0"/>
        <w:rPr>
          <w:rFonts w:ascii="Verdana" w:cs="Verdana" w:eastAsia="Verdana" w:hAnsi="Verdana"/>
          <w:b w:val="1"/>
          <w:sz w:val="20"/>
          <w:szCs w:val="20"/>
          <w:highlight w:val="white"/>
        </w:rPr>
      </w:pPr>
      <w:r w:rsidDel="00000000" w:rsidR="00000000" w:rsidRPr="00000000">
        <w:rPr>
          <w:rFonts w:ascii="Verdana" w:cs="Verdana" w:eastAsia="Verdana" w:hAnsi="Verdana"/>
          <w:b w:val="1"/>
          <w:sz w:val="16"/>
          <w:szCs w:val="16"/>
          <w:highlight w:val="white"/>
          <w:rtl w:val="0"/>
        </w:rPr>
        <w:t xml:space="preserve">08</w:t>
      </w:r>
      <w:r w:rsidDel="00000000" w:rsidR="00000000" w:rsidRPr="00000000">
        <w:rPr>
          <w:rFonts w:ascii="Verdana" w:cs="Verdana" w:eastAsia="Verdana" w:hAnsi="Verdana"/>
          <w:b w:val="1"/>
          <w:sz w:val="20"/>
          <w:szCs w:val="20"/>
          <w:highlight w:val="white"/>
          <w:rtl w:val="0"/>
        </w:rPr>
        <w:t xml:space="preserve"> If used, the LEDs shall have a maximum diameter of 1/4 inch and shall be the following colors based on the type of sign:</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pacing w:after="60" w:before="60" w:lineRule="auto"/>
        <w:ind w:left="720" w:hanging="360"/>
        <w:contextualSpacing w:val="1"/>
        <w:rPr/>
      </w:pPr>
      <w:r w:rsidDel="00000000" w:rsidR="00000000" w:rsidRPr="00000000">
        <w:rPr>
          <w:rFonts w:ascii="Verdana" w:cs="Verdana" w:eastAsia="Verdana" w:hAnsi="Verdana"/>
          <w:b w:val="1"/>
          <w:sz w:val="20"/>
          <w:szCs w:val="20"/>
          <w:highlight w:val="white"/>
          <w:rtl w:val="0"/>
        </w:rPr>
        <w:t xml:space="preserve">White or red, if used with STOP or YIELD signs.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pacing w:after="60" w:before="60" w:lineRule="auto"/>
        <w:ind w:left="720" w:hanging="360"/>
        <w:contextualSpacing w:val="1"/>
        <w:rPr/>
      </w:pPr>
      <w:r w:rsidDel="00000000" w:rsidR="00000000" w:rsidRPr="00000000">
        <w:rPr>
          <w:rFonts w:ascii="Verdana" w:cs="Verdana" w:eastAsia="Verdana" w:hAnsi="Verdana"/>
          <w:b w:val="1"/>
          <w:sz w:val="20"/>
          <w:szCs w:val="20"/>
          <w:highlight w:val="white"/>
          <w:rtl w:val="0"/>
        </w:rPr>
        <w:t xml:space="preserve">White, if used with regulatory signs other than STOP or YIELD signs.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pacing w:after="60" w:before="60" w:lineRule="auto"/>
        <w:ind w:left="720" w:hanging="360"/>
        <w:contextualSpacing w:val="1"/>
        <w:rPr/>
      </w:pPr>
      <w:r w:rsidDel="00000000" w:rsidR="00000000" w:rsidRPr="00000000">
        <w:rPr>
          <w:rFonts w:ascii="Verdana" w:cs="Verdana" w:eastAsia="Verdana" w:hAnsi="Verdana"/>
          <w:b w:val="1"/>
          <w:sz w:val="20"/>
          <w:szCs w:val="20"/>
          <w:highlight w:val="white"/>
          <w:rtl w:val="0"/>
        </w:rPr>
        <w:t xml:space="preserve">White or yellow, if used with warning signs.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pacing w:after="60" w:before="60" w:lineRule="auto"/>
        <w:ind w:left="720" w:hanging="360"/>
        <w:contextualSpacing w:val="1"/>
        <w:rPr/>
      </w:pPr>
      <w:r w:rsidDel="00000000" w:rsidR="00000000" w:rsidRPr="00000000">
        <w:rPr>
          <w:rFonts w:ascii="Verdana" w:cs="Verdana" w:eastAsia="Verdana" w:hAnsi="Verdana"/>
          <w:b w:val="1"/>
          <w:sz w:val="20"/>
          <w:szCs w:val="20"/>
          <w:highlight w:val="white"/>
          <w:rtl w:val="0"/>
        </w:rPr>
        <w:t xml:space="preserve">White, if used with guide signs.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pacing w:after="60" w:before="60" w:lineRule="auto"/>
        <w:ind w:left="720" w:hanging="360"/>
        <w:contextualSpacing w:val="1"/>
        <w:rPr/>
      </w:pPr>
      <w:r w:rsidDel="00000000" w:rsidR="00000000" w:rsidRPr="00000000">
        <w:rPr>
          <w:rFonts w:ascii="Verdana" w:cs="Verdana" w:eastAsia="Verdana" w:hAnsi="Verdana"/>
          <w:b w:val="1"/>
          <w:sz w:val="20"/>
          <w:szCs w:val="20"/>
          <w:highlight w:val="white"/>
          <w:rtl w:val="0"/>
        </w:rPr>
        <w:t xml:space="preserve">White, yellow, or orange, if used with temporary traffic control signs.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pacing w:after="60" w:before="60" w:lineRule="auto"/>
        <w:ind w:left="720" w:hanging="360"/>
        <w:contextualSpacing w:val="1"/>
        <w:rPr/>
      </w:pPr>
      <w:r w:rsidDel="00000000" w:rsidR="00000000" w:rsidRPr="00000000">
        <w:rPr>
          <w:rFonts w:ascii="Verdana" w:cs="Verdana" w:eastAsia="Verdana" w:hAnsi="Verdana"/>
          <w:b w:val="1"/>
          <w:sz w:val="20"/>
          <w:szCs w:val="20"/>
          <w:highlight w:val="white"/>
          <w:rtl w:val="0"/>
        </w:rPr>
        <w:t xml:space="preserve">White or yellow, if used with school area signs.</w:t>
      </w:r>
    </w:p>
    <w:p w:rsidR="00000000" w:rsidDel="00000000" w:rsidP="00000000" w:rsidRDefault="00000000" w:rsidRPr="00000000">
      <w:pPr>
        <w:pBdr>
          <w:top w:space="0" w:sz="0" w:val="nil"/>
          <w:left w:space="0" w:sz="0" w:val="nil"/>
          <w:bottom w:space="0" w:sz="0" w:val="nil"/>
          <w:right w:space="0" w:sz="0" w:val="nil"/>
          <w:between w:space="0" w:sz="0" w:val="nil"/>
        </w:pBdr>
        <w:spacing w:before="300" w:lineRule="auto"/>
        <w:contextualSpacing w:val="0"/>
        <w:rPr>
          <w:rFonts w:ascii="Verdana" w:cs="Verdana" w:eastAsia="Verdana" w:hAnsi="Verdana"/>
          <w:b w:val="1"/>
          <w:sz w:val="20"/>
          <w:szCs w:val="20"/>
          <w:highlight w:val="white"/>
        </w:rPr>
      </w:pPr>
      <w:r w:rsidDel="00000000" w:rsidR="00000000" w:rsidRPr="00000000">
        <w:rPr>
          <w:rFonts w:ascii="Verdana" w:cs="Verdana" w:eastAsia="Verdana" w:hAnsi="Verdana"/>
          <w:b w:val="1"/>
          <w:sz w:val="16"/>
          <w:szCs w:val="16"/>
          <w:highlight w:val="white"/>
          <w:rtl w:val="0"/>
        </w:rPr>
        <w:t xml:space="preserve">09</w:t>
      </w:r>
      <w:r w:rsidDel="00000000" w:rsidR="00000000" w:rsidRPr="00000000">
        <w:rPr>
          <w:rFonts w:ascii="Verdana" w:cs="Verdana" w:eastAsia="Verdana" w:hAnsi="Verdana"/>
          <w:b w:val="1"/>
          <w:sz w:val="20"/>
          <w:szCs w:val="20"/>
          <w:highlight w:val="white"/>
          <w:rtl w:val="0"/>
        </w:rPr>
        <w:t xml:space="preserve"> If flashed, all LED units shall flash simultaneously at a rate of more than 50 and less than 60 times per minute.</w:t>
      </w:r>
    </w:p>
    <w:p w:rsidR="00000000" w:rsidDel="00000000" w:rsidP="00000000" w:rsidRDefault="00000000" w:rsidRPr="00000000">
      <w:pPr>
        <w:pBdr>
          <w:top w:space="0" w:sz="0" w:val="nil"/>
          <w:left w:space="0" w:sz="0" w:val="nil"/>
          <w:bottom w:space="0" w:sz="0" w:val="nil"/>
          <w:right w:space="0" w:sz="0" w:val="nil"/>
          <w:between w:space="0" w:sz="0" w:val="nil"/>
        </w:pBdr>
        <w:spacing w:before="300" w:lineRule="auto"/>
        <w:contextualSpacing w:val="0"/>
        <w:rPr>
          <w:rFonts w:ascii="Verdana" w:cs="Verdana" w:eastAsia="Verdana" w:hAnsi="Verdana"/>
          <w:b w:val="1"/>
          <w:sz w:val="20"/>
          <w:szCs w:val="20"/>
          <w:highlight w:val="white"/>
        </w:rPr>
      </w:pPr>
      <w:r w:rsidDel="00000000" w:rsidR="00000000" w:rsidRPr="00000000">
        <w:rPr>
          <w:rFonts w:ascii="Verdana" w:cs="Verdana" w:eastAsia="Verdana" w:hAnsi="Verdana"/>
          <w:b w:val="1"/>
          <w:sz w:val="16"/>
          <w:szCs w:val="16"/>
          <w:highlight w:val="white"/>
          <w:rtl w:val="0"/>
        </w:rPr>
        <w:t xml:space="preserve">10</w:t>
      </w:r>
      <w:r w:rsidDel="00000000" w:rsidR="00000000" w:rsidRPr="00000000">
        <w:rPr>
          <w:rFonts w:ascii="Verdana" w:cs="Verdana" w:eastAsia="Verdana" w:hAnsi="Verdana"/>
          <w:b w:val="1"/>
          <w:sz w:val="20"/>
          <w:szCs w:val="20"/>
          <w:highlight w:val="white"/>
          <w:rtl w:val="0"/>
        </w:rPr>
        <w:t xml:space="preserve"> The uniformity of the sign design shall be maintained without any decrease in visibility, legibility, or driver comprehension during either daytime or nighttime conditions.</w:t>
      </w:r>
    </w:p>
    <w:p w:rsidR="00000000" w:rsidDel="00000000" w:rsidP="00000000" w:rsidRDefault="00000000" w:rsidRPr="00000000">
      <w:pPr>
        <w:pBdr>
          <w:top w:space="0" w:sz="0" w:val="nil"/>
          <w:left w:space="0" w:sz="0" w:val="nil"/>
          <w:bottom w:space="0" w:sz="0" w:val="nil"/>
          <w:right w:space="0" w:sz="0" w:val="nil"/>
          <w:between w:space="0" w:sz="0" w:val="nil"/>
        </w:pBdr>
        <w:spacing w:before="300" w:lineRule="auto"/>
        <w:contextualSpacing w:val="0"/>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Option:</w:t>
      </w:r>
    </w:p>
    <w:p w:rsidR="00000000" w:rsidDel="00000000" w:rsidP="00000000" w:rsidRDefault="00000000" w:rsidRPr="00000000">
      <w:pPr>
        <w:pBdr>
          <w:top w:space="0" w:sz="0" w:val="nil"/>
          <w:left w:space="0" w:sz="0" w:val="nil"/>
          <w:bottom w:space="0" w:sz="0" w:val="nil"/>
          <w:right w:space="0" w:sz="0" w:val="nil"/>
          <w:between w:space="0" w:sz="0" w:val="nil"/>
        </w:pBdr>
        <w:spacing w:before="300" w:lineRule="auto"/>
        <w:contextualSpacing w:val="0"/>
        <w:rPr>
          <w:rFonts w:ascii="Verdana" w:cs="Verdana" w:eastAsia="Verdana" w:hAnsi="Verdana"/>
          <w:b w:val="1"/>
          <w:sz w:val="20"/>
          <w:szCs w:val="20"/>
          <w:highlight w:val="white"/>
        </w:rPr>
      </w:pPr>
      <w:r w:rsidDel="00000000" w:rsidR="00000000" w:rsidRPr="00000000">
        <w:rPr>
          <w:rFonts w:ascii="Verdana" w:cs="Verdana" w:eastAsia="Verdana" w:hAnsi="Verdana"/>
          <w:b w:val="1"/>
          <w:sz w:val="16"/>
          <w:szCs w:val="16"/>
          <w:highlight w:val="white"/>
          <w:rtl w:val="0"/>
        </w:rPr>
        <w:t xml:space="preserve">11</w:t>
      </w:r>
      <w:r w:rsidDel="00000000" w:rsidR="00000000" w:rsidRPr="00000000">
        <w:rPr>
          <w:rFonts w:ascii="Verdana" w:cs="Verdana" w:eastAsia="Verdana" w:hAnsi="Verdana"/>
          <w:b w:val="1"/>
          <w:sz w:val="20"/>
          <w:szCs w:val="20"/>
          <w:highlight w:val="white"/>
          <w:rtl w:val="0"/>
        </w:rPr>
        <w:t xml:space="preserve"> For STOP and YIELD signs, LEDs may be placed within the border or within one border width within the background of the sign.</w:t>
      </w:r>
    </w:p>
    <w:p w:rsidR="00000000" w:rsidDel="00000000" w:rsidP="00000000" w:rsidRDefault="00000000" w:rsidRPr="00000000">
      <w:pPr>
        <w:pBdr>
          <w:top w:space="0" w:sz="0" w:val="nil"/>
          <w:left w:space="0" w:sz="0" w:val="nil"/>
          <w:bottom w:space="0" w:sz="0" w:val="nil"/>
          <w:right w:space="0" w:sz="0" w:val="nil"/>
          <w:between w:space="0" w:sz="0" w:val="nil"/>
        </w:pBdr>
        <w:spacing w:before="300" w:lineRule="auto"/>
        <w:contextualSpacing w:val="0"/>
        <w:rPr>
          <w:rFonts w:ascii="Verdana" w:cs="Verdana" w:eastAsia="Verdana" w:hAnsi="Verdana"/>
          <w:b w:val="1"/>
          <w:sz w:val="20"/>
          <w:szCs w:val="20"/>
          <w:highlight w:val="white"/>
        </w:rPr>
      </w:pPr>
      <w:r w:rsidDel="00000000" w:rsidR="00000000" w:rsidRPr="00000000">
        <w:rPr>
          <w:rFonts w:ascii="Verdana" w:cs="Verdana" w:eastAsia="Verdana" w:hAnsi="Verdana"/>
          <w:b w:val="1"/>
          <w:sz w:val="16"/>
          <w:szCs w:val="16"/>
          <w:highlight w:val="white"/>
          <w:rtl w:val="0"/>
        </w:rPr>
        <w:t xml:space="preserve">12</w:t>
      </w:r>
      <w:r w:rsidDel="00000000" w:rsidR="00000000" w:rsidRPr="00000000">
        <w:rPr>
          <w:rFonts w:ascii="Verdana" w:cs="Verdana" w:eastAsia="Verdana" w:hAnsi="Verdana"/>
          <w:b w:val="1"/>
          <w:sz w:val="20"/>
          <w:szCs w:val="20"/>
          <w:highlight w:val="white"/>
          <w:rtl w:val="0"/>
        </w:rPr>
        <w:t xml:space="preserve"> For STOP/SLOW paddles (see </w:t>
      </w:r>
      <w:hyperlink r:id="rId9">
        <w:r w:rsidDel="00000000" w:rsidR="00000000" w:rsidRPr="00000000">
          <w:rPr>
            <w:rFonts w:ascii="Verdana" w:cs="Verdana" w:eastAsia="Verdana" w:hAnsi="Verdana"/>
            <w:b w:val="1"/>
            <w:color w:val="800080"/>
            <w:sz w:val="20"/>
            <w:szCs w:val="20"/>
            <w:highlight w:val="white"/>
            <w:u w:val="single"/>
            <w:rtl w:val="0"/>
          </w:rPr>
          <w:t xml:space="preserve">Section 6E.03</w:t>
        </w:r>
      </w:hyperlink>
      <w:r w:rsidDel="00000000" w:rsidR="00000000" w:rsidRPr="00000000">
        <w:rPr>
          <w:rFonts w:ascii="Verdana" w:cs="Verdana" w:eastAsia="Verdana" w:hAnsi="Verdana"/>
          <w:b w:val="1"/>
          <w:sz w:val="20"/>
          <w:szCs w:val="20"/>
          <w:highlight w:val="white"/>
          <w:rtl w:val="0"/>
        </w:rPr>
        <w:t xml:space="preserve">) used by flaggers and the STOP paddles (see </w:t>
      </w:r>
      <w:hyperlink r:id="rId10">
        <w:r w:rsidDel="00000000" w:rsidR="00000000" w:rsidRPr="00000000">
          <w:rPr>
            <w:rFonts w:ascii="Verdana" w:cs="Verdana" w:eastAsia="Verdana" w:hAnsi="Verdana"/>
            <w:b w:val="1"/>
            <w:color w:val="800080"/>
            <w:sz w:val="20"/>
            <w:szCs w:val="20"/>
            <w:highlight w:val="white"/>
            <w:u w:val="single"/>
            <w:rtl w:val="0"/>
          </w:rPr>
          <w:t xml:space="preserve">Section 7D.05</w:t>
        </w:r>
      </w:hyperlink>
      <w:r w:rsidDel="00000000" w:rsidR="00000000" w:rsidRPr="00000000">
        <w:rPr>
          <w:rFonts w:ascii="Verdana" w:cs="Verdana" w:eastAsia="Verdana" w:hAnsi="Verdana"/>
          <w:b w:val="1"/>
          <w:sz w:val="20"/>
          <w:szCs w:val="20"/>
          <w:highlight w:val="white"/>
          <w:rtl w:val="0"/>
        </w:rPr>
        <w:t xml:space="preserve">) used by adult crossing guards, individual LEDs or groups of LEDs may be used.</w:t>
      </w:r>
    </w:p>
    <w:p w:rsidR="00000000" w:rsidDel="00000000" w:rsidP="00000000" w:rsidRDefault="00000000" w:rsidRPr="00000000">
      <w:pPr>
        <w:pBdr>
          <w:top w:space="0" w:sz="0" w:val="nil"/>
          <w:left w:space="0" w:sz="0" w:val="nil"/>
          <w:bottom w:space="0" w:sz="0" w:val="nil"/>
          <w:right w:space="0" w:sz="0" w:val="nil"/>
          <w:between w:space="0" w:sz="0" w:val="nil"/>
        </w:pBdr>
        <w:spacing w:before="300" w:lineRule="auto"/>
        <w:contextualSpacing w:val="0"/>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Support:</w:t>
      </w:r>
    </w:p>
    <w:p w:rsidR="00000000" w:rsidDel="00000000" w:rsidP="00000000" w:rsidRDefault="00000000" w:rsidRPr="00000000">
      <w:pPr>
        <w:pBdr>
          <w:top w:space="0" w:sz="0" w:val="nil"/>
          <w:left w:space="0" w:sz="0" w:val="nil"/>
          <w:bottom w:space="0" w:sz="0" w:val="nil"/>
          <w:right w:space="0" w:sz="0" w:val="nil"/>
          <w:between w:space="0" w:sz="0" w:val="nil"/>
        </w:pBdr>
        <w:spacing w:before="300" w:lineRule="auto"/>
        <w:contextualSpacing w:val="0"/>
        <w:rPr>
          <w:rFonts w:ascii="Verdana" w:cs="Verdana" w:eastAsia="Verdana" w:hAnsi="Verdana"/>
          <w:b w:val="1"/>
          <w:sz w:val="20"/>
          <w:szCs w:val="20"/>
          <w:highlight w:val="white"/>
        </w:rPr>
      </w:pPr>
      <w:r w:rsidDel="00000000" w:rsidR="00000000" w:rsidRPr="00000000">
        <w:rPr>
          <w:rFonts w:ascii="Verdana" w:cs="Verdana" w:eastAsia="Verdana" w:hAnsi="Verdana"/>
          <w:b w:val="1"/>
          <w:sz w:val="16"/>
          <w:szCs w:val="16"/>
          <w:highlight w:val="white"/>
          <w:rtl w:val="0"/>
        </w:rPr>
        <w:t xml:space="preserve">13</w:t>
      </w:r>
      <w:r w:rsidDel="00000000" w:rsidR="00000000" w:rsidRPr="00000000">
        <w:rPr>
          <w:rFonts w:ascii="Verdana" w:cs="Verdana" w:eastAsia="Verdana" w:hAnsi="Verdana"/>
          <w:b w:val="1"/>
          <w:sz w:val="20"/>
          <w:szCs w:val="20"/>
          <w:highlight w:val="white"/>
          <w:rtl w:val="0"/>
        </w:rPr>
        <w:t xml:space="preserve"> Other methods of enhancing the conspicuity of standard signs are described in </w:t>
      </w:r>
      <w:hyperlink r:id="rId11">
        <w:r w:rsidDel="00000000" w:rsidR="00000000" w:rsidRPr="00000000">
          <w:rPr>
            <w:rFonts w:ascii="Verdana" w:cs="Verdana" w:eastAsia="Verdana" w:hAnsi="Verdana"/>
            <w:b w:val="1"/>
            <w:color w:val="800080"/>
            <w:sz w:val="20"/>
            <w:szCs w:val="20"/>
            <w:highlight w:val="white"/>
            <w:u w:val="single"/>
            <w:rtl w:val="0"/>
          </w:rPr>
          <w:t xml:space="preserve">Section 2A.15</w:t>
        </w:r>
      </w:hyperlink>
      <w:r w:rsidDel="00000000" w:rsidR="00000000" w:rsidRPr="00000000">
        <w:rPr>
          <w:rFonts w:ascii="Verdana" w:cs="Verdana" w:eastAsia="Verdana" w:hAnsi="Verdana"/>
          <w:b w:val="1"/>
          <w:sz w:val="20"/>
          <w:szCs w:val="20"/>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pacing w:before="300" w:lineRule="auto"/>
        <w:contextualSpacing w:val="0"/>
        <w:rPr>
          <w:rFonts w:ascii="Verdana" w:cs="Verdana" w:eastAsia="Verdana" w:hAnsi="Verdana"/>
          <w:b w:val="1"/>
          <w:sz w:val="20"/>
          <w:szCs w:val="20"/>
          <w:highlight w:val="white"/>
        </w:rPr>
      </w:pPr>
      <w:r w:rsidDel="00000000" w:rsidR="00000000" w:rsidRPr="00000000">
        <w:rPr>
          <w:rFonts w:ascii="Verdana" w:cs="Verdana" w:eastAsia="Verdana" w:hAnsi="Verdana"/>
          <w:b w:val="1"/>
          <w:sz w:val="16"/>
          <w:szCs w:val="16"/>
          <w:highlight w:val="white"/>
          <w:rtl w:val="0"/>
        </w:rPr>
        <w:t xml:space="preserve">14</w:t>
      </w:r>
      <w:r w:rsidDel="00000000" w:rsidR="00000000" w:rsidRPr="00000000">
        <w:rPr>
          <w:rFonts w:ascii="Verdana" w:cs="Verdana" w:eastAsia="Verdana" w:hAnsi="Verdana"/>
          <w:b w:val="1"/>
          <w:sz w:val="20"/>
          <w:szCs w:val="20"/>
          <w:highlight w:val="white"/>
          <w:rtl w:val="0"/>
        </w:rPr>
        <w:t xml:space="preserve"> Information regarding the use of retroreflective material on the sign support is contained in </w:t>
      </w:r>
      <w:hyperlink r:id="rId12">
        <w:r w:rsidDel="00000000" w:rsidR="00000000" w:rsidRPr="00000000">
          <w:rPr>
            <w:rFonts w:ascii="Verdana" w:cs="Verdana" w:eastAsia="Verdana" w:hAnsi="Verdana"/>
            <w:b w:val="1"/>
            <w:color w:val="800080"/>
            <w:sz w:val="20"/>
            <w:szCs w:val="20"/>
            <w:highlight w:val="white"/>
            <w:u w:val="single"/>
            <w:rtl w:val="0"/>
          </w:rPr>
          <w:t xml:space="preserve">Section 2A.21</w:t>
        </w:r>
      </w:hyperlink>
      <w:r w:rsidDel="00000000" w:rsidR="00000000" w:rsidRPr="00000000">
        <w:rPr>
          <w:rFonts w:ascii="Verdana" w:cs="Verdana" w:eastAsia="Verdana" w:hAnsi="Verdana"/>
          <w:b w:val="1"/>
          <w:sz w:val="20"/>
          <w:szCs w:val="20"/>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Verdana" w:cs="Verdana" w:eastAsia="Verdana" w:hAnsi="Verdana"/>
        <w:color w:val="000000"/>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Verdana" w:cs="Verdana" w:eastAsia="Verdana" w:hAnsi="Verdana"/>
        <w:color w:val="000000"/>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Verdana" w:cs="Verdana" w:eastAsia="Verdana" w:hAnsi="Verdana"/>
        <w:color w:val="000000"/>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Verdana" w:cs="Verdana" w:eastAsia="Verdana" w:hAnsi="Verdana"/>
        <w:color w:val="000000"/>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rFonts w:ascii="Verdana" w:cs="Verdana" w:eastAsia="Verdana" w:hAnsi="Verdana"/>
        <w:b w:val="1"/>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mutcd.fhwa.dot.gov/htm/2009/part2/part2a.htm#section2A15" TargetMode="External"/><Relationship Id="rId10" Type="http://schemas.openxmlformats.org/officeDocument/2006/relationships/hyperlink" Target="http://mutcd.fhwa.dot.gov/htm/2009/part7/part7d.htm#section7D05" TargetMode="External"/><Relationship Id="rId12" Type="http://schemas.openxmlformats.org/officeDocument/2006/relationships/hyperlink" Target="http://mutcd.fhwa.dot.gov/htm/2009/part2/part2a.htm#section2A21" TargetMode="External"/><Relationship Id="rId9" Type="http://schemas.openxmlformats.org/officeDocument/2006/relationships/hyperlink" Target="http://mutcd.fhwa.dot.gov/htm/2009/part6/part6e.htm#section6E03" TargetMode="External"/><Relationship Id="rId5" Type="http://schemas.openxmlformats.org/officeDocument/2006/relationships/hyperlink" Target="http://mutcd.fhwa.dot.gov/htm/2009/part2/part2a.htm#section2A08" TargetMode="External"/><Relationship Id="rId6" Type="http://schemas.openxmlformats.org/officeDocument/2006/relationships/hyperlink" Target="http://mutcd.fhwa.dot.gov/htm/2009/part2/part2a.htm#table2A01" TargetMode="External"/><Relationship Id="rId7" Type="http://schemas.openxmlformats.org/officeDocument/2006/relationships/hyperlink" Target="http://mutcd.fhwa.dot.gov/htm/2009/part2/part2a.htm#section2A07_para11" TargetMode="External"/><Relationship Id="rId8" Type="http://schemas.openxmlformats.org/officeDocument/2006/relationships/hyperlink" Target="http://mutcd.fhwa.dot.gov/htm/2009/part2/part2a.htm#section2A07_para12" TargetMode="External"/></Relationships>
</file>