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A3420" w14:textId="77777777" w:rsidR="009E5E05" w:rsidRPr="00FD40EB" w:rsidRDefault="008C2B30" w:rsidP="009E5E05">
      <w:pPr>
        <w:pStyle w:val="Title"/>
        <w:rPr>
          <w:rFonts w:cstheme="majorHAnsi"/>
          <w:sz w:val="28"/>
        </w:rPr>
      </w:pPr>
      <w:sdt>
        <w:sdtPr>
          <w:rPr>
            <w:rFonts w:cstheme="majorHAnsi"/>
            <w:sz w:val="28"/>
          </w:rPr>
          <w:alias w:val="Title"/>
          <w:tag w:val=""/>
          <w:id w:val="726351117"/>
          <w:placeholder>
            <w:docPart w:val="E8F9525882FCED46BC466F0F4A2031C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E5E05">
            <w:rPr>
              <w:rFonts w:cstheme="majorHAnsi"/>
              <w:sz w:val="28"/>
            </w:rPr>
            <w:t>The Three Ways: The Principles Underpinning DevOps</w:t>
          </w:r>
        </w:sdtContent>
      </w:sdt>
    </w:p>
    <w:p w14:paraId="1E4E5850" w14:textId="77777777" w:rsidR="009E5E05" w:rsidRPr="00FD40EB" w:rsidRDefault="009E5E05" w:rsidP="009E5E05">
      <w:pPr>
        <w:pStyle w:val="Title2"/>
        <w:rPr>
          <w:rFonts w:asciiTheme="majorHAnsi" w:hAnsiTheme="majorHAnsi" w:cstheme="majorHAnsi"/>
          <w:sz w:val="28"/>
        </w:rPr>
      </w:pPr>
      <w:r>
        <w:rPr>
          <w:rFonts w:asciiTheme="majorHAnsi" w:hAnsiTheme="majorHAnsi" w:cstheme="majorHAnsi"/>
          <w:sz w:val="28"/>
        </w:rPr>
        <w:t>M</w:t>
      </w:r>
      <w:r w:rsidRPr="00FD40EB">
        <w:rPr>
          <w:rFonts w:asciiTheme="majorHAnsi" w:hAnsiTheme="majorHAnsi" w:cstheme="majorHAnsi"/>
          <w:sz w:val="28"/>
        </w:rPr>
        <w:t>atthew R. Howard</w:t>
      </w:r>
    </w:p>
    <w:p w14:paraId="3E9EC0BE" w14:textId="77777777" w:rsidR="00486B6E" w:rsidRPr="009E5E05" w:rsidRDefault="009E5E05" w:rsidP="009E5E05">
      <w:pPr>
        <w:pStyle w:val="Title2"/>
        <w:rPr>
          <w:rFonts w:asciiTheme="majorHAnsi" w:hAnsiTheme="majorHAnsi" w:cstheme="majorHAnsi"/>
          <w:sz w:val="28"/>
        </w:rPr>
      </w:pPr>
      <w:r w:rsidRPr="00FD40EB">
        <w:rPr>
          <w:rFonts w:asciiTheme="majorHAnsi" w:hAnsiTheme="majorHAnsi" w:cstheme="majorHAnsi"/>
          <w:sz w:val="28"/>
        </w:rPr>
        <w:t>Bellevue University</w:t>
      </w:r>
      <w:r w:rsidR="006561FE">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6B54FE08" w14:textId="77777777" w:rsidR="00486B6E" w:rsidRDefault="006561FE">
          <w:pPr>
            <w:pStyle w:val="TOCHeading"/>
          </w:pPr>
          <w:r>
            <w:t>Table of Contents</w:t>
          </w:r>
        </w:p>
        <w:p w14:paraId="36A25DE9" w14:textId="77777777" w:rsidR="009E5E05" w:rsidRDefault="006561FE">
          <w:pPr>
            <w:pStyle w:val="TOC1"/>
            <w:tabs>
              <w:tab w:val="right" w:leader="dot" w:pos="10070"/>
            </w:tabs>
            <w:rPr>
              <w:noProof/>
              <w:kern w:val="0"/>
              <w:lang w:eastAsia="en-US"/>
            </w:rPr>
          </w:pPr>
          <w:r>
            <w:fldChar w:fldCharType="begin"/>
          </w:r>
          <w:r>
            <w:instrText xml:space="preserve"> TOC \o "1-3" \h \z \u </w:instrText>
          </w:r>
          <w:r>
            <w:fldChar w:fldCharType="separate"/>
          </w:r>
          <w:hyperlink w:anchor="_Toc519276268" w:history="1">
            <w:r w:rsidR="009E5E05" w:rsidRPr="00D27B7A">
              <w:rPr>
                <w:rStyle w:val="Hyperlink"/>
                <w:noProof/>
              </w:rPr>
              <w:t>The Three Ways: The Principles Underpinning DevOps</w:t>
            </w:r>
            <w:r w:rsidR="009E5E05">
              <w:rPr>
                <w:noProof/>
                <w:webHidden/>
              </w:rPr>
              <w:tab/>
            </w:r>
            <w:r w:rsidR="009E5E05">
              <w:rPr>
                <w:noProof/>
                <w:webHidden/>
              </w:rPr>
              <w:fldChar w:fldCharType="begin"/>
            </w:r>
            <w:r w:rsidR="009E5E05">
              <w:rPr>
                <w:noProof/>
                <w:webHidden/>
              </w:rPr>
              <w:instrText xml:space="preserve"> PAGEREF _Toc519276268 \h </w:instrText>
            </w:r>
            <w:r w:rsidR="009E5E05">
              <w:rPr>
                <w:noProof/>
                <w:webHidden/>
              </w:rPr>
            </w:r>
            <w:r w:rsidR="009E5E05">
              <w:rPr>
                <w:noProof/>
                <w:webHidden/>
              </w:rPr>
              <w:fldChar w:fldCharType="separate"/>
            </w:r>
            <w:r w:rsidR="009E5E05">
              <w:rPr>
                <w:noProof/>
                <w:webHidden/>
              </w:rPr>
              <w:t>3</w:t>
            </w:r>
            <w:r w:rsidR="009E5E05">
              <w:rPr>
                <w:noProof/>
                <w:webHidden/>
              </w:rPr>
              <w:fldChar w:fldCharType="end"/>
            </w:r>
          </w:hyperlink>
        </w:p>
        <w:p w14:paraId="0DF987CB" w14:textId="77777777" w:rsidR="009E5E05" w:rsidRDefault="009E5E05">
          <w:pPr>
            <w:pStyle w:val="TOC1"/>
            <w:tabs>
              <w:tab w:val="right" w:leader="dot" w:pos="10070"/>
            </w:tabs>
            <w:rPr>
              <w:noProof/>
              <w:kern w:val="0"/>
              <w:lang w:eastAsia="en-US"/>
            </w:rPr>
          </w:pPr>
          <w:hyperlink w:anchor="_Toc519276269" w:history="1">
            <w:r w:rsidRPr="00D27B7A">
              <w:rPr>
                <w:rStyle w:val="Hyperlink"/>
                <w:noProof/>
              </w:rPr>
              <w:t>Limit Work in Process (WIP)</w:t>
            </w:r>
            <w:r>
              <w:rPr>
                <w:noProof/>
                <w:webHidden/>
              </w:rPr>
              <w:tab/>
            </w:r>
            <w:r>
              <w:rPr>
                <w:noProof/>
                <w:webHidden/>
              </w:rPr>
              <w:fldChar w:fldCharType="begin"/>
            </w:r>
            <w:r>
              <w:rPr>
                <w:noProof/>
                <w:webHidden/>
              </w:rPr>
              <w:instrText xml:space="preserve"> PAGEREF _Toc519276269 \h </w:instrText>
            </w:r>
            <w:r>
              <w:rPr>
                <w:noProof/>
                <w:webHidden/>
              </w:rPr>
            </w:r>
            <w:r>
              <w:rPr>
                <w:noProof/>
                <w:webHidden/>
              </w:rPr>
              <w:fldChar w:fldCharType="separate"/>
            </w:r>
            <w:r>
              <w:rPr>
                <w:noProof/>
                <w:webHidden/>
              </w:rPr>
              <w:t>3</w:t>
            </w:r>
            <w:r>
              <w:rPr>
                <w:noProof/>
                <w:webHidden/>
              </w:rPr>
              <w:fldChar w:fldCharType="end"/>
            </w:r>
          </w:hyperlink>
        </w:p>
        <w:p w14:paraId="38DB298C" w14:textId="77777777" w:rsidR="009E5E05" w:rsidRDefault="008C2B30" w:rsidP="009E5E05">
          <w:pPr>
            <w:pStyle w:val="TOC2"/>
            <w:tabs>
              <w:tab w:val="right" w:leader="dot" w:pos="10070"/>
            </w:tabs>
            <w:ind w:firstLine="480"/>
            <w:rPr>
              <w:noProof/>
              <w:kern w:val="0"/>
              <w:lang w:eastAsia="en-US"/>
            </w:rPr>
          </w:pPr>
          <w:hyperlink w:anchor="_Toc519276270" w:history="1">
            <w:r w:rsidR="009E5E05" w:rsidRPr="00D27B7A">
              <w:rPr>
                <w:rStyle w:val="Hyperlink"/>
                <w:noProof/>
              </w:rPr>
              <w:t>Eliminate Hardships and Waste in the Value Stream</w:t>
            </w:r>
            <w:r w:rsidR="009E5E05">
              <w:rPr>
                <w:noProof/>
                <w:webHidden/>
              </w:rPr>
              <w:tab/>
            </w:r>
            <w:r w:rsidR="009E5E05">
              <w:rPr>
                <w:noProof/>
                <w:webHidden/>
              </w:rPr>
              <w:fldChar w:fldCharType="begin"/>
            </w:r>
            <w:r w:rsidR="009E5E05">
              <w:rPr>
                <w:noProof/>
                <w:webHidden/>
              </w:rPr>
              <w:instrText xml:space="preserve"> PAGEREF _Toc519276270 \h </w:instrText>
            </w:r>
            <w:r w:rsidR="009E5E05">
              <w:rPr>
                <w:noProof/>
                <w:webHidden/>
              </w:rPr>
            </w:r>
            <w:r w:rsidR="009E5E05">
              <w:rPr>
                <w:noProof/>
                <w:webHidden/>
              </w:rPr>
              <w:fldChar w:fldCharType="separate"/>
            </w:r>
            <w:r w:rsidR="009E5E05">
              <w:rPr>
                <w:noProof/>
                <w:webHidden/>
              </w:rPr>
              <w:t>3</w:t>
            </w:r>
            <w:r w:rsidR="009E5E05">
              <w:rPr>
                <w:noProof/>
                <w:webHidden/>
              </w:rPr>
              <w:fldChar w:fldCharType="end"/>
            </w:r>
          </w:hyperlink>
        </w:p>
        <w:p w14:paraId="4AD5BF8B" w14:textId="77777777" w:rsidR="009E5E05" w:rsidRDefault="009E5E05" w:rsidP="009E5E05">
          <w:pPr>
            <w:pStyle w:val="TOC3"/>
            <w:ind w:firstLine="240"/>
            <w:rPr>
              <w:noProof/>
              <w:kern w:val="0"/>
              <w:lang w:eastAsia="en-US"/>
            </w:rPr>
          </w:pPr>
          <w:hyperlink w:anchor="_Toc519276271" w:history="1">
            <w:r w:rsidRPr="00D27B7A">
              <w:rPr>
                <w:rStyle w:val="Hyperlink"/>
                <w:noProof/>
              </w:rPr>
              <w:t>Enable Optimizing for Downstream Work Centers</w:t>
            </w:r>
            <w:r>
              <w:rPr>
                <w:noProof/>
                <w:webHidden/>
              </w:rPr>
              <w:tab/>
            </w:r>
            <w:r>
              <w:rPr>
                <w:noProof/>
                <w:webHidden/>
              </w:rPr>
              <w:fldChar w:fldCharType="begin"/>
            </w:r>
            <w:r>
              <w:rPr>
                <w:noProof/>
                <w:webHidden/>
              </w:rPr>
              <w:instrText xml:space="preserve"> PAGEREF _Toc519276271 \h </w:instrText>
            </w:r>
            <w:r>
              <w:rPr>
                <w:noProof/>
                <w:webHidden/>
              </w:rPr>
            </w:r>
            <w:r>
              <w:rPr>
                <w:noProof/>
                <w:webHidden/>
              </w:rPr>
              <w:fldChar w:fldCharType="separate"/>
            </w:r>
            <w:r>
              <w:rPr>
                <w:noProof/>
                <w:webHidden/>
              </w:rPr>
              <w:t>3</w:t>
            </w:r>
            <w:r>
              <w:rPr>
                <w:noProof/>
                <w:webHidden/>
              </w:rPr>
              <w:fldChar w:fldCharType="end"/>
            </w:r>
          </w:hyperlink>
        </w:p>
        <w:p w14:paraId="05220F9E" w14:textId="77777777" w:rsidR="009E5E05" w:rsidRDefault="008C2B30">
          <w:pPr>
            <w:pStyle w:val="TOC1"/>
            <w:tabs>
              <w:tab w:val="right" w:leader="dot" w:pos="10070"/>
            </w:tabs>
            <w:rPr>
              <w:noProof/>
              <w:kern w:val="0"/>
              <w:lang w:eastAsia="en-US"/>
            </w:rPr>
          </w:pPr>
          <w:hyperlink w:anchor="_Toc519276272" w:history="1">
            <w:r w:rsidR="009E5E05" w:rsidRPr="00D27B7A">
              <w:rPr>
                <w:rStyle w:val="Hyperlink"/>
                <w:noProof/>
              </w:rPr>
              <w:t>Leaders Reinforce a Learning Culture</w:t>
            </w:r>
            <w:r w:rsidR="009E5E05">
              <w:rPr>
                <w:noProof/>
                <w:webHidden/>
              </w:rPr>
              <w:tab/>
            </w:r>
            <w:r w:rsidR="009E5E05">
              <w:rPr>
                <w:noProof/>
                <w:webHidden/>
              </w:rPr>
              <w:fldChar w:fldCharType="begin"/>
            </w:r>
            <w:r w:rsidR="009E5E05">
              <w:rPr>
                <w:noProof/>
                <w:webHidden/>
              </w:rPr>
              <w:instrText xml:space="preserve"> PAGEREF _Toc519276272 \h </w:instrText>
            </w:r>
            <w:r w:rsidR="009E5E05">
              <w:rPr>
                <w:noProof/>
                <w:webHidden/>
              </w:rPr>
            </w:r>
            <w:r w:rsidR="009E5E05">
              <w:rPr>
                <w:noProof/>
                <w:webHidden/>
              </w:rPr>
              <w:fldChar w:fldCharType="separate"/>
            </w:r>
            <w:r w:rsidR="009E5E05">
              <w:rPr>
                <w:noProof/>
                <w:webHidden/>
              </w:rPr>
              <w:t>4</w:t>
            </w:r>
            <w:r w:rsidR="009E5E05">
              <w:rPr>
                <w:noProof/>
                <w:webHidden/>
              </w:rPr>
              <w:fldChar w:fldCharType="end"/>
            </w:r>
          </w:hyperlink>
        </w:p>
        <w:p w14:paraId="06BDC4E4" w14:textId="77777777" w:rsidR="009E5E05" w:rsidRDefault="008C2B30">
          <w:pPr>
            <w:pStyle w:val="TOC1"/>
            <w:tabs>
              <w:tab w:val="right" w:leader="dot" w:pos="10070"/>
            </w:tabs>
            <w:rPr>
              <w:noProof/>
              <w:kern w:val="0"/>
              <w:lang w:eastAsia="en-US"/>
            </w:rPr>
          </w:pPr>
          <w:hyperlink w:anchor="_Toc519276273" w:history="1">
            <w:r w:rsidR="009E5E05" w:rsidRPr="00D27B7A">
              <w:rPr>
                <w:rStyle w:val="Hyperlink"/>
                <w:noProof/>
              </w:rPr>
              <w:t>References</w:t>
            </w:r>
            <w:r w:rsidR="009E5E05">
              <w:rPr>
                <w:noProof/>
                <w:webHidden/>
              </w:rPr>
              <w:tab/>
            </w:r>
            <w:r w:rsidR="009E5E05">
              <w:rPr>
                <w:noProof/>
                <w:webHidden/>
              </w:rPr>
              <w:fldChar w:fldCharType="begin"/>
            </w:r>
            <w:r w:rsidR="009E5E05">
              <w:rPr>
                <w:noProof/>
                <w:webHidden/>
              </w:rPr>
              <w:instrText xml:space="preserve"> PAGEREF _Toc519276273 \h </w:instrText>
            </w:r>
            <w:r w:rsidR="009E5E05">
              <w:rPr>
                <w:noProof/>
                <w:webHidden/>
              </w:rPr>
            </w:r>
            <w:r w:rsidR="009E5E05">
              <w:rPr>
                <w:noProof/>
                <w:webHidden/>
              </w:rPr>
              <w:fldChar w:fldCharType="separate"/>
            </w:r>
            <w:r w:rsidR="009E5E05">
              <w:rPr>
                <w:noProof/>
                <w:webHidden/>
              </w:rPr>
              <w:t>5</w:t>
            </w:r>
            <w:r w:rsidR="009E5E05">
              <w:rPr>
                <w:noProof/>
                <w:webHidden/>
              </w:rPr>
              <w:fldChar w:fldCharType="end"/>
            </w:r>
          </w:hyperlink>
        </w:p>
        <w:p w14:paraId="393723EA" w14:textId="77777777" w:rsidR="00486B6E" w:rsidRDefault="006561FE">
          <w:pPr>
            <w:ind w:firstLine="0"/>
          </w:pPr>
          <w:r>
            <w:rPr>
              <w:b/>
              <w:bCs/>
              <w:noProof/>
            </w:rPr>
            <w:fldChar w:fldCharType="end"/>
          </w:r>
        </w:p>
      </w:sdtContent>
    </w:sdt>
    <w:bookmarkStart w:id="0" w:name="_Toc519276268"/>
    <w:p w14:paraId="13698D9F" w14:textId="77777777" w:rsidR="00486B6E" w:rsidRPr="009E5E05" w:rsidRDefault="008C2B30">
      <w:pPr>
        <w:pStyle w:val="SectionTitle"/>
        <w:rPr>
          <w:b/>
        </w:rPr>
      </w:pPr>
      <w:sdt>
        <w:sdtPr>
          <w:rPr>
            <w:b/>
          </w:rPr>
          <w:alias w:val="Title"/>
          <w:tag w:val=""/>
          <w:id w:val="-1756435886"/>
          <w:placeholder>
            <w:docPart w:val="44EABC44EB0A4445B66426F365E4BF7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E5E05" w:rsidRPr="009E5E05">
            <w:rPr>
              <w:b/>
            </w:rPr>
            <w:t>The Three Ways: The Principles Underpinning DevOps</w:t>
          </w:r>
        </w:sdtContent>
      </w:sdt>
      <w:bookmarkEnd w:id="0"/>
    </w:p>
    <w:p w14:paraId="536AB66C" w14:textId="78FA5061" w:rsidR="00486B6E" w:rsidRDefault="00861D50">
      <w:r>
        <w:t xml:space="preserve">The Three Ways: The Principles Underpinning DevOps comes to us from the </w:t>
      </w:r>
      <w:r w:rsidR="006B1775">
        <w:t>Phoenix</w:t>
      </w:r>
      <w:r>
        <w:t xml:space="preserve"> Project and discusses and</w:t>
      </w:r>
      <w:r w:rsidR="00883E8A">
        <w:t xml:space="preserve"> the role they play in DevOps.  </w:t>
      </w:r>
      <w:r w:rsidR="009363EF">
        <w:t xml:space="preserve">From fast left-to-right flow of work, to constant feedback from all stages in the value stream, to creating a high-trust culture that supports a dynamic, disciplined, and scientific approach to experimentation and risk-taking and designing a system of work in order to multiply the effect of new knowledge to transform local discoveries into global improvements (Kim, Humble, </w:t>
      </w:r>
      <w:proofErr w:type="spellStart"/>
      <w:r w:rsidR="009363EF">
        <w:t>Debois</w:t>
      </w:r>
      <w:proofErr w:type="spellEnd"/>
      <w:r w:rsidR="009363EF">
        <w:t>, Willis, 2016).  The Three Ways shows how the value chain works best to maximize creativity and productiveness.</w:t>
      </w:r>
      <w:r w:rsidR="00C51140">
        <w:t xml:space="preserve">  Some positive outcomes of the Three Ways include:</w:t>
      </w:r>
    </w:p>
    <w:p w14:paraId="4BBC121F" w14:textId="49FD0DC9" w:rsidR="00C51140" w:rsidRPr="00C51140" w:rsidRDefault="00C51140" w:rsidP="00C51140">
      <w:pPr>
        <w:numPr>
          <w:ilvl w:val="0"/>
          <w:numId w:val="13"/>
        </w:numPr>
      </w:pPr>
      <w:r w:rsidRPr="00C51140">
        <w:t>Never passing a known de</w:t>
      </w:r>
      <w:r>
        <w:t>fect to downstream work centers</w:t>
      </w:r>
    </w:p>
    <w:p w14:paraId="090FFA58" w14:textId="465DAFB1" w:rsidR="00C51140" w:rsidRPr="00C51140" w:rsidRDefault="00C51140" w:rsidP="00C51140">
      <w:pPr>
        <w:numPr>
          <w:ilvl w:val="0"/>
          <w:numId w:val="13"/>
        </w:numPr>
      </w:pPr>
      <w:r w:rsidRPr="00C51140">
        <w:t>Never allowing local optimizati</w:t>
      </w:r>
      <w:r>
        <w:t>on to create global degradation</w:t>
      </w:r>
    </w:p>
    <w:p w14:paraId="4503B598" w14:textId="1132421B" w:rsidR="00C51140" w:rsidRPr="00C51140" w:rsidRDefault="00C51140" w:rsidP="00C51140">
      <w:pPr>
        <w:numPr>
          <w:ilvl w:val="0"/>
          <w:numId w:val="13"/>
        </w:numPr>
      </w:pPr>
      <w:r>
        <w:t>Always seeking to increase flow</w:t>
      </w:r>
    </w:p>
    <w:p w14:paraId="7FD40564" w14:textId="77777777" w:rsidR="00C51140" w:rsidRDefault="00C51140" w:rsidP="00C51140">
      <w:pPr>
        <w:numPr>
          <w:ilvl w:val="0"/>
          <w:numId w:val="13"/>
        </w:numPr>
      </w:pPr>
      <w:r w:rsidRPr="00C51140">
        <w:t>Always seeking to achieve profo</w:t>
      </w:r>
      <w:r>
        <w:t>und understanding of the system</w:t>
      </w:r>
    </w:p>
    <w:p w14:paraId="2D98C24A" w14:textId="03DFC00C" w:rsidR="00C51140" w:rsidRPr="00C51140" w:rsidRDefault="00C51140" w:rsidP="00C51140">
      <w:pPr>
        <w:numPr>
          <w:ilvl w:val="0"/>
          <w:numId w:val="13"/>
        </w:numPr>
      </w:pPr>
      <w:r w:rsidRPr="00C51140">
        <w:t>Understanding and responding to all customers, internal and external</w:t>
      </w:r>
    </w:p>
    <w:p w14:paraId="58626B3F" w14:textId="77777777" w:rsidR="00C51140" w:rsidRPr="00C51140" w:rsidRDefault="00C51140" w:rsidP="00C51140">
      <w:pPr>
        <w:numPr>
          <w:ilvl w:val="0"/>
          <w:numId w:val="13"/>
        </w:numPr>
      </w:pPr>
      <w:r w:rsidRPr="00C51140">
        <w:t>Shortening and amplifying all feedback loops</w:t>
      </w:r>
    </w:p>
    <w:p w14:paraId="36C75403" w14:textId="4DE409ED" w:rsidR="00C51140" w:rsidRPr="00C51140" w:rsidRDefault="00C51140" w:rsidP="00C51140">
      <w:pPr>
        <w:numPr>
          <w:ilvl w:val="0"/>
          <w:numId w:val="13"/>
        </w:numPr>
      </w:pPr>
      <w:r w:rsidRPr="00C51140">
        <w:t>Embedding knowledge where you need it</w:t>
      </w:r>
      <w:r w:rsidRPr="00C51140">
        <w:rPr>
          <w:rFonts w:ascii="PT Sans" w:eastAsia="Times New Roman" w:hAnsi="PT Sans" w:cs="Times New Roman"/>
          <w:color w:val="747474"/>
          <w:kern w:val="0"/>
          <w:sz w:val="21"/>
          <w:szCs w:val="21"/>
          <w:lang w:eastAsia="en-US"/>
        </w:rPr>
        <w:t xml:space="preserve"> </w:t>
      </w:r>
      <w:r w:rsidRPr="00C51140">
        <w:t>Allocating time for the improvement of daily work</w:t>
      </w:r>
    </w:p>
    <w:p w14:paraId="17EEC2C5" w14:textId="77777777" w:rsidR="00C51140" w:rsidRPr="00C51140" w:rsidRDefault="00C51140" w:rsidP="00C51140">
      <w:pPr>
        <w:numPr>
          <w:ilvl w:val="0"/>
          <w:numId w:val="13"/>
        </w:numPr>
      </w:pPr>
      <w:r w:rsidRPr="00C51140">
        <w:t>Creating rituals that reward the team for taking risks</w:t>
      </w:r>
    </w:p>
    <w:p w14:paraId="661DAB54" w14:textId="26163E51" w:rsidR="00C51140" w:rsidRPr="00C51140" w:rsidRDefault="00C51140" w:rsidP="00C51140">
      <w:pPr>
        <w:numPr>
          <w:ilvl w:val="0"/>
          <w:numId w:val="13"/>
        </w:numPr>
      </w:pPr>
      <w:r w:rsidRPr="00C51140">
        <w:t>Introducing faults into the system to increase resilience</w:t>
      </w:r>
    </w:p>
    <w:p w14:paraId="3FE526C6" w14:textId="77777777" w:rsidR="00486B6E" w:rsidRDefault="009E5E05" w:rsidP="009E5E05">
      <w:pPr>
        <w:pStyle w:val="Heading1"/>
      </w:pPr>
      <w:bookmarkStart w:id="1" w:name="_Toc519276269"/>
      <w:r>
        <w:t xml:space="preserve">Limit Work in </w:t>
      </w:r>
      <w:r w:rsidRPr="009E5E05">
        <w:t>Process</w:t>
      </w:r>
      <w:r>
        <w:t xml:space="preserve"> (WIP)</w:t>
      </w:r>
      <w:bookmarkEnd w:id="1"/>
    </w:p>
    <w:p w14:paraId="550D5617" w14:textId="4EF0694B" w:rsidR="00486B6E" w:rsidRDefault="00407461">
      <w:r>
        <w:t xml:space="preserve">Work in process (WIP) limits are self-imposed by teams and organizations in order to limit the total number of work items being done at any one time.  These are given as part of a Lean process and are most commonly used by team to prevent too many cards from being active at once.  They are given a number which tells the team exactly how many </w:t>
      </w:r>
      <w:r w:rsidR="00F80A95">
        <w:t xml:space="preserve">cards can be in process without exceeding the WIP limit.  The objective is to eliminate wasteful production as it does not add value to the customer, and instead approach the work with discipline, focus, and clarity which enables the team to manage capacity, encourages the practice of systems thinking, helps to identify opportunities for process improvement, </w:t>
      </w:r>
      <w:r w:rsidR="00F80A95">
        <w:lastRenderedPageBreak/>
        <w:t>and reduces the amount of slack in the system</w:t>
      </w:r>
      <w:r w:rsidR="005970E8">
        <w:t xml:space="preserve"> (Planview </w:t>
      </w:r>
      <w:proofErr w:type="spellStart"/>
      <w:r w:rsidR="005970E8">
        <w:t>LeanKit</w:t>
      </w:r>
      <w:proofErr w:type="spellEnd"/>
      <w:r w:rsidR="005970E8">
        <w:t>, 2018)</w:t>
      </w:r>
      <w:r w:rsidR="00F80A95">
        <w:t>.</w:t>
      </w:r>
      <w:r w:rsidR="005970E8">
        <w:t xml:space="preserve">  Some examples of waste in production are: </w:t>
      </w:r>
    </w:p>
    <w:p w14:paraId="07F1578A" w14:textId="77777777" w:rsidR="005970E8" w:rsidRPr="005970E8" w:rsidRDefault="005970E8" w:rsidP="005970E8">
      <w:pPr>
        <w:numPr>
          <w:ilvl w:val="0"/>
          <w:numId w:val="12"/>
        </w:numPr>
      </w:pPr>
      <w:r w:rsidRPr="005970E8">
        <w:t>Context switching</w:t>
      </w:r>
    </w:p>
    <w:p w14:paraId="50B7F87D" w14:textId="77777777" w:rsidR="005970E8" w:rsidRPr="005970E8" w:rsidRDefault="005970E8" w:rsidP="005970E8">
      <w:pPr>
        <w:numPr>
          <w:ilvl w:val="0"/>
          <w:numId w:val="12"/>
        </w:numPr>
      </w:pPr>
      <w:r w:rsidRPr="005970E8">
        <w:t>Excess meetings</w:t>
      </w:r>
    </w:p>
    <w:p w14:paraId="3CC4A575" w14:textId="77777777" w:rsidR="005970E8" w:rsidRPr="005970E8" w:rsidRDefault="005970E8" w:rsidP="005970E8">
      <w:pPr>
        <w:numPr>
          <w:ilvl w:val="0"/>
          <w:numId w:val="12"/>
        </w:numPr>
      </w:pPr>
      <w:r w:rsidRPr="005970E8">
        <w:t>Communication breakdowns</w:t>
      </w:r>
    </w:p>
    <w:p w14:paraId="5F0C4F5F" w14:textId="77777777" w:rsidR="005970E8" w:rsidRPr="005970E8" w:rsidRDefault="005970E8" w:rsidP="005970E8">
      <w:pPr>
        <w:numPr>
          <w:ilvl w:val="0"/>
          <w:numId w:val="12"/>
        </w:numPr>
      </w:pPr>
      <w:r w:rsidRPr="005970E8">
        <w:t>Rework</w:t>
      </w:r>
    </w:p>
    <w:p w14:paraId="764DCF7E" w14:textId="77777777" w:rsidR="005970E8" w:rsidRPr="005970E8" w:rsidRDefault="005970E8" w:rsidP="005970E8">
      <w:pPr>
        <w:numPr>
          <w:ilvl w:val="0"/>
          <w:numId w:val="12"/>
        </w:numPr>
      </w:pPr>
      <w:r w:rsidRPr="005970E8">
        <w:t>Duplicate effort</w:t>
      </w:r>
    </w:p>
    <w:p w14:paraId="221E08C4" w14:textId="77777777" w:rsidR="005970E8" w:rsidRPr="005970E8" w:rsidRDefault="005970E8" w:rsidP="005970E8">
      <w:pPr>
        <w:numPr>
          <w:ilvl w:val="0"/>
          <w:numId w:val="12"/>
        </w:numPr>
      </w:pPr>
      <w:r w:rsidRPr="005970E8">
        <w:t>Handoff delays</w:t>
      </w:r>
    </w:p>
    <w:p w14:paraId="75430192" w14:textId="77777777" w:rsidR="005970E8" w:rsidRPr="005970E8" w:rsidRDefault="005970E8" w:rsidP="005970E8">
      <w:pPr>
        <w:numPr>
          <w:ilvl w:val="0"/>
          <w:numId w:val="12"/>
        </w:numPr>
      </w:pPr>
      <w:r w:rsidRPr="005970E8">
        <w:t>Missed deadlines</w:t>
      </w:r>
    </w:p>
    <w:p w14:paraId="7BAC9A3A" w14:textId="77777777" w:rsidR="00486B6E" w:rsidRDefault="009E5E05" w:rsidP="009E5E05">
      <w:pPr>
        <w:pStyle w:val="Heading1"/>
      </w:pPr>
      <w:bookmarkStart w:id="2" w:name="_Toc519276270"/>
      <w:r>
        <w:t>Eliminate Hardships and Waste in the Value Stream</w:t>
      </w:r>
      <w:bookmarkEnd w:id="2"/>
    </w:p>
    <w:p w14:paraId="27A59629" w14:textId="00ACE949" w:rsidR="00486B6E" w:rsidRDefault="005970E8" w:rsidP="00F80A95">
      <w:pPr>
        <w:pStyle w:val="NoSpacing"/>
        <w:ind w:firstLine="720"/>
      </w:pPr>
      <w:r>
        <w:t xml:space="preserve">In the world of DevOps, the term waste has come to mean “anything that causes delay for the customer, such as </w:t>
      </w:r>
      <w:r w:rsidR="00450DA2">
        <w:t>activities</w:t>
      </w:r>
      <w:r>
        <w:t xml:space="preserve"> that can be bypassed without affecting the result.” </w:t>
      </w:r>
      <w:r>
        <w:t xml:space="preserve">(Kim, Humble, </w:t>
      </w:r>
      <w:proofErr w:type="spellStart"/>
      <w:r>
        <w:t>Debois</w:t>
      </w:r>
      <w:proofErr w:type="spellEnd"/>
      <w:r>
        <w:t>, Willis, 2016)</w:t>
      </w:r>
      <w:r>
        <w:t>.  This means</w:t>
      </w:r>
      <w:r w:rsidR="00450DA2">
        <w:t xml:space="preserve"> doing away with partially finished work due to change orders, or work sitting in the queue, making extra processes that doesn’t add value to the customer or adding extra features that aren’t needed by the customer or organization and that only add complexity to functionality to name just a couple.  The goal is to eliminate burdens in order to achieve the goal of fast flow and to improve upon that flow through the technology value stream (</w:t>
      </w:r>
      <w:r w:rsidR="00450DA2">
        <w:t xml:space="preserve">Kim, Humble, </w:t>
      </w:r>
      <w:proofErr w:type="spellStart"/>
      <w:r w:rsidR="00450DA2">
        <w:t>Debois</w:t>
      </w:r>
      <w:proofErr w:type="spellEnd"/>
      <w:r w:rsidR="00450DA2">
        <w:t>, Willis, 2016)</w:t>
      </w:r>
      <w:r w:rsidR="006B1775">
        <w:t>.</w:t>
      </w:r>
    </w:p>
    <w:p w14:paraId="167E7CBD" w14:textId="77777777" w:rsidR="009E5E05" w:rsidRPr="009E5E05" w:rsidRDefault="009E5E05" w:rsidP="009E5E05">
      <w:pPr>
        <w:pStyle w:val="Heading1"/>
        <w:rPr>
          <w:rStyle w:val="Heading3Char"/>
          <w:b/>
          <w:bCs/>
        </w:rPr>
      </w:pPr>
      <w:bookmarkStart w:id="3" w:name="_Toc519276271"/>
      <w:r w:rsidRPr="009E5E05">
        <w:rPr>
          <w:rStyle w:val="Heading3Char"/>
          <w:b/>
          <w:bCs/>
        </w:rPr>
        <w:t>Enable Optimizing for Downstream Work Centers</w:t>
      </w:r>
      <w:bookmarkEnd w:id="3"/>
    </w:p>
    <w:p w14:paraId="0D8409F9" w14:textId="03A43C8E" w:rsidR="00486B6E" w:rsidRDefault="00D159B5">
      <w:pPr>
        <w:rPr>
          <w:b/>
          <w:bCs/>
        </w:rPr>
      </w:pPr>
      <w:r>
        <w:t xml:space="preserve">In order to properly optimize </w:t>
      </w:r>
      <w:r w:rsidR="00F462AD">
        <w:t>work for the downstream work centers, it’s vital to have empathy and understand the problems your customer has so that you can better identify and issues that may prevent fast and smooth work flow.  This is done by designing for operations where operational non-functional requirements such as architecture, performance, stability, testability, configurability, and security are prioritized as much as user features (</w:t>
      </w:r>
      <w:r w:rsidR="00F462AD">
        <w:t xml:space="preserve">Kim, Humble, </w:t>
      </w:r>
      <w:proofErr w:type="spellStart"/>
      <w:r w:rsidR="00F462AD">
        <w:t>Debois</w:t>
      </w:r>
      <w:proofErr w:type="spellEnd"/>
      <w:r w:rsidR="00F462AD">
        <w:t>, Willis, 2016</w:t>
      </w:r>
      <w:r w:rsidR="00F462AD">
        <w:t>)</w:t>
      </w:r>
      <w:r w:rsidR="006B1775">
        <w:t>.</w:t>
      </w:r>
      <w:r w:rsidR="00F462AD">
        <w:t xml:space="preserve">  </w:t>
      </w:r>
      <w:r w:rsidR="00C51140">
        <w:t xml:space="preserve">This creates a culture of fast feedback and awareness to quality by seeing problems as they occur so they can be fixed early.  It also develops reliability, and safety in the technology value stream.  All together the team builds </w:t>
      </w:r>
      <w:r w:rsidR="00C51140">
        <w:lastRenderedPageBreak/>
        <w:t>new knowledge, striving for quality closer to the source, and optimizing for downstream work centers (</w:t>
      </w:r>
      <w:r w:rsidR="00C51140">
        <w:t xml:space="preserve">Kim, Humble, </w:t>
      </w:r>
      <w:proofErr w:type="spellStart"/>
      <w:r w:rsidR="00C51140">
        <w:t>Debois</w:t>
      </w:r>
      <w:proofErr w:type="spellEnd"/>
      <w:r w:rsidR="00C51140">
        <w:t>, Willis, 2016</w:t>
      </w:r>
      <w:r w:rsidR="00C51140">
        <w:t>)</w:t>
      </w:r>
      <w:r w:rsidR="006B1775">
        <w:t>.</w:t>
      </w:r>
      <w:r w:rsidR="00F462AD">
        <w:t xml:space="preserve">  </w:t>
      </w:r>
    </w:p>
    <w:p w14:paraId="1D7F487C" w14:textId="77777777" w:rsidR="009E5E05" w:rsidRPr="009E5E05" w:rsidRDefault="009E5E05" w:rsidP="009E5E05">
      <w:pPr>
        <w:pStyle w:val="Heading1"/>
        <w:rPr>
          <w:rStyle w:val="Heading4Char"/>
          <w:b/>
          <w:bCs/>
          <w:i w:val="0"/>
          <w:iCs w:val="0"/>
        </w:rPr>
      </w:pPr>
      <w:r w:rsidRPr="009E5E05">
        <w:rPr>
          <w:rStyle w:val="Heading4Char"/>
          <w:b/>
          <w:bCs/>
          <w:i w:val="0"/>
          <w:iCs w:val="0"/>
        </w:rPr>
        <w:t>Institutionalize the Improvement of Daily Work</w:t>
      </w:r>
    </w:p>
    <w:p w14:paraId="370C8B46" w14:textId="1D5AA69E" w:rsidR="00486B6E" w:rsidRDefault="00826D1B">
      <w:pPr>
        <w:rPr>
          <w:b/>
          <w:bCs/>
        </w:rPr>
      </w:pPr>
      <w:r>
        <w:t>When teams refuse to or aren’t able to improve</w:t>
      </w:r>
      <w:r w:rsidR="006B1775">
        <w:t xml:space="preserve"> their operational processes, they’re process will eventually grow worse and production will suffer even more </w:t>
      </w:r>
      <w:r w:rsidR="006B1775">
        <w:t xml:space="preserve">(Kim, Humble, </w:t>
      </w:r>
      <w:proofErr w:type="spellStart"/>
      <w:r w:rsidR="006B1775">
        <w:t>Debois</w:t>
      </w:r>
      <w:proofErr w:type="spellEnd"/>
      <w:r w:rsidR="006B1775">
        <w:t>, Willis, 2016)</w:t>
      </w:r>
      <w:r w:rsidR="001E1B3B">
        <w:t>.</w:t>
      </w:r>
      <w:r w:rsidR="006B1775">
        <w:t xml:space="preserve"> </w:t>
      </w:r>
      <w:r w:rsidR="006B1775">
        <w:t xml:space="preserve"> </w:t>
      </w:r>
      <w:r w:rsidR="006B1775">
        <w:t xml:space="preserve">If daily work isn’t improved in the technology value stream, then eventually, teams will only perform workarounds to make it through the day.  To improve daily work, continual improvement intervals are scheduled to allow problematic areas of code to be fixed, as well as any defects.  This enable continual improvement and problems are fixed </w:t>
      </w:r>
      <w:r w:rsidR="001E1B3B">
        <w:t>in respective control area as part of daily work. (</w:t>
      </w:r>
      <w:r w:rsidR="001E1B3B">
        <w:t xml:space="preserve">Kim, Humble, </w:t>
      </w:r>
      <w:proofErr w:type="spellStart"/>
      <w:r w:rsidR="001E1B3B">
        <w:t>Debois</w:t>
      </w:r>
      <w:proofErr w:type="spellEnd"/>
      <w:r w:rsidR="001E1B3B">
        <w:t>, Willis, 2016)</w:t>
      </w:r>
      <w:r w:rsidR="001E1B3B">
        <w:t xml:space="preserve"> </w:t>
      </w:r>
    </w:p>
    <w:p w14:paraId="7747C82E" w14:textId="77777777" w:rsidR="009E5E05" w:rsidRPr="009E5E05" w:rsidRDefault="009E5E05" w:rsidP="009E5E05">
      <w:pPr>
        <w:pStyle w:val="Heading1"/>
        <w:rPr>
          <w:rStyle w:val="Heading5Char"/>
          <w:i w:val="0"/>
          <w:iCs w:val="0"/>
        </w:rPr>
      </w:pPr>
      <w:r w:rsidRPr="009E5E05">
        <w:rPr>
          <w:rStyle w:val="Heading5Char"/>
          <w:i w:val="0"/>
          <w:iCs w:val="0"/>
        </w:rPr>
        <w:t>Transform Local Discoveries into Global Improvements</w:t>
      </w:r>
    </w:p>
    <w:p w14:paraId="17D77F0E" w14:textId="4B536849" w:rsidR="00486B6E" w:rsidRDefault="001E1B3B">
      <w:pPr>
        <w:rPr>
          <w:noProof/>
        </w:rPr>
      </w:pPr>
      <w:r>
        <w:rPr>
          <w:noProof/>
        </w:rPr>
        <w:t>Making new processes, best practices, and expertise known to the team or organization is paramount to advance the quality of production in the technology value stream coming from the organization (</w:t>
      </w:r>
      <w:r>
        <w:t xml:space="preserve">Kim, Humble, </w:t>
      </w:r>
      <w:proofErr w:type="spellStart"/>
      <w:r>
        <w:t>Debois</w:t>
      </w:r>
      <w:proofErr w:type="spellEnd"/>
      <w:r>
        <w:t>, Willis, 2016)</w:t>
      </w:r>
      <w:r>
        <w:rPr>
          <w:noProof/>
        </w:rPr>
        <w:t xml:space="preserve">.  </w:t>
      </w:r>
      <w:r w:rsidR="003504A3">
        <w:rPr>
          <w:noProof/>
        </w:rPr>
        <w:t xml:space="preserve">Doing this builds continuity in the organization.  </w:t>
      </w:r>
      <w:r>
        <w:rPr>
          <w:noProof/>
        </w:rPr>
        <w:t xml:space="preserve">This </w:t>
      </w:r>
      <w:r w:rsidR="003504A3">
        <w:rPr>
          <w:noProof/>
        </w:rPr>
        <w:t xml:space="preserve">mean </w:t>
      </w:r>
      <w:r>
        <w:rPr>
          <w:noProof/>
        </w:rPr>
        <w:t xml:space="preserve">that when anyone else does simialr work, they do with the  </w:t>
      </w:r>
      <w:r w:rsidR="003504A3">
        <w:rPr>
          <w:noProof/>
        </w:rPr>
        <w:t>same knowledge as anyone else in the organziation who’s done simialr work (</w:t>
      </w:r>
      <w:r w:rsidR="003504A3">
        <w:t xml:space="preserve">Kim, Humble, </w:t>
      </w:r>
      <w:proofErr w:type="spellStart"/>
      <w:r w:rsidR="003504A3">
        <w:t>Debois</w:t>
      </w:r>
      <w:proofErr w:type="spellEnd"/>
      <w:r w:rsidR="003504A3">
        <w:t>, Willis, 2016)</w:t>
      </w:r>
      <w:r w:rsidR="003504A3">
        <w:rPr>
          <w:noProof/>
        </w:rPr>
        <w:t>.</w:t>
      </w:r>
    </w:p>
    <w:p w14:paraId="4131F6C1" w14:textId="77777777" w:rsidR="009E5E05" w:rsidRDefault="009E5E05" w:rsidP="009E5E05">
      <w:pPr>
        <w:pStyle w:val="Heading1"/>
      </w:pPr>
      <w:bookmarkStart w:id="4" w:name="_Toc519276272"/>
      <w:r>
        <w:t>Leaders Reinforce a Learning Culture</w:t>
      </w:r>
      <w:bookmarkEnd w:id="4"/>
    </w:p>
    <w:p w14:paraId="215EB736" w14:textId="7EB91040" w:rsidR="003504A3" w:rsidRDefault="003504A3" w:rsidP="003504A3">
      <w:r>
        <w:t xml:space="preserve">As Andrew Shafer once said: “You are either building a learning organization…or you will be losing to someone who is.”  Leaders must encourage the value of learning and problem-solving.  This will allow them to </w:t>
      </w:r>
      <w:r w:rsidR="000229F1">
        <w:t xml:space="preserve">create situations so their team can see the value and importance in their daily work </w:t>
      </w:r>
      <w:r w:rsidR="000229F1">
        <w:rPr>
          <w:noProof/>
        </w:rPr>
        <w:t>(</w:t>
      </w:r>
      <w:r w:rsidR="000229F1">
        <w:t xml:space="preserve">Kim, Humble, </w:t>
      </w:r>
      <w:proofErr w:type="spellStart"/>
      <w:r w:rsidR="000229F1">
        <w:t>Debois</w:t>
      </w:r>
      <w:proofErr w:type="spellEnd"/>
      <w:r w:rsidR="000229F1">
        <w:t>, Willis, 2016)</w:t>
      </w:r>
      <w:r w:rsidR="000229F1">
        <w:rPr>
          <w:noProof/>
        </w:rPr>
        <w:t>.</w:t>
      </w:r>
      <w:r w:rsidR="000229F1">
        <w:t xml:space="preserve">  Doing this requires a mutually interdependent relationship between the worker and the leader.  This </w:t>
      </w:r>
      <w:r w:rsidR="00733105">
        <w:t xml:space="preserve">will help to create short term goals to reduce lead time in at the work center level </w:t>
      </w:r>
      <w:r w:rsidR="00733105">
        <w:rPr>
          <w:noProof/>
        </w:rPr>
        <w:t>(</w:t>
      </w:r>
      <w:r w:rsidR="00733105">
        <w:t xml:space="preserve">Kim, Humble, </w:t>
      </w:r>
      <w:proofErr w:type="spellStart"/>
      <w:r w:rsidR="00733105">
        <w:t>Debois</w:t>
      </w:r>
      <w:proofErr w:type="spellEnd"/>
      <w:r w:rsidR="00733105">
        <w:t>, Willis, 2016)</w:t>
      </w:r>
      <w:r w:rsidR="00733105">
        <w:rPr>
          <w:noProof/>
        </w:rPr>
        <w:t>.</w:t>
      </w:r>
      <w:r w:rsidR="00733105">
        <w:t xml:space="preserve">  </w:t>
      </w:r>
    </w:p>
    <w:bookmarkStart w:id="5" w:name="_Toc519276273" w:displacedByCustomXml="next"/>
    <w:sdt>
      <w:sdtPr>
        <w:rPr>
          <w:rFonts w:asciiTheme="minorHAnsi" w:eastAsiaTheme="minorEastAsia" w:hAnsiTheme="minorHAnsi" w:cstheme="minorBidi"/>
        </w:rPr>
        <w:id w:val="-573587230"/>
        <w:bibliography/>
      </w:sdtPr>
      <w:sdtEndPr/>
      <w:sdtContent>
        <w:p w14:paraId="4ABEAA71" w14:textId="77777777" w:rsidR="00486B6E" w:rsidRDefault="006561FE">
          <w:pPr>
            <w:pStyle w:val="SectionTitle"/>
          </w:pPr>
          <w:r>
            <w:t>References</w:t>
          </w:r>
          <w:bookmarkEnd w:id="5"/>
        </w:p>
        <w:p w14:paraId="3A3FDD41" w14:textId="47F980B0" w:rsidR="00F80A95" w:rsidRDefault="00F80A95" w:rsidP="00826D1B">
          <w:pPr>
            <w:spacing w:line="276" w:lineRule="auto"/>
            <w:ind w:firstLine="0"/>
            <w:rPr>
              <w:shd w:val="clear" w:color="auto" w:fill="FFFFFF"/>
              <w:lang w:eastAsia="en-US"/>
            </w:rPr>
          </w:pPr>
          <w:r w:rsidRPr="00F80A95">
            <w:rPr>
              <w:shd w:val="clear" w:color="auto" w:fill="FFFFFF"/>
              <w:lang w:eastAsia="en-US"/>
            </w:rPr>
            <w:t xml:space="preserve">Planview </w:t>
          </w:r>
          <w:proofErr w:type="spellStart"/>
          <w:r w:rsidRPr="00F80A95">
            <w:rPr>
              <w:shd w:val="clear" w:color="auto" w:fill="FFFFFF"/>
              <w:lang w:eastAsia="en-US"/>
            </w:rPr>
            <w:t>LeanKit</w:t>
          </w:r>
          <w:proofErr w:type="spellEnd"/>
          <w:r w:rsidRPr="00F80A95">
            <w:rPr>
              <w:shd w:val="clear" w:color="auto" w:fill="FFFFFF"/>
              <w:lang w:eastAsia="en-US"/>
            </w:rPr>
            <w:t xml:space="preserve"> (Ed.). (n.d.). 4 Benefits of WIP Limits. Retrieved July 15, 2018, from </w:t>
          </w:r>
          <w:hyperlink r:id="rId8" w:history="1">
            <w:r w:rsidRPr="00E235A1">
              <w:rPr>
                <w:rStyle w:val="Hyperlink"/>
                <w:rFonts w:ascii="Times New Roman" w:eastAsia="Times New Roman" w:hAnsi="Times New Roman" w:cs="Times New Roman"/>
                <w:kern w:val="0"/>
                <w:shd w:val="clear" w:color="auto" w:fill="FFFFFF"/>
                <w:lang w:eastAsia="en-US"/>
              </w:rPr>
              <w:t>https://leankit</w:t>
            </w:r>
            <w:r w:rsidRPr="00E235A1">
              <w:rPr>
                <w:rStyle w:val="Hyperlink"/>
                <w:rFonts w:ascii="Times New Roman" w:eastAsia="Times New Roman" w:hAnsi="Times New Roman" w:cs="Times New Roman"/>
                <w:kern w:val="0"/>
                <w:shd w:val="clear" w:color="auto" w:fill="FFFFFF"/>
                <w:lang w:eastAsia="en-US"/>
              </w:rPr>
              <w:t>.</w:t>
            </w:r>
            <w:r w:rsidRPr="00E235A1">
              <w:rPr>
                <w:rStyle w:val="Hyperlink"/>
                <w:rFonts w:ascii="Times New Roman" w:eastAsia="Times New Roman" w:hAnsi="Times New Roman" w:cs="Times New Roman"/>
                <w:kern w:val="0"/>
                <w:shd w:val="clear" w:color="auto" w:fill="FFFFFF"/>
                <w:lang w:eastAsia="en-US"/>
              </w:rPr>
              <w:t>com/learn/kanban/benefits-of-wip-limi</w:t>
            </w:r>
            <w:r w:rsidRPr="00E235A1">
              <w:rPr>
                <w:rStyle w:val="Hyperlink"/>
                <w:rFonts w:ascii="Times New Roman" w:eastAsia="Times New Roman" w:hAnsi="Times New Roman" w:cs="Times New Roman"/>
                <w:kern w:val="0"/>
                <w:shd w:val="clear" w:color="auto" w:fill="FFFFFF"/>
                <w:lang w:eastAsia="en-US"/>
              </w:rPr>
              <w:t>t</w:t>
            </w:r>
            <w:r w:rsidRPr="00E235A1">
              <w:rPr>
                <w:rStyle w:val="Hyperlink"/>
                <w:rFonts w:ascii="Times New Roman" w:eastAsia="Times New Roman" w:hAnsi="Times New Roman" w:cs="Times New Roman"/>
                <w:kern w:val="0"/>
                <w:shd w:val="clear" w:color="auto" w:fill="FFFFFF"/>
                <w:lang w:eastAsia="en-US"/>
              </w:rPr>
              <w:t>s/</w:t>
            </w:r>
          </w:hyperlink>
          <w:r>
            <w:rPr>
              <w:shd w:val="clear" w:color="auto" w:fill="FFFFFF"/>
              <w:lang w:eastAsia="en-US"/>
            </w:rPr>
            <w:t xml:space="preserve"> </w:t>
          </w:r>
        </w:p>
        <w:p w14:paraId="49CAB97A" w14:textId="77777777" w:rsidR="00F80A95" w:rsidRDefault="00F80A95" w:rsidP="00826D1B">
          <w:pPr>
            <w:spacing w:line="276" w:lineRule="auto"/>
            <w:ind w:firstLine="0"/>
            <w:rPr>
              <w:shd w:val="clear" w:color="auto" w:fill="FFFFFF"/>
              <w:lang w:eastAsia="en-US"/>
            </w:rPr>
          </w:pPr>
        </w:p>
        <w:p w14:paraId="265ED8C4" w14:textId="77777777" w:rsidR="00F80A95" w:rsidRPr="00F80A95" w:rsidRDefault="00F80A95" w:rsidP="00826D1B">
          <w:pPr>
            <w:spacing w:line="276" w:lineRule="auto"/>
            <w:ind w:firstLine="0"/>
            <w:rPr>
              <w:lang w:eastAsia="en-US"/>
            </w:rPr>
          </w:pPr>
          <w:r w:rsidRPr="00F80A95">
            <w:rPr>
              <w:lang w:eastAsia="en-US"/>
            </w:rPr>
            <w:t xml:space="preserve">Kim, G., </w:t>
          </w:r>
          <w:proofErr w:type="spellStart"/>
          <w:r w:rsidRPr="00F80A95">
            <w:rPr>
              <w:lang w:eastAsia="en-US"/>
            </w:rPr>
            <w:t>Debois</w:t>
          </w:r>
          <w:proofErr w:type="spellEnd"/>
          <w:r w:rsidRPr="00F80A95">
            <w:rPr>
              <w:lang w:eastAsia="en-US"/>
            </w:rPr>
            <w:t xml:space="preserve">, P., Willis, J., Humble, J., &amp; </w:t>
          </w:r>
          <w:proofErr w:type="spellStart"/>
          <w:r w:rsidRPr="00F80A95">
            <w:rPr>
              <w:lang w:eastAsia="en-US"/>
            </w:rPr>
            <w:t>Allspaw</w:t>
          </w:r>
          <w:proofErr w:type="spellEnd"/>
          <w:r w:rsidRPr="00F80A95">
            <w:rPr>
              <w:lang w:eastAsia="en-US"/>
            </w:rPr>
            <w:t>, J. (2017). </w:t>
          </w:r>
          <w:r w:rsidRPr="00F80A95">
            <w:rPr>
              <w:i/>
              <w:iCs/>
              <w:lang w:eastAsia="en-US"/>
            </w:rPr>
            <w:t>The DevOps handbook: How to Create World-Class Agility, Reliability, and Security in Technology Organizations</w:t>
          </w:r>
          <w:r w:rsidRPr="00F80A95">
            <w:rPr>
              <w:lang w:eastAsia="en-US"/>
            </w:rPr>
            <w:t>. Portland, OR: IT Revolution Press, LLC.</w:t>
          </w:r>
        </w:p>
        <w:p w14:paraId="4429E4CD" w14:textId="163B766D" w:rsidR="00826D1B" w:rsidRDefault="008C2B30" w:rsidP="00826D1B">
          <w:pPr>
            <w:pStyle w:val="Bibliography"/>
            <w:spacing w:line="276" w:lineRule="auto"/>
            <w:ind w:left="0" w:firstLine="0"/>
          </w:pPr>
        </w:p>
      </w:sdtContent>
    </w:sdt>
    <w:p w14:paraId="18B3D008" w14:textId="5B25B28B" w:rsidR="00826D1B" w:rsidRPr="00826D1B" w:rsidRDefault="00826D1B" w:rsidP="00826D1B">
      <w:pPr>
        <w:pStyle w:val="Bibliography"/>
        <w:spacing w:line="276" w:lineRule="auto"/>
        <w:ind w:left="0" w:firstLine="0"/>
      </w:pPr>
      <w:r w:rsidRPr="00826D1B">
        <w:t>Pi</w:t>
      </w:r>
      <w:r w:rsidR="00733105">
        <w:t>n</w:t>
      </w:r>
      <w:r w:rsidRPr="00826D1B">
        <w:t xml:space="preserve">k Elephant. (2017, July 31). The Three Ways Explained | DevOps Principles and Practices. Retrieved July 15, 2018, from </w:t>
      </w:r>
      <w:hyperlink r:id="rId9" w:history="1">
        <w:r w:rsidRPr="00E235A1">
          <w:rPr>
            <w:rStyle w:val="Hyperlink"/>
          </w:rPr>
          <w:t>https://www.pinkelephantasia.com/three-ways-devops/</w:t>
        </w:r>
      </w:hyperlink>
      <w:r>
        <w:t xml:space="preserve"> </w:t>
      </w:r>
    </w:p>
    <w:p w14:paraId="27CC96B0" w14:textId="250DC8C1" w:rsidR="00486B6E" w:rsidRDefault="00486B6E" w:rsidP="00F80A95">
      <w:pPr>
        <w:pStyle w:val="Bibliography"/>
      </w:pPr>
      <w:bookmarkStart w:id="6" w:name="_GoBack"/>
      <w:bookmarkEnd w:id="6"/>
    </w:p>
    <w:sectPr w:rsidR="00486B6E" w:rsidSect="005970E8">
      <w:headerReference w:type="first" r:id="rId10"/>
      <w:footnotePr>
        <w:pos w:val="beneathText"/>
      </w:footnotePr>
      <w:pgSz w:w="12240" w:h="15840" w:code="1"/>
      <w:pgMar w:top="1152" w:right="1080" w:bottom="1152" w:left="1080" w:header="230" w:footer="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7CF03" w14:textId="77777777" w:rsidR="008C2B30" w:rsidRDefault="008C2B30">
      <w:pPr>
        <w:spacing w:line="240" w:lineRule="auto"/>
      </w:pPr>
      <w:r>
        <w:separator/>
      </w:r>
    </w:p>
  </w:endnote>
  <w:endnote w:type="continuationSeparator" w:id="0">
    <w:p w14:paraId="3ECCFB74" w14:textId="77777777" w:rsidR="008C2B30" w:rsidRDefault="008C2B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PT Sans">
    <w:panose1 w:val="020B0503020203020204"/>
    <w:charset w:val="4D"/>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1F009" w14:textId="77777777" w:rsidR="008C2B30" w:rsidRDefault="008C2B30">
      <w:pPr>
        <w:spacing w:line="240" w:lineRule="auto"/>
      </w:pPr>
      <w:r>
        <w:separator/>
      </w:r>
    </w:p>
  </w:footnote>
  <w:footnote w:type="continuationSeparator" w:id="0">
    <w:p w14:paraId="3E92051B" w14:textId="77777777" w:rsidR="008C2B30" w:rsidRDefault="008C2B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3D90D" w14:textId="77777777" w:rsidR="00486B6E" w:rsidRDefault="006561FE">
    <w:pPr>
      <w:pStyle w:val="Header"/>
      <w:rPr>
        <w:rStyle w:val="Strong"/>
      </w:rPr>
    </w:pP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8D72C84"/>
    <w:multiLevelType w:val="multilevel"/>
    <w:tmpl w:val="EA2A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61EAB"/>
    <w:multiLevelType w:val="multilevel"/>
    <w:tmpl w:val="5CCA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72235"/>
    <w:multiLevelType w:val="multilevel"/>
    <w:tmpl w:val="E358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E5EB3"/>
    <w:multiLevelType w:val="multilevel"/>
    <w:tmpl w:val="6E3E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A757AC"/>
    <w:multiLevelType w:val="multilevel"/>
    <w:tmpl w:val="62CA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D3FD8"/>
    <w:multiLevelType w:val="multilevel"/>
    <w:tmpl w:val="E184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D04C7"/>
    <w:multiLevelType w:val="multilevel"/>
    <w:tmpl w:val="FA96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0"/>
  </w:num>
  <w:num w:numId="14">
    <w:abstractNumId w:val="16"/>
  </w:num>
  <w:num w:numId="15">
    <w:abstractNumId w:val="14"/>
  </w:num>
  <w:num w:numId="16">
    <w:abstractNumId w:val="11"/>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05"/>
    <w:rsid w:val="000229F1"/>
    <w:rsid w:val="001E1B3B"/>
    <w:rsid w:val="003504A3"/>
    <w:rsid w:val="00407461"/>
    <w:rsid w:val="00450DA2"/>
    <w:rsid w:val="00486B6E"/>
    <w:rsid w:val="005970E8"/>
    <w:rsid w:val="006561FE"/>
    <w:rsid w:val="006B1775"/>
    <w:rsid w:val="00733105"/>
    <w:rsid w:val="00826D1B"/>
    <w:rsid w:val="00861D50"/>
    <w:rsid w:val="00883E8A"/>
    <w:rsid w:val="008C2B30"/>
    <w:rsid w:val="009363EF"/>
    <w:rsid w:val="009E5E05"/>
    <w:rsid w:val="00BE499C"/>
    <w:rsid w:val="00C51140"/>
    <w:rsid w:val="00D159B5"/>
    <w:rsid w:val="00EA7E2A"/>
    <w:rsid w:val="00F462AD"/>
    <w:rsid w:val="00F80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50C73"/>
  <w15:chartTrackingRefBased/>
  <w15:docId w15:val="{487906E3-24AD-3C45-A9BE-E75302F1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rsid w:val="009E5E05"/>
    <w:pPr>
      <w:tabs>
        <w:tab w:val="right" w:leader="dot" w:pos="10070"/>
      </w:tabs>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F80A95"/>
    <w:rPr>
      <w:color w:val="605E5C"/>
      <w:shd w:val="clear" w:color="auto" w:fill="E1DFDD"/>
    </w:rPr>
  </w:style>
  <w:style w:type="character" w:styleId="FollowedHyperlink">
    <w:name w:val="FollowedHyperlink"/>
    <w:basedOn w:val="DefaultParagraphFont"/>
    <w:uiPriority w:val="99"/>
    <w:semiHidden/>
    <w:unhideWhenUsed/>
    <w:rsid w:val="00F80A95"/>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376514">
      <w:bodyDiv w:val="1"/>
      <w:marLeft w:val="0"/>
      <w:marRight w:val="0"/>
      <w:marTop w:val="0"/>
      <w:marBottom w:val="0"/>
      <w:divBdr>
        <w:top w:val="none" w:sz="0" w:space="0" w:color="auto"/>
        <w:left w:val="none" w:sz="0" w:space="0" w:color="auto"/>
        <w:bottom w:val="none" w:sz="0" w:space="0" w:color="auto"/>
        <w:right w:val="none" w:sz="0" w:space="0" w:color="auto"/>
      </w:divBdr>
    </w:div>
    <w:div w:id="23902274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336121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685103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4924213">
      <w:bodyDiv w:val="1"/>
      <w:marLeft w:val="0"/>
      <w:marRight w:val="0"/>
      <w:marTop w:val="0"/>
      <w:marBottom w:val="0"/>
      <w:divBdr>
        <w:top w:val="none" w:sz="0" w:space="0" w:color="auto"/>
        <w:left w:val="none" w:sz="0" w:space="0" w:color="auto"/>
        <w:bottom w:val="none" w:sz="0" w:space="0" w:color="auto"/>
        <w:right w:val="none" w:sz="0" w:space="0" w:color="auto"/>
      </w:divBdr>
    </w:div>
    <w:div w:id="64292823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9694699">
      <w:bodyDiv w:val="1"/>
      <w:marLeft w:val="0"/>
      <w:marRight w:val="0"/>
      <w:marTop w:val="0"/>
      <w:marBottom w:val="0"/>
      <w:divBdr>
        <w:top w:val="none" w:sz="0" w:space="0" w:color="auto"/>
        <w:left w:val="none" w:sz="0" w:space="0" w:color="auto"/>
        <w:bottom w:val="none" w:sz="0" w:space="0" w:color="auto"/>
        <w:right w:val="none" w:sz="0" w:space="0" w:color="auto"/>
      </w:divBdr>
    </w:div>
    <w:div w:id="765419327">
      <w:bodyDiv w:val="1"/>
      <w:marLeft w:val="0"/>
      <w:marRight w:val="0"/>
      <w:marTop w:val="0"/>
      <w:marBottom w:val="0"/>
      <w:divBdr>
        <w:top w:val="none" w:sz="0" w:space="0" w:color="auto"/>
        <w:left w:val="none" w:sz="0" w:space="0" w:color="auto"/>
        <w:bottom w:val="none" w:sz="0" w:space="0" w:color="auto"/>
        <w:right w:val="none" w:sz="0" w:space="0" w:color="auto"/>
      </w:divBdr>
    </w:div>
    <w:div w:id="778180667">
      <w:bodyDiv w:val="1"/>
      <w:marLeft w:val="0"/>
      <w:marRight w:val="0"/>
      <w:marTop w:val="0"/>
      <w:marBottom w:val="0"/>
      <w:divBdr>
        <w:top w:val="none" w:sz="0" w:space="0" w:color="auto"/>
        <w:left w:val="none" w:sz="0" w:space="0" w:color="auto"/>
        <w:bottom w:val="none" w:sz="0" w:space="0" w:color="auto"/>
        <w:right w:val="none" w:sz="0" w:space="0" w:color="auto"/>
      </w:divBdr>
    </w:div>
    <w:div w:id="818616904">
      <w:bodyDiv w:val="1"/>
      <w:marLeft w:val="0"/>
      <w:marRight w:val="0"/>
      <w:marTop w:val="0"/>
      <w:marBottom w:val="0"/>
      <w:divBdr>
        <w:top w:val="none" w:sz="0" w:space="0" w:color="auto"/>
        <w:left w:val="none" w:sz="0" w:space="0" w:color="auto"/>
        <w:bottom w:val="none" w:sz="0" w:space="0" w:color="auto"/>
        <w:right w:val="none" w:sz="0" w:space="0" w:color="auto"/>
      </w:divBdr>
    </w:div>
    <w:div w:id="932935162">
      <w:bodyDiv w:val="1"/>
      <w:marLeft w:val="0"/>
      <w:marRight w:val="0"/>
      <w:marTop w:val="0"/>
      <w:marBottom w:val="0"/>
      <w:divBdr>
        <w:top w:val="none" w:sz="0" w:space="0" w:color="auto"/>
        <w:left w:val="none" w:sz="0" w:space="0" w:color="auto"/>
        <w:bottom w:val="none" w:sz="0" w:space="0" w:color="auto"/>
        <w:right w:val="none" w:sz="0" w:space="0" w:color="auto"/>
      </w:divBdr>
    </w:div>
    <w:div w:id="985358464">
      <w:bodyDiv w:val="1"/>
      <w:marLeft w:val="0"/>
      <w:marRight w:val="0"/>
      <w:marTop w:val="0"/>
      <w:marBottom w:val="0"/>
      <w:divBdr>
        <w:top w:val="none" w:sz="0" w:space="0" w:color="auto"/>
        <w:left w:val="none" w:sz="0" w:space="0" w:color="auto"/>
        <w:bottom w:val="none" w:sz="0" w:space="0" w:color="auto"/>
        <w:right w:val="none" w:sz="0" w:space="0" w:color="auto"/>
      </w:divBdr>
    </w:div>
    <w:div w:id="1021977121">
      <w:bodyDiv w:val="1"/>
      <w:marLeft w:val="0"/>
      <w:marRight w:val="0"/>
      <w:marTop w:val="0"/>
      <w:marBottom w:val="0"/>
      <w:divBdr>
        <w:top w:val="none" w:sz="0" w:space="0" w:color="auto"/>
        <w:left w:val="none" w:sz="0" w:space="0" w:color="auto"/>
        <w:bottom w:val="none" w:sz="0" w:space="0" w:color="auto"/>
        <w:right w:val="none" w:sz="0" w:space="0" w:color="auto"/>
      </w:divBdr>
    </w:div>
    <w:div w:id="102571502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0123019">
      <w:bodyDiv w:val="1"/>
      <w:marLeft w:val="0"/>
      <w:marRight w:val="0"/>
      <w:marTop w:val="0"/>
      <w:marBottom w:val="0"/>
      <w:divBdr>
        <w:top w:val="none" w:sz="0" w:space="0" w:color="auto"/>
        <w:left w:val="none" w:sz="0" w:space="0" w:color="auto"/>
        <w:bottom w:val="none" w:sz="0" w:space="0" w:color="auto"/>
        <w:right w:val="none" w:sz="0" w:space="0" w:color="auto"/>
      </w:divBdr>
    </w:div>
    <w:div w:id="117704207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627630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1315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200807">
      <w:bodyDiv w:val="1"/>
      <w:marLeft w:val="0"/>
      <w:marRight w:val="0"/>
      <w:marTop w:val="0"/>
      <w:marBottom w:val="0"/>
      <w:divBdr>
        <w:top w:val="none" w:sz="0" w:space="0" w:color="auto"/>
        <w:left w:val="none" w:sz="0" w:space="0" w:color="auto"/>
        <w:bottom w:val="none" w:sz="0" w:space="0" w:color="auto"/>
        <w:right w:val="none" w:sz="0" w:space="0" w:color="auto"/>
      </w:divBdr>
    </w:div>
    <w:div w:id="17246744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9005817">
      <w:bodyDiv w:val="1"/>
      <w:marLeft w:val="0"/>
      <w:marRight w:val="0"/>
      <w:marTop w:val="0"/>
      <w:marBottom w:val="0"/>
      <w:divBdr>
        <w:top w:val="none" w:sz="0" w:space="0" w:color="auto"/>
        <w:left w:val="none" w:sz="0" w:space="0" w:color="auto"/>
        <w:bottom w:val="none" w:sz="0" w:space="0" w:color="auto"/>
        <w:right w:val="none" w:sz="0" w:space="0" w:color="auto"/>
      </w:divBdr>
    </w:div>
    <w:div w:id="180646285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540783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571541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kit.com/learn/kanban/benefits-of-wip-limi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inkelephantasia.com/three-ways-devo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howard1/Library/Containers/com.microsoft.Word/Data/Library/Application%20Support/Microsoft/Office/16.0/DTS/en-US%7b99D30D12-231F-0541-B89E-9E50B2290BA2%7d/%7b3246268C-A26A-014A-88E5-B227F2FD5BD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EABC44EB0A4445B66426F365E4BF77"/>
        <w:category>
          <w:name w:val="General"/>
          <w:gallery w:val="placeholder"/>
        </w:category>
        <w:types>
          <w:type w:val="bbPlcHdr"/>
        </w:types>
        <w:behaviors>
          <w:behavior w:val="content"/>
        </w:behaviors>
        <w:guid w:val="{5AE0CD36-F39B-804E-A3C6-BC74F0A42F02}"/>
      </w:docPartPr>
      <w:docPartBody>
        <w:p w:rsidR="00BD70D2" w:rsidRDefault="00354B8B">
          <w:pPr>
            <w:pStyle w:val="44EABC44EB0A4445B66426F365E4BF77"/>
          </w:pPr>
          <w:r>
            <w:t>[Title Here, up to 12 Words, on One to Two Lines]</w:t>
          </w:r>
        </w:p>
      </w:docPartBody>
    </w:docPart>
    <w:docPart>
      <w:docPartPr>
        <w:name w:val="E8F9525882FCED46BC466F0F4A2031C0"/>
        <w:category>
          <w:name w:val="General"/>
          <w:gallery w:val="placeholder"/>
        </w:category>
        <w:types>
          <w:type w:val="bbPlcHdr"/>
        </w:types>
        <w:behaviors>
          <w:behavior w:val="content"/>
        </w:behaviors>
        <w:guid w:val="{2095E992-C1E2-7848-8537-2BE624C8E089}"/>
      </w:docPartPr>
      <w:docPartBody>
        <w:p w:rsidR="00BD70D2" w:rsidRDefault="004E4DB5" w:rsidP="004E4DB5">
          <w:pPr>
            <w:pStyle w:val="E8F9525882FCED46BC466F0F4A2031C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PT Sans">
    <w:panose1 w:val="020B0503020203020204"/>
    <w:charset w:val="4D"/>
    <w:family w:val="swiss"/>
    <w:pitch w:val="variable"/>
    <w:sig w:usb0="A00002EF" w:usb1="5000204B" w:usb2="00000000" w:usb3="00000000" w:csb0="00000097"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B5"/>
    <w:rsid w:val="00354B8B"/>
    <w:rsid w:val="004E4DB5"/>
    <w:rsid w:val="00BD70D2"/>
    <w:rsid w:val="00D6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DCCD789BE8BB42A280BFD6B0C3725A">
    <w:name w:val="F8DCCD789BE8BB42A280BFD6B0C3725A"/>
  </w:style>
  <w:style w:type="paragraph" w:customStyle="1" w:styleId="C3959E1FB29DF54588650484C0401A20">
    <w:name w:val="C3959E1FB29DF54588650484C0401A20"/>
  </w:style>
  <w:style w:type="paragraph" w:customStyle="1" w:styleId="B52AFAE1D5ADDC4D951471C1492295F0">
    <w:name w:val="B52AFAE1D5ADDC4D951471C1492295F0"/>
  </w:style>
  <w:style w:type="paragraph" w:customStyle="1" w:styleId="8E8E9D7E98F1004484E9247272C6DF38">
    <w:name w:val="8E8E9D7E98F1004484E9247272C6DF38"/>
  </w:style>
  <w:style w:type="character" w:styleId="Emphasis">
    <w:name w:val="Emphasis"/>
    <w:basedOn w:val="DefaultParagraphFont"/>
    <w:uiPriority w:val="20"/>
    <w:unhideWhenUsed/>
    <w:qFormat/>
    <w:rPr>
      <w:i/>
      <w:iCs/>
    </w:rPr>
  </w:style>
  <w:style w:type="paragraph" w:customStyle="1" w:styleId="C1D304F355BDAB44BFE4152607CBF07F">
    <w:name w:val="C1D304F355BDAB44BFE4152607CBF07F"/>
  </w:style>
  <w:style w:type="paragraph" w:customStyle="1" w:styleId="45E04892B3A5954F9ECD31B96BDF45DA">
    <w:name w:val="45E04892B3A5954F9ECD31B96BDF45DA"/>
  </w:style>
  <w:style w:type="paragraph" w:customStyle="1" w:styleId="44EABC44EB0A4445B66426F365E4BF77">
    <w:name w:val="44EABC44EB0A4445B66426F365E4BF77"/>
  </w:style>
  <w:style w:type="paragraph" w:customStyle="1" w:styleId="63E24D455176E0488601527EFF29008F">
    <w:name w:val="63E24D455176E0488601527EFF29008F"/>
  </w:style>
  <w:style w:type="paragraph" w:customStyle="1" w:styleId="49B1329C9F41774585C3D537C50F0F04">
    <w:name w:val="49B1329C9F41774585C3D537C50F0F04"/>
  </w:style>
  <w:style w:type="paragraph" w:customStyle="1" w:styleId="43D9DB7BF4363941AA4D8F910362028F">
    <w:name w:val="43D9DB7BF4363941AA4D8F910362028F"/>
  </w:style>
  <w:style w:type="paragraph" w:customStyle="1" w:styleId="5105C04D9F3E524F93DFF59EC622B9FB">
    <w:name w:val="5105C04D9F3E524F93DFF59EC622B9FB"/>
  </w:style>
  <w:style w:type="paragraph" w:customStyle="1" w:styleId="5F85BD96C9BAD54CBD772FA52E9F72D3">
    <w:name w:val="5F85BD96C9BAD54CBD772FA52E9F72D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D7A57A0859520B488EBBFF95319314F3">
    <w:name w:val="D7A57A0859520B488EBBFF95319314F3"/>
  </w:style>
  <w:style w:type="paragraph" w:customStyle="1" w:styleId="1BD075302B67254891B7A7BCE752C970">
    <w:name w:val="1BD075302B67254891B7A7BCE752C97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652214003167594C80235DE390554D3C">
    <w:name w:val="652214003167594C80235DE390554D3C"/>
  </w:style>
  <w:style w:type="paragraph" w:customStyle="1" w:styleId="9D1AD1740C68E442BFCF85B086C28CF4">
    <w:name w:val="9D1AD1740C68E442BFCF85B086C28CF4"/>
  </w:style>
  <w:style w:type="paragraph" w:customStyle="1" w:styleId="33A895174B12044785AD54C7CD77EA7F">
    <w:name w:val="33A895174B12044785AD54C7CD77EA7F"/>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35E79A9834B1C84D9914711F349BD146">
    <w:name w:val="35E79A9834B1C84D9914711F349BD146"/>
  </w:style>
  <w:style w:type="paragraph" w:customStyle="1" w:styleId="957140CB0F72264DAA4D68FF3D9F1E34">
    <w:name w:val="957140CB0F72264DAA4D68FF3D9F1E34"/>
  </w:style>
  <w:style w:type="paragraph" w:customStyle="1" w:styleId="281896023CBA7A42BF1265FFD76E80DC">
    <w:name w:val="281896023CBA7A42BF1265FFD76E80DC"/>
  </w:style>
  <w:style w:type="paragraph" w:styleId="Bibliography">
    <w:name w:val="Bibliography"/>
    <w:basedOn w:val="Normal"/>
    <w:next w:val="Normal"/>
    <w:uiPriority w:val="37"/>
    <w:semiHidden/>
    <w:unhideWhenUsed/>
  </w:style>
  <w:style w:type="paragraph" w:customStyle="1" w:styleId="0E4BC1804594D6489CD7BDE65FE4EF8B">
    <w:name w:val="0E4BC1804594D6489CD7BDE65FE4EF8B"/>
  </w:style>
  <w:style w:type="paragraph" w:customStyle="1" w:styleId="10ACC14D5BAF384AB531789BF5161B13">
    <w:name w:val="10ACC14D5BAF384AB531789BF5161B13"/>
  </w:style>
  <w:style w:type="paragraph" w:customStyle="1" w:styleId="418A7F36611C3E489FAD8AF57B086D73">
    <w:name w:val="418A7F36611C3E489FAD8AF57B086D73"/>
  </w:style>
  <w:style w:type="paragraph" w:customStyle="1" w:styleId="AC2C38FFD172D440A8FD53C60DACADF8">
    <w:name w:val="AC2C38FFD172D440A8FD53C60DACADF8"/>
  </w:style>
  <w:style w:type="paragraph" w:customStyle="1" w:styleId="5D07010DEDE79840A10861185DB6B483">
    <w:name w:val="5D07010DEDE79840A10861185DB6B483"/>
  </w:style>
  <w:style w:type="paragraph" w:customStyle="1" w:styleId="E8F9525882FCED46BC466F0F4A2031C0">
    <w:name w:val="E8F9525882FCED46BC466F0F4A2031C0"/>
    <w:rsid w:val="004E4DB5"/>
  </w:style>
  <w:style w:type="paragraph" w:customStyle="1" w:styleId="4616367C33F3D74F83B71F49ED89BFEB">
    <w:name w:val="4616367C33F3D74F83B71F49ED89BFEB"/>
    <w:rsid w:val="004E4D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BD04D32-74DB-BF4A-9F55-C117C4351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{3246268C-A26A-014A-88E5-B227F2FD5BDE}tf10002091.dotx</Template>
  <TotalTime>0</TotalTime>
  <Pages>6</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The Three Ways: The Principles Underpinning DevOps</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Three Ways: The Principles Underpinning DevOps</dc:title>
  <dc:subject/>
  <dc:creator>Matt Howard</dc:creator>
  <cp:keywords/>
  <dc:description/>
  <cp:lastModifiedBy>Matt Howard</cp:lastModifiedBy>
  <cp:revision>2</cp:revision>
  <dcterms:created xsi:type="dcterms:W3CDTF">2018-07-15T21:12:00Z</dcterms:created>
  <dcterms:modified xsi:type="dcterms:W3CDTF">2018-07-15T21:12:00Z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