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Australian Nodal Gas Market Optimization Model</w:t>
      </w:r>
    </w:p>
    <w:p>
      <w:r>
        <w:t>Strategic Multi-Year Dispatch and Infrastructure Planning Framework (2025–2050)</w:t>
      </w:r>
    </w:p>
    <w:p>
      <w:pPr>
        <w:pStyle w:val="Heading1"/>
      </w:pPr>
      <w:r>
        <w:t>1. Executive Summary</w:t>
      </w:r>
    </w:p>
    <w:p>
      <w:r>
        <w:t>This model is a mathematical optimization framework designed to simulate the Australian east coast and Northern Territory gas market's transition through to 2050 (the NT connects via the Northern Gas Pipeline; Western Australia is a separate, isolated market and is not included). It utilizes Nodal Least-Cost Dispatch logic to solve for the most efficient gas production, pipeline transmission, and infrastructure expansion decisions, while accounting for the structural shifts identified in the AEMO Gas Statement of Opportunities (GSOO).</w:t>
      </w:r>
    </w:p>
    <w:p>
      <w:pPr>
        <w:pStyle w:val="Heading1"/>
      </w:pPr>
      <w:r>
        <w:t>2. Model Background &amp; Objectives</w:t>
      </w:r>
    </w:p>
    <w:p>
      <w:r>
        <w:t>As Australia transitions towards Net Zero, the gas market faces a complex "dual challenge":</w:t>
      </w:r>
    </w:p>
    <w:p>
      <w:pPr>
        <w:pStyle w:val="ListBullet"/>
      </w:pPr>
      <w:r>
        <w:rPr>
          <w:b/>
        </w:rPr>
        <w:t xml:space="preserve">Basin Depletion: </w:t>
      </w:r>
      <w:r>
        <w:t>The rapid decline of traditional supply sources, particularly the Gippsland Basin in the Bass Strait.</w:t>
      </w:r>
    </w:p>
    <w:p>
      <w:pPr>
        <w:pStyle w:val="ListBullet"/>
      </w:pPr>
      <w:r>
        <w:rPr>
          <w:b/>
        </w:rPr>
        <w:t xml:space="preserve">Demand Transition: </w:t>
      </w:r>
      <w:r>
        <w:t>Structural demand reduction via electrification of residential heating, offset by persistent industrial needs and export commitments.</w:t>
      </w:r>
    </w:p>
    <w:p>
      <w:r>
        <w:t>The objective of the model is to minimize total system cost, which is the sum of production costs, transportation tariffs, capital expenditure for new builds, and the economic cost of unserved demand.</w:t>
      </w:r>
    </w:p>
    <w:p>
      <w:pPr>
        <w:pStyle w:val="Heading1"/>
      </w:pPr>
      <w:r>
        <w:t>3. Key Data Sources &amp; Assumptions</w:t>
      </w:r>
    </w:p>
    <w:p>
      <w:r>
        <w:t>The model is grounded in data from the Australian Energy Market Operator (AEMO) 2026 forecasting cycle.</w:t>
      </w:r>
    </w:p>
    <w:p>
      <w:pPr>
        <w:pStyle w:val="Heading2"/>
      </w:pPr>
      <w:r>
        <w:t>3.1 Demand Traces (Selectable GSOO Baseline)</w:t>
      </w:r>
    </w:p>
    <w:p>
      <w:r>
        <w:t>The model demand is built from the AEMO 2026 GSOO. The user selects one of the three 2026 GSOO demand scenarios as the model baseline via a dropdown in the dashboard: Step Change (central, most likely path to Net Zero), Accelerated Transition (faster electrification - steepest residential/commercial decline, highest green-industrial growth, fastest LNG run-down), or Slower Growth (demand held higher for longer). Rather than applying arbitrary per-node growth rates, each demand sector is re-based directly onto its GSOO annual trajectory for the chosen baseline while the empirical daily profile shape from Gas Bulletin Board (GBB) actuals is preserved (shape correlation 1.0; only the annual level is scaled). GSOO indices are applied relative to 2026 and clamped to the 2026-2045 GSOO horizon, then held flat to 2050. The Winter, LNG and ADGSM scenario levers layer multiplicatively on top of whichever baseline is chosen. Queensland LNG export demand is calibrated to ~3,650 TJ/day (~1,250 PJ/year) in 2026. ("Progressive Change" is not a 2026 GSOO scenario - it belongs to the older 2025 GSOO vintage - so the model uses the consistent 2026 GSOO trio above.)</w:t>
      </w:r>
    </w:p>
    <w:tbl>
      <w:tblPr>
        <w:tblW w:type="auto" w:w="0"/>
        <w:tblLook w:firstColumn="1" w:firstRow="1" w:lastColumn="0" w:lastRow="0" w:noHBand="0" w:noVBand="1" w:val="04A0"/>
      </w:tblPr>
      <w:tblGrid>
        <w:gridCol w:w="2880"/>
        <w:gridCol w:w="2880"/>
        <w:gridCol w:w="2880"/>
      </w:tblGrid>
      <w:tr>
        <w:tc>
          <w:tcPr>
            <w:tcW w:type="dxa" w:w="2880"/>
          </w:tcPr>
          <w:p>
            <w:r>
              <w:t>Sector / Node</w:t>
            </w:r>
          </w:p>
        </w:tc>
        <w:tc>
          <w:tcPr>
            <w:tcW w:type="dxa" w:w="2880"/>
          </w:tcPr>
          <w:p>
            <w:r>
              <w:t>GSOO Driver (per chosen baseline)</w:t>
            </w:r>
          </w:p>
        </w:tc>
        <w:tc>
          <w:tcPr>
            <w:tcW w:type="dxa" w:w="2880"/>
          </w:tcPr>
          <w:p>
            <w:r>
              <w:t>Rationale</w:t>
            </w:r>
          </w:p>
        </w:tc>
      </w:tr>
      <w:tr>
        <w:tc>
          <w:tcPr>
            <w:tcW w:type="dxa" w:w="2880"/>
          </w:tcPr>
          <w:p>
            <w:r>
              <w:t>City nodes (Sydney, Melbourne, Adelaide, Brisbane)</w:t>
            </w:r>
          </w:p>
        </w:tc>
        <w:tc>
          <w:tcPr>
            <w:tcW w:type="dxa" w:w="2880"/>
          </w:tcPr>
          <w:p>
            <w:r>
              <w:t>GSOO ResComm trajectory (Fig. 17)</w:t>
            </w:r>
          </w:p>
        </w:tc>
        <w:tc>
          <w:tcPr>
            <w:tcW w:type="dxa" w:w="2880"/>
          </w:tcPr>
          <w:p>
            <w:r>
              <w:t>City-gate distribution demand; electrification-driven decline</w:t>
            </w:r>
          </w:p>
        </w:tc>
      </w:tr>
      <w:tr>
        <w:tc>
          <w:tcPr>
            <w:tcW w:type="dxa" w:w="2880"/>
          </w:tcPr>
          <w:p>
            <w:r>
              <w:t>Gas-powered generation (GPG)</w:t>
            </w:r>
          </w:p>
        </w:tc>
        <w:tc>
          <w:tcPr>
            <w:tcW w:type="dxa" w:w="2880"/>
          </w:tcPr>
          <w:p>
            <w:r>
              <w:t>GSOO NEM trajectory + regional peaks</w:t>
            </w:r>
          </w:p>
        </w:tc>
        <w:tc>
          <w:tcPr>
            <w:tcW w:type="dxa" w:w="2880"/>
          </w:tcPr>
          <w:p>
            <w:r>
              <w:t>Annual level anchored to NEM GPG; winter-peaking from regional summer/winter peaks. AEMO publishes one 2026 GSOO GPG annual trajectory, so non-Step-Change baselines scale it by their regional GPG peak ratio vs Step Change</w:t>
            </w:r>
          </w:p>
        </w:tc>
      </w:tr>
      <w:tr>
        <w:tc>
          <w:tcPr>
            <w:tcW w:type="dxa" w:w="2880"/>
          </w:tcPr>
          <w:p>
            <w:r>
              <w:t>Large industrial</w:t>
            </w:r>
          </w:p>
        </w:tc>
        <w:tc>
          <w:tcPr>
            <w:tcW w:type="dxa" w:w="2880"/>
          </w:tcPr>
          <w:p>
            <w:r>
              <w:t>GSOO industrial trajectory (year index)</w:t>
            </w:r>
          </w:p>
        </w:tc>
        <w:tc>
          <w:tcPr>
            <w:tcW w:type="dxa" w:w="2880"/>
          </w:tcPr>
          <w:p>
            <w:r>
              <w:t>Indexed on empirical BBLARGE levels (a subset of whole-sector industrial); Yarwun reclassified GPG -&gt; industrial</w:t>
            </w:r>
          </w:p>
        </w:tc>
      </w:tr>
      <w:tr>
        <w:tc>
          <w:tcPr>
            <w:tcW w:type="dxa" w:w="2880"/>
          </w:tcPr>
          <w:p>
            <w:r>
              <w:t>LNG cluster (APLNG, GLNG, QCLNG)</w:t>
            </w:r>
          </w:p>
        </w:tc>
        <w:tc>
          <w:tcPr>
            <w:tcW w:type="dxa" w:w="2880"/>
          </w:tcPr>
          <w:p>
            <w:r>
              <w:t>GSOO LNG trajectory (Fig. 19)</w:t>
            </w:r>
          </w:p>
        </w:tc>
        <w:tc>
          <w:tcPr>
            <w:tcW w:type="dxa" w:w="2880"/>
          </w:tcPr>
          <w:p>
            <w:r>
              <w:t>~3,650 TJ/day in 2026; replaces previous flat assumption</w:t>
            </w:r>
          </w:p>
        </w:tc>
      </w:tr>
    </w:tbl>
    <w:p>
      <w:r>
        <w:br/>
        <w:t>Derived demand data is rebuilt from source by the "Regenerate All Data" button (src/regenerate_data.py), which runs the build pipeline in dependency order: build_curtailable_demand -&gt; build_gsoo_scenarios -&gt; build_gpg_demand_gsoo -&gt; build_industrial_demand_gsoo -&gt; build_demand_gsoo. The GSOO extract pulls all three baselines, and the demand builders emit one set of files per baseline (demand_&lt;baseline&gt;.csv etc.). Only source inputs (GBB actuals, GSOO workbooks, configs) are committed; generated files are rebuilt locally.</w:t>
      </w:r>
    </w:p>
    <w:p>
      <w:r>
        <w:br/>
        <w:t>Relevant Links:</w:t>
      </w:r>
    </w:p>
    <w:p>
      <w:pPr>
        <w:pStyle w:val="ListBullet"/>
      </w:pPr>
      <w:r>
        <w:t>AEMO 2026 GSOO Report Data:</w:t>
      </w:r>
    </w:p>
    <w:p>
      <w:pPr>
        <w:pStyle w:val="Caption"/>
      </w:pPr>
      <w:r>
        <w:t>https://www.aemo.com.au/-/media/files/gas/national_planning_and_forecasting/gsoo/2026/2026-gas-statement-of-opportunities-report-figures-and-data.xlsx</w:t>
      </w:r>
    </w:p>
    <w:p>
      <w:pPr>
        <w:pStyle w:val="ListBullet"/>
      </w:pPr>
      <w:r>
        <w:t>AEMO 2026 GSOO Supply Data:</w:t>
      </w:r>
    </w:p>
    <w:p>
      <w:pPr>
        <w:pStyle w:val="Caption"/>
      </w:pPr>
      <w:r>
        <w:t>https://www.aemo.com.au/-/media/files/gas/national_planning_and_forecasting/gsoo/2026/2026-gas-statement-of-opportunities-supply-data.xlsx</w:t>
      </w:r>
    </w:p>
    <w:p>
      <w:pPr>
        <w:pStyle w:val="Heading2"/>
      </w:pPr>
      <w:r>
        <w:t>3.2 Supply Basin Dynamics</w:t>
      </w:r>
    </w:p>
    <w:p>
      <w:r>
        <w:t>Production capacities reflect the 2026 GSOO benchmarks. Decline rates for southern basins have been accelerated to reflect recent depletion reports.</w:t>
      </w:r>
    </w:p>
    <w:tbl>
      <w:tblPr>
        <w:tblW w:type="auto" w:w="0"/>
        <w:tblLook w:firstColumn="1" w:firstRow="1" w:lastColumn="0" w:lastRow="0" w:noHBand="0" w:noVBand="1" w:val="04A0"/>
      </w:tblPr>
      <w:tblGrid>
        <w:gridCol w:w="2880"/>
        <w:gridCol w:w="2880"/>
        <w:gridCol w:w="2880"/>
      </w:tblGrid>
      <w:tr>
        <w:tc>
          <w:tcPr>
            <w:tcW w:type="dxa" w:w="2880"/>
          </w:tcPr>
          <w:p>
            <w:r>
              <w:t>Basin</w:t>
            </w:r>
          </w:p>
        </w:tc>
        <w:tc>
          <w:tcPr>
            <w:tcW w:type="dxa" w:w="2880"/>
          </w:tcPr>
          <w:p>
            <w:r>
              <w:t>Capacity (TJ/d)</w:t>
            </w:r>
          </w:p>
        </w:tc>
        <w:tc>
          <w:tcPr>
            <w:tcW w:type="dxa" w:w="2880"/>
          </w:tcPr>
          <w:p>
            <w:r>
              <w:t>Annual Decline Rate</w:t>
            </w:r>
          </w:p>
        </w:tc>
      </w:tr>
      <w:tr>
        <w:tc>
          <w:tcPr>
            <w:tcW w:type="dxa" w:w="2880"/>
          </w:tcPr>
          <w:p>
            <w:r>
              <w:t>Gippsland (Bass Strait)</w:t>
            </w:r>
          </w:p>
        </w:tc>
        <w:tc>
          <w:tcPr>
            <w:tcW w:type="dxa" w:w="2880"/>
          </w:tcPr>
          <w:p>
            <w:r>
              <w:t>766</w:t>
            </w:r>
          </w:p>
        </w:tc>
        <w:tc>
          <w:tcPr>
            <w:tcW w:type="dxa" w:w="2880"/>
          </w:tcPr>
          <w:p>
            <w:r>
              <w:t>12.0%</w:t>
            </w:r>
          </w:p>
        </w:tc>
      </w:tr>
      <w:tr>
        <w:tc>
          <w:tcPr>
            <w:tcW w:type="dxa" w:w="2880"/>
          </w:tcPr>
          <w:p>
            <w:r>
              <w:t>Moomba (Cooper Basin)</w:t>
            </w:r>
          </w:p>
        </w:tc>
        <w:tc>
          <w:tcPr>
            <w:tcW w:type="dxa" w:w="2880"/>
          </w:tcPr>
          <w:p>
            <w:r>
              <w:t>400</w:t>
            </w:r>
          </w:p>
        </w:tc>
        <w:tc>
          <w:tcPr>
            <w:tcW w:type="dxa" w:w="2880"/>
          </w:tcPr>
          <w:p>
            <w:r>
              <w:t>3.0%</w:t>
            </w:r>
          </w:p>
        </w:tc>
      </w:tr>
      <w:tr>
        <w:tc>
          <w:tcPr>
            <w:tcW w:type="dxa" w:w="2880"/>
          </w:tcPr>
          <w:p>
            <w:r>
              <w:t>Surat (QLD CSG)</w:t>
            </w:r>
          </w:p>
        </w:tc>
        <w:tc>
          <w:tcPr>
            <w:tcW w:type="dxa" w:w="2880"/>
          </w:tcPr>
          <w:p>
            <w:r>
              <w:t>4,000</w:t>
            </w:r>
          </w:p>
        </w:tc>
        <w:tc>
          <w:tcPr>
            <w:tcW w:type="dxa" w:w="2880"/>
          </w:tcPr>
          <w:p>
            <w:r>
              <w:t>1.0%</w:t>
            </w:r>
          </w:p>
        </w:tc>
      </w:tr>
    </w:tbl>
    <w:p>
      <w:pPr>
        <w:pStyle w:val="Heading1"/>
      </w:pPr>
      <w:r>
        <w:t>4. Technical Implementation</w:t>
      </w:r>
    </w:p>
    <w:p>
      <w:pPr>
        <w:pStyle w:val="Heading2"/>
      </w:pPr>
      <w:r>
        <w:t>4.1 Mathematical Optimization</w:t>
      </w:r>
    </w:p>
    <w:p>
      <w:r>
        <w:t>The model uses Mixed-Integer Linear Programming (MILP), solved with the open-source HiGHS solver via Pyomo (appsi_highs). The core constraints include nodal mass balance (Supply + Inflow = Demand + Outflow), pipeline capacities, and storage continuity. Because HiGHS only returns dual values for a pure linear program, the binary build decisions are fixed and relaxed to continuous after the MILP step, and the model is re-solved as an LP to recover the shadow prices used for nodal price discovery.</w:t>
      </w:r>
    </w:p>
    <w:p>
      <w:pPr>
        <w:pStyle w:val="Heading2"/>
      </w:pPr>
      <w:r>
        <w:t>4.2 Storage Modeling</w:t>
      </w:r>
    </w:p>
    <w:p>
      <w:r>
        <w:t>Gas storage facilities (Iona, Moomba, Silver Springs) are modeled as "stateful" nodes. The inventory at the end of day (t) must equal the inventory from day (t-1) plus injections minus withdrawals. This allows the model to "pre-fill" storage in summer to meet the winter peaks triggered by the Southern Winter Stress scenarios.</w:t>
      </w:r>
    </w:p>
    <w:p>
      <w:pPr>
        <w:pStyle w:val="Heading2"/>
      </w:pPr>
      <w:r>
        <w:t>4.3 Multi-Year Path Dependency</w:t>
      </w:r>
    </w:p>
    <w:p>
      <w:r>
        <w:t>A unique feature of this simulation is the "already_built" logic. Infrastructure decisions are binary (0 or 1). Once the optimizer decides that a project like the Port Kembla LNG Import Terminal is economically necessary, that decision is locked in for all subsequent years in the 2050 sequence.</w:t>
      </w:r>
    </w:p>
    <w:p>
      <w:pPr>
        <w:pStyle w:val="Heading1"/>
      </w:pPr>
      <w:r>
        <w:t>5. Price Discovery</w:t>
      </w:r>
    </w:p>
    <w:p>
      <w:r>
        <w:t>Nodal prices are derived from the marginal cost of supply (shadow prices). When a pipeline is uncongested, nodal prices are coupled (differing only by transport costs). When a pipeline hits its capacity limit, the nodal prices "decouple," reflecting local scarcity or surplus.</w:t>
      </w:r>
    </w:p>
    <w:p>
      <w:pPr>
        <w:pStyle w:val="Heading1"/>
      </w:pPr>
      <w:r>
        <w:t>6. Curtailable Large-User Demand: GPG &amp; Large Industrial</w:t>
      </w:r>
    </w:p>
    <w:p>
      <w:r>
        <w:t>Gas-powered generation (GPG) and large transmission-connected industrial users are modelled as explicit, curtailable demand tiers added on top of the distribution-level node demand. This was added in 2026 to capture demand that the nodal traces did not previously represent.</w:t>
      </w:r>
    </w:p>
    <w:p>
      <w:pPr>
        <w:pStyle w:val="Heading2"/>
      </w:pPr>
      <w:r>
        <w:t>6.1 Why these loads are additive (not double-counted)</w:t>
      </w:r>
    </w:p>
    <w:p>
      <w:r>
        <w:t>The model's nodal demand was calibrated from Gas Bulletin Board (GBB) Actual Flow data at the city distribution level. On the GBB, GPG plants (FacilityType BBGPG) and large industrial users (BBLARGE) are metered as their own facilities, separate from the distribution PIPE deliveries that the node traces track. A reconstruction of the demand decomposition from the same GBB source confirmed that node demand closely matches city-gate distribution delivery in every region (e.g. Sydney 235 vs 217 TJ/d; Adelaide 53 vs 48; Brisbane 81 vs 63), with a worst-case residual overlap of ~2 TJ/d at Sydney. This is consistent with AEMO's own demand segmentation, which forecasts Tariff V (residential/commercial), Tariff D (industrial) and GPG as separate categories. GPG and large industrial are therefore genuinely additive, not embedded.</w:t>
      </w:r>
    </w:p>
    <w:p>
      <w:pPr>
        <w:pStyle w:val="Heading2"/>
      </w:pPr>
      <w:r>
        <w:t>6.2 Data source and seasonality</w:t>
      </w:r>
    </w:p>
    <w:p>
      <w:r>
        <w:t>Per-facility daily demand traces are derived from the GBB Actual Flow &amp; Storage data (2022-2026), averaged into a representative 365-day shape per facility - the same method used for the distribution demand traces. Facilities are mapped to the nearest modelled node (NSW-&gt;Sydney; SA-&gt;Adelaide; VIC-&gt;Melbourne/Gippsland; QLD Surat basin-&gt;Surat, Gladstone cogen-&gt;Gladstone, SEQ-&gt;Brisbane). NT, Tasmania and off-network North Queensland (Mount Isa) facilities are excluded. Mapped totals are ~106 TJ/day GPG and ~67 TJ/day large industrial (annual mean).</w:t>
      </w:r>
    </w:p>
    <w:p>
      <w:pPr>
        <w:pStyle w:val="ListBullet"/>
      </w:pPr>
      <w:r>
        <w:rPr>
          <w:b/>
        </w:rPr>
        <w:t xml:space="preserve">GPG seasonality (empirical): </w:t>
      </w:r>
      <w:r>
        <w:t>winter-peaking, with eastern-states demand peaking in June at ~1.5x the annual mean. Winter/summer ratios are state-specific - Victoria 3.6x, NSW 2.4x, SA 1.9x, and Queensland ~1.0x (flat, dominated by baseload CCGTs such as Darling Downs).</w:t>
      </w:r>
    </w:p>
    <w:p>
      <w:pPr>
        <w:pStyle w:val="ListBullet"/>
      </w:pPr>
      <w:r>
        <w:rPr>
          <w:b/>
        </w:rPr>
        <w:t xml:space="preserve">Industrial seasonality: </w:t>
      </w:r>
      <w:r>
        <w:t>near-flat (winter/summer ~1.1x), consistent with baseload process load.</w:t>
      </w:r>
    </w:p>
    <w:p>
      <w:pPr>
        <w:pStyle w:val="Heading2"/>
      </w:pPr>
      <w:r>
        <w:t>6.3 Three-tier curtailable demand stack</w:t>
      </w:r>
    </w:p>
    <w:p>
      <w:r>
        <w:t>GPG and large industrial are price-responsive in reality: when gas becomes expensive, gas generators switch to alternatives and some industrials curtail. To capture this without making demand fully endogenous, each tier is modelled as curtailable demand with a strike price - the nodal gas price above which the load sheds instead of being supplied. This avoids the unrealistic price/shortage overstatement that fully-inelastic demand would produce. The resulting merit order of load-shedding is:</w:t>
      </w:r>
    </w:p>
    <w:p>
      <w:pPr>
        <w:pStyle w:val="ListBullet"/>
      </w:pPr>
      <w:r>
        <w:rPr>
          <w:b/>
        </w:rPr>
        <w:t xml:space="preserve">Gas-powered generation ($22/GJ): </w:t>
      </w:r>
      <w:r>
        <w:t>sheds first - generators become uneconomic vs coal, batteries and imports</w:t>
      </w:r>
    </w:p>
    <w:p>
      <w:pPr>
        <w:pStyle w:val="ListBullet"/>
      </w:pPr>
      <w:r>
        <w:rPr>
          <w:b/>
        </w:rPr>
        <w:t xml:space="preserve">Large industrial ($120/GJ): </w:t>
      </w:r>
      <w:r>
        <w:t>sheds only in extreme scarcity - high cost of lost production, few alternatives</w:t>
      </w:r>
    </w:p>
    <w:p>
      <w:pPr>
        <w:pStyle w:val="ListBullet"/>
      </w:pPr>
      <w:r>
        <w:rPr>
          <w:b/>
        </w:rPr>
        <w:t xml:space="preserve">Mass-market (firm) ($300/GJ): </w:t>
      </w:r>
      <w:r>
        <w:t>value of lost load - residential/commercial, shed last via the shortage variable</w:t>
      </w:r>
    </w:p>
    <w:p>
      <w:r>
        <w:t>Formally, each tier adds its demand to the nodal balance and a non-negative curtailment variable bounded by that demand; the objective charges curtailment at the strike price (x1000 GJ/TJ). A tier sheds only when the marginal cost of supplying it would exceed its strike. GPG and industrial demand are held exogenous and flat across 2025-2050 (their own empirical seasonality is retained); they are not scaled by the winter or LNG demand multipliers, which apply to mass-market demand only.</w:t>
      </w:r>
    </w:p>
    <w:p>
      <w:pPr>
        <w:pStyle w:val="Heading2"/>
      </w:pPr>
      <w:r>
        <w:t>6.4 Limitations and next steps</w:t>
      </w:r>
    </w:p>
    <w:p>
      <w:r>
        <w:t>GPG/industrial levels are exogenous (price-responsive in dispatch via the strike, but not a function of the electricity market), and held flat in real terms to 2050 given genuine uncertainty about GPG's future role. A future extension would make GPG demand endogenous to electricity-market dispatch. The ~2 TJ/d Sydney residual overlap is immaterial and left unadjusted. Strike prices are tunable parameters (data/curtailment_params.csv).</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