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Australian Nodal Gas Market Optimization Model</w:t>
      </w:r>
    </w:p>
    <w:p>
      <w:r>
        <w:t>Strategic Multi-Year Dispatch and Infrastructure Planning Framework (2025–2050)</w:t>
      </w:r>
    </w:p>
    <w:p>
      <w:pPr>
        <w:pStyle w:val="Heading1"/>
      </w:pPr>
      <w:r>
        <w:t>1. Executive Summary</w:t>
      </w:r>
    </w:p>
    <w:p>
      <w:r>
        <w:t>This model is a mathematical optimization framework designed to simulate the Australian east coast gas market's transition through to 2050. It utilizes Nodal Least-Cost Dispatch logic to solve for the most efficient gas production, pipeline transmission, and infrastructure expansion decisions, while accounting for the structural shifts identified in the AEMO Gas Statement of Opportunities (GSOO).</w:t>
      </w:r>
    </w:p>
    <w:p>
      <w:pPr>
        <w:pStyle w:val="Heading1"/>
      </w:pPr>
      <w:r>
        <w:t>2. Model Background &amp; Objectives</w:t>
      </w:r>
    </w:p>
    <w:p>
      <w:r>
        <w:t>As Australia transitions towards Net Zero, the gas market faces a complex "dual challenge":</w:t>
      </w:r>
    </w:p>
    <w:p>
      <w:pPr>
        <w:pStyle w:val="ListBullet"/>
      </w:pPr>
      <w:r>
        <w:rPr>
          <w:b/>
        </w:rPr>
        <w:t xml:space="preserve">Basin Depletion: </w:t>
      </w:r>
      <w:r>
        <w:t>The rapid decline of traditional supply sources, particularly the Gippsland Basin in the Bass Strait.</w:t>
      </w:r>
    </w:p>
    <w:p>
      <w:pPr>
        <w:pStyle w:val="ListBullet"/>
      </w:pPr>
      <w:r>
        <w:rPr>
          <w:b/>
        </w:rPr>
        <w:t xml:space="preserve">Demand Transition: </w:t>
      </w:r>
      <w:r>
        <w:t>Structural demand reduction via electrification of residential heating, offset by persistent industrial needs and export commitments.</w:t>
      </w:r>
    </w:p>
    <w:p>
      <w:r>
        <w:t>The objective of the model is to minimize total system cost, which is the sum of production costs, transportation tariffs, capital expenditure for new builds, and the economic cost of unserved demand.</w:t>
      </w:r>
    </w:p>
    <w:p>
      <w:pPr>
        <w:pStyle w:val="Heading1"/>
      </w:pPr>
      <w:r>
        <w:t>3. Key Data Sources &amp; Assumptions</w:t>
      </w:r>
    </w:p>
    <w:p>
      <w:r>
        <w:t>The model is grounded in data from the Australian Energy Market Operator (AEMO) 2026 forecasting cycle.</w:t>
      </w:r>
    </w:p>
    <w:p>
      <w:pPr>
        <w:pStyle w:val="Heading2"/>
      </w:pPr>
      <w:r>
        <w:t>3.1 Demand Traces (Step Change Scenario)</w:t>
      </w:r>
    </w:p>
    <w:p>
      <w:r>
        <w:t>Annual demand profiles are based on the AEMO 2026 GSOO Step Change scenario. In 2026, Queensland LNG export demand is calibrated to ~3,650 TJ/day (~1,250 PJ/year). Long-term annual decline rates applied include:</w:t>
      </w:r>
    </w:p>
    <w:tbl>
      <w:tblPr>
        <w:tblW w:type="auto" w:w="0"/>
        <w:tblLook w:firstColumn="1" w:firstRow="1" w:lastColumn="0" w:lastRow="0" w:noHBand="0" w:noVBand="1" w:val="04A0"/>
      </w:tblPr>
      <w:tblGrid>
        <w:gridCol w:w="2880"/>
        <w:gridCol w:w="2880"/>
        <w:gridCol w:w="2880"/>
      </w:tblGrid>
      <w:tr>
        <w:tc>
          <w:tcPr>
            <w:tcW w:type="dxa" w:w="2880"/>
          </w:tcPr>
          <w:p>
            <w:r>
              <w:t>Node / Region</w:t>
            </w:r>
          </w:p>
        </w:tc>
        <w:tc>
          <w:tcPr>
            <w:tcW w:type="dxa" w:w="2880"/>
          </w:tcPr>
          <w:p>
            <w:r>
              <w:t>Growth/Decline Rate</w:t>
            </w:r>
          </w:p>
        </w:tc>
        <w:tc>
          <w:tcPr>
            <w:tcW w:type="dxa" w:w="2880"/>
          </w:tcPr>
          <w:p>
            <w:r>
              <w:t>Rationale</w:t>
            </w:r>
          </w:p>
        </w:tc>
      </w:tr>
      <w:tr>
        <w:tc>
          <w:tcPr>
            <w:tcW w:type="dxa" w:w="2880"/>
          </w:tcPr>
          <w:p>
            <w:r>
              <w:t>Melbourne</w:t>
            </w:r>
          </w:p>
        </w:tc>
        <w:tc>
          <w:tcPr>
            <w:tcW w:type="dxa" w:w="2880"/>
          </w:tcPr>
          <w:p>
            <w:r>
              <w:t>-4.0% p.a.</w:t>
            </w:r>
          </w:p>
        </w:tc>
        <w:tc>
          <w:tcPr>
            <w:tcW w:type="dxa" w:w="2880"/>
          </w:tcPr>
          <w:p>
            <w:r>
              <w:t>Victorian Gas Substitution Roadmap</w:t>
            </w:r>
          </w:p>
        </w:tc>
      </w:tr>
      <w:tr>
        <w:tc>
          <w:tcPr>
            <w:tcW w:type="dxa" w:w="2880"/>
          </w:tcPr>
          <w:p>
            <w:r>
              <w:t>Sydney</w:t>
            </w:r>
          </w:p>
        </w:tc>
        <w:tc>
          <w:tcPr>
            <w:tcW w:type="dxa" w:w="2880"/>
          </w:tcPr>
          <w:p>
            <w:r>
              <w:t>-3.0% p.a.</w:t>
            </w:r>
          </w:p>
        </w:tc>
        <w:tc>
          <w:tcPr>
            <w:tcW w:type="dxa" w:w="2880"/>
          </w:tcPr>
          <w:p>
            <w:r>
              <w:t>NSW residential electrification</w:t>
            </w:r>
          </w:p>
        </w:tc>
      </w:tr>
      <w:tr>
        <w:tc>
          <w:tcPr>
            <w:tcW w:type="dxa" w:w="2880"/>
          </w:tcPr>
          <w:p>
            <w:r>
              <w:t>Brisbane</w:t>
            </w:r>
          </w:p>
        </w:tc>
        <w:tc>
          <w:tcPr>
            <w:tcW w:type="dxa" w:w="2880"/>
          </w:tcPr>
          <w:p>
            <w:r>
              <w:t>-1.0% p.a.</w:t>
            </w:r>
          </w:p>
        </w:tc>
        <w:tc>
          <w:tcPr>
            <w:tcW w:type="dxa" w:w="2880"/>
          </w:tcPr>
          <w:p>
            <w:r>
              <w:t>Persistent industrial baseload</w:t>
            </w:r>
          </w:p>
        </w:tc>
      </w:tr>
      <w:tr>
        <w:tc>
          <w:tcPr>
            <w:tcW w:type="dxa" w:w="2880"/>
          </w:tcPr>
          <w:p>
            <w:r>
              <w:t>LNG Export Cluster</w:t>
            </w:r>
          </w:p>
        </w:tc>
        <w:tc>
          <w:tcPr>
            <w:tcW w:type="dxa" w:w="2880"/>
          </w:tcPr>
          <w:p>
            <w:r>
              <w:t>3,650 TJ/day</w:t>
            </w:r>
          </w:p>
        </w:tc>
        <w:tc>
          <w:tcPr>
            <w:tcW w:type="dxa" w:w="2880"/>
          </w:tcPr>
          <w:p>
            <w:r>
              <w:t>AEMO 2026 GSOO Benchmark</w:t>
            </w:r>
          </w:p>
        </w:tc>
      </w:tr>
    </w:tbl>
    <w:p>
      <w:r>
        <w:br/>
        <w:t>Relevant Links:</w:t>
      </w:r>
    </w:p>
    <w:p>
      <w:pPr>
        <w:pStyle w:val="ListBullet"/>
      </w:pPr>
      <w:r>
        <w:t>AEMO 2026 GSOO Report Data:</w:t>
      </w:r>
    </w:p>
    <w:p>
      <w:pPr>
        <w:pStyle w:val="Caption"/>
      </w:pPr>
      <w:r>
        <w:t>https://www.aemo.com.au/-/media/files/gas/national_planning_and_forecasting/gsoo/2026/2026-gas-statement-of-opportunities-report-figures-and-data.xlsx</w:t>
      </w:r>
    </w:p>
    <w:p>
      <w:pPr>
        <w:pStyle w:val="ListBullet"/>
      </w:pPr>
      <w:r>
        <w:t>AEMO 2026 GSOO Supply Data:</w:t>
      </w:r>
    </w:p>
    <w:p>
      <w:pPr>
        <w:pStyle w:val="Caption"/>
      </w:pPr>
      <w:r>
        <w:t>https://www.aemo.com.au/-/media/files/gas/national_planning_and_forecasting/gsoo/2026/2026-gas-statement-of-opportunities-supply-data.xlsx</w:t>
      </w:r>
    </w:p>
    <w:p>
      <w:pPr>
        <w:pStyle w:val="Heading2"/>
      </w:pPr>
      <w:r>
        <w:t>3.2 Supply Basin Dynamics</w:t>
      </w:r>
    </w:p>
    <w:p>
      <w:r>
        <w:t>Production capacities reflect the 2026 GSOO benchmarks. Decline rates for southern basins have been accelerated to reflect recent depletion reports.</w:t>
      </w:r>
    </w:p>
    <w:tbl>
      <w:tblPr>
        <w:tblW w:type="auto" w:w="0"/>
        <w:tblLook w:firstColumn="1" w:firstRow="1" w:lastColumn="0" w:lastRow="0" w:noHBand="0" w:noVBand="1" w:val="04A0"/>
      </w:tblPr>
      <w:tblGrid>
        <w:gridCol w:w="2880"/>
        <w:gridCol w:w="2880"/>
        <w:gridCol w:w="2880"/>
      </w:tblGrid>
      <w:tr>
        <w:tc>
          <w:tcPr>
            <w:tcW w:type="dxa" w:w="2880"/>
          </w:tcPr>
          <w:p>
            <w:r>
              <w:t>Basin</w:t>
            </w:r>
          </w:p>
        </w:tc>
        <w:tc>
          <w:tcPr>
            <w:tcW w:type="dxa" w:w="2880"/>
          </w:tcPr>
          <w:p>
            <w:r>
              <w:t>Capacity (TJ/d)</w:t>
            </w:r>
          </w:p>
        </w:tc>
        <w:tc>
          <w:tcPr>
            <w:tcW w:type="dxa" w:w="2880"/>
          </w:tcPr>
          <w:p>
            <w:r>
              <w:t>Annual Decline Rate</w:t>
            </w:r>
          </w:p>
        </w:tc>
      </w:tr>
      <w:tr>
        <w:tc>
          <w:tcPr>
            <w:tcW w:type="dxa" w:w="2880"/>
          </w:tcPr>
          <w:p>
            <w:r>
              <w:t>Gippsland (Bass Strait)</w:t>
            </w:r>
          </w:p>
        </w:tc>
        <w:tc>
          <w:tcPr>
            <w:tcW w:type="dxa" w:w="2880"/>
          </w:tcPr>
          <w:p>
            <w:r>
              <w:t>766</w:t>
            </w:r>
          </w:p>
        </w:tc>
        <w:tc>
          <w:tcPr>
            <w:tcW w:type="dxa" w:w="2880"/>
          </w:tcPr>
          <w:p>
            <w:r>
              <w:t>12.0%</w:t>
            </w:r>
          </w:p>
        </w:tc>
      </w:tr>
      <w:tr>
        <w:tc>
          <w:tcPr>
            <w:tcW w:type="dxa" w:w="2880"/>
          </w:tcPr>
          <w:p>
            <w:r>
              <w:t>Moomba (Cooper Basin)</w:t>
            </w:r>
          </w:p>
        </w:tc>
        <w:tc>
          <w:tcPr>
            <w:tcW w:type="dxa" w:w="2880"/>
          </w:tcPr>
          <w:p>
            <w:r>
              <w:t>400</w:t>
            </w:r>
          </w:p>
        </w:tc>
        <w:tc>
          <w:tcPr>
            <w:tcW w:type="dxa" w:w="2880"/>
          </w:tcPr>
          <w:p>
            <w:r>
              <w:t>3.0%</w:t>
            </w:r>
          </w:p>
        </w:tc>
      </w:tr>
      <w:tr>
        <w:tc>
          <w:tcPr>
            <w:tcW w:type="dxa" w:w="2880"/>
          </w:tcPr>
          <w:p>
            <w:r>
              <w:t>Surat (QLD CSG)</w:t>
            </w:r>
          </w:p>
        </w:tc>
        <w:tc>
          <w:tcPr>
            <w:tcW w:type="dxa" w:w="2880"/>
          </w:tcPr>
          <w:p>
            <w:r>
              <w:t>4,000</w:t>
            </w:r>
          </w:p>
        </w:tc>
        <w:tc>
          <w:tcPr>
            <w:tcW w:type="dxa" w:w="2880"/>
          </w:tcPr>
          <w:p>
            <w:r>
              <w:t>1.0%</w:t>
            </w:r>
          </w:p>
        </w:tc>
      </w:tr>
    </w:tbl>
    <w:p>
      <w:pPr>
        <w:pStyle w:val="Heading1"/>
      </w:pPr>
      <w:r>
        <w:t>4. Technical Implementation</w:t>
      </w:r>
    </w:p>
    <w:p>
      <w:pPr>
        <w:pStyle w:val="Heading2"/>
      </w:pPr>
      <w:r>
        <w:t>4.1 Mathematical Optimization</w:t>
      </w:r>
    </w:p>
    <w:p>
      <w:r>
        <w:t>The model uses Mixed-Integer Linear Programming (MILP). The core constraints include nodal mass balance (Supply + Inflow = Demand + Outflow), pipeline capacities, and storage continuity.</w:t>
      </w:r>
    </w:p>
    <w:p>
      <w:pPr>
        <w:pStyle w:val="Heading2"/>
      </w:pPr>
      <w:r>
        <w:t>4.2 Storage Modeling</w:t>
      </w:r>
    </w:p>
    <w:p>
      <w:r>
        <w:t>Gas storage facilities (Iona, Moomba, Silver Springs) are modeled as "stateful" nodes. The inventory at the end of day (t) must equal the inventory from day (t-1) plus injections minus withdrawals. This allows the model to "pre-fill" storage in summer to meet the winter peaks triggered by the Southern Winter Stress scenarios.</w:t>
      </w:r>
    </w:p>
    <w:p>
      <w:pPr>
        <w:pStyle w:val="Heading2"/>
      </w:pPr>
      <w:r>
        <w:t>4.3 Multi-Year Path Dependency</w:t>
      </w:r>
    </w:p>
    <w:p>
      <w:r>
        <w:t>A unique feature of this simulation is the "already_built" logic. Infrastructure decisions are binary (0 or 1). Once the optimizer decides that a project like the Port Kembla LNG Import Terminal is economically necessary, that decision is locked in for all subsequent years in the 2050 sequence.</w:t>
      </w:r>
    </w:p>
    <w:p>
      <w:pPr>
        <w:pStyle w:val="Heading1"/>
      </w:pPr>
      <w:r>
        <w:t>5. Price Discovery</w:t>
      </w:r>
    </w:p>
    <w:p>
      <w:r>
        <w:t>Nodal prices are derived from the marginal cost of supply (shadow prices). When a pipeline is uncongested, nodal prices are coupled (differing only by transport costs). When a pipeline hits its capacity limit, the nodal prices "decouple," reflecting local scarcity or surplus.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