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1D6682" w:rsidTr="001D6682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1D6682" w:rsidRDefault="001D6682" w:rsidP="001D6682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>IBM Cloud R</w:t>
            </w:r>
            <w:r w:rsidRPr="001D6682">
              <w:t>evenue</w:t>
            </w:r>
          </w:p>
        </w:tc>
      </w:tr>
      <w:tr w:rsidR="001D6682" w:rsidTr="001D6682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1D6682" w:rsidRDefault="001D6682" w:rsidP="001D6682">
            <w:pPr>
              <w:pStyle w:val="Bullet-Blue"/>
              <w:framePr w:hSpace="0" w:wrap="auto" w:vAnchor="margin" w:hAnchor="text" w:xAlign="left" w:yAlign="inline"/>
              <w:tabs>
                <w:tab w:val="clear" w:pos="216"/>
              </w:tabs>
              <w:spacing w:before="60"/>
              <w:ind w:left="-29" w:firstLine="0"/>
              <w:jc w:val="center"/>
              <w:rPr>
                <w:rFonts w:eastAsia="Calibri"/>
                <w:sz w:val="20"/>
                <w:szCs w:val="22"/>
              </w:rPr>
            </w:pPr>
            <w:r w:rsidRPr="001D6682">
              <w:t>$17B in 2017</w:t>
            </w:r>
          </w:p>
        </w:tc>
      </w:tr>
    </w:tbl>
    <w:p w:rsidR="00510D0C" w:rsidRDefault="002D4AE5">
      <w:bookmarkStart w:id="0" w:name="_GoBack"/>
      <w:bookmarkEnd w:id="0"/>
    </w:p>
    <w:p w:rsidR="001D6682" w:rsidRDefault="001D6682"/>
    <w:p w:rsidR="001D6682" w:rsidRDefault="001D6682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1D6682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1D6682" w:rsidRDefault="001D6682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1D6682">
              <w:t>Cloud ‘as-a-Service’ run-rate</w:t>
            </w:r>
          </w:p>
        </w:tc>
      </w:tr>
      <w:tr w:rsidR="001D6682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1D6682" w:rsidRDefault="001D6682" w:rsidP="001D6682">
            <w:pPr>
              <w:pStyle w:val="Bullet-Blue"/>
              <w:framePr w:hSpace="0" w:wrap="auto" w:vAnchor="margin" w:hAnchor="text" w:xAlign="left" w:yAlign="inline"/>
              <w:tabs>
                <w:tab w:val="clear" w:pos="216"/>
              </w:tabs>
              <w:spacing w:before="60"/>
              <w:ind w:left="-29" w:firstLine="0"/>
              <w:jc w:val="center"/>
              <w:rPr>
                <w:rFonts w:eastAsia="Calibri"/>
                <w:sz w:val="20"/>
                <w:szCs w:val="22"/>
              </w:rPr>
            </w:pPr>
            <w:r w:rsidRPr="001D6682">
              <w:t>$10.3B</w:t>
            </w:r>
          </w:p>
        </w:tc>
      </w:tr>
    </w:tbl>
    <w:p w:rsidR="001D6682" w:rsidRDefault="001D6682"/>
    <w:p w:rsidR="001D6682" w:rsidRDefault="001D6682"/>
    <w:p w:rsidR="001D6682" w:rsidRDefault="001D6682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1D6682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1D6682" w:rsidRDefault="001D6682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 xml:space="preserve">IBM Cloud </w:t>
            </w:r>
            <w:r>
              <w:t>Clients Include</w:t>
            </w:r>
          </w:p>
        </w:tc>
      </w:tr>
      <w:tr w:rsidR="001D6682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1D6682" w:rsidRDefault="001D6682" w:rsidP="001D6682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</w:pPr>
            <w:r>
              <w:t>47 of Fortune 50</w:t>
            </w:r>
          </w:p>
          <w:p w:rsidR="001D6682" w:rsidRDefault="001D6682" w:rsidP="001D6682">
            <w:pPr>
              <w:pStyle w:val="ListParagraph"/>
              <w:numPr>
                <w:ilvl w:val="0"/>
                <w:numId w:val="1"/>
              </w:numPr>
              <w:ind w:left="331"/>
              <w:rPr>
                <w:rFonts w:eastAsia="Calibri"/>
              </w:rPr>
            </w:pPr>
            <w:r>
              <w:rPr>
                <w:rFonts w:eastAsia="Calibri"/>
              </w:rPr>
              <w:t>10 of 10 Largest Global Banks</w:t>
            </w:r>
          </w:p>
          <w:p w:rsidR="001D6682" w:rsidRDefault="001D6682" w:rsidP="001D6682">
            <w:pPr>
              <w:pStyle w:val="ListParagraph"/>
              <w:numPr>
                <w:ilvl w:val="0"/>
                <w:numId w:val="1"/>
              </w:numPr>
              <w:ind w:left="331"/>
              <w:rPr>
                <w:rFonts w:eastAsia="Calibri"/>
              </w:rPr>
            </w:pPr>
            <w:r>
              <w:rPr>
                <w:rFonts w:eastAsia="Calibri"/>
              </w:rPr>
              <w:t>9 of 10 Leading Retailers</w:t>
            </w:r>
          </w:p>
          <w:p w:rsidR="001D6682" w:rsidRPr="001D6682" w:rsidRDefault="001D6682" w:rsidP="001D6682">
            <w:pPr>
              <w:pStyle w:val="ListParagraph"/>
              <w:numPr>
                <w:ilvl w:val="0"/>
                <w:numId w:val="1"/>
              </w:numPr>
              <w:ind w:left="331"/>
              <w:rPr>
                <w:rFonts w:eastAsia="Calibri"/>
              </w:rPr>
            </w:pPr>
            <w:r>
              <w:rPr>
                <w:rFonts w:eastAsia="Calibri"/>
              </w:rPr>
              <w:t>8 of 10 Most Traveled Airlines</w:t>
            </w:r>
          </w:p>
        </w:tc>
      </w:tr>
    </w:tbl>
    <w:p w:rsidR="001D6682" w:rsidRDefault="001D6682"/>
    <w:p w:rsidR="001D6682" w:rsidRDefault="001D6682"/>
    <w:p w:rsidR="001D6682" w:rsidRDefault="001D6682"/>
    <w:p w:rsidR="001D6682" w:rsidRDefault="001D6682"/>
    <w:p w:rsidR="001D6682" w:rsidRDefault="001D6682"/>
    <w:p w:rsidR="001D6682" w:rsidRDefault="001D6682"/>
    <w:p w:rsidR="001D6682" w:rsidRDefault="001D6682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1D6682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1D6682" w:rsidRDefault="001D6682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 xml:space="preserve">IBM Cloud: </w:t>
            </w:r>
            <w:r w:rsidRPr="001D6682">
              <w:t>American Airlines</w:t>
            </w:r>
          </w:p>
        </w:tc>
      </w:tr>
      <w:tr w:rsidR="001D6682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DC1E61" w:rsidRDefault="001D6682" w:rsidP="001D6682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1D6682">
              <w:rPr>
                <w:rFonts w:eastAsia="Calibri"/>
                <w:sz w:val="20"/>
                <w:szCs w:val="22"/>
              </w:rPr>
              <w:t xml:space="preserve">Migrated AA.com, Mobile, Kiosk and Cargo apps in 4 months. </w:t>
            </w:r>
          </w:p>
          <w:p w:rsidR="001D6682" w:rsidRDefault="001D6682" w:rsidP="001D6682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1D6682">
              <w:rPr>
                <w:rFonts w:eastAsia="Calibri"/>
                <w:sz w:val="20"/>
                <w:szCs w:val="22"/>
              </w:rPr>
              <w:t>Cut development time for dynamic rebooking from 12+ to 4.5 months.</w:t>
            </w:r>
          </w:p>
        </w:tc>
      </w:tr>
    </w:tbl>
    <w:p w:rsidR="001D6682" w:rsidRDefault="001D6682"/>
    <w:p w:rsidR="001D6682" w:rsidRDefault="001D6682"/>
    <w:p w:rsidR="001D6682" w:rsidRDefault="001D6682"/>
    <w:p w:rsidR="001D6682" w:rsidRDefault="001D6682"/>
    <w:p w:rsidR="001D6682" w:rsidRDefault="001D6682"/>
    <w:p w:rsidR="001D6682" w:rsidRDefault="001D6682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1D6682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1D6682" w:rsidRDefault="001D6682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 xml:space="preserve">IBM Cloud </w:t>
            </w:r>
            <w:r>
              <w:t>: Westpac</w:t>
            </w:r>
          </w:p>
        </w:tc>
      </w:tr>
      <w:tr w:rsidR="001D6682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1D6682" w:rsidRDefault="001D6682" w:rsidP="001D6682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1D6682">
              <w:t>Accelerated journey to cloud with private cloud realizing 10 x speed, and 3 x cost improvement.</w:t>
            </w:r>
          </w:p>
        </w:tc>
      </w:tr>
    </w:tbl>
    <w:p w:rsidR="001D6682" w:rsidRDefault="001D6682"/>
    <w:p w:rsidR="001D6682" w:rsidRDefault="001D6682"/>
    <w:p w:rsidR="001D6682" w:rsidRDefault="001D6682"/>
    <w:p w:rsidR="001D6682" w:rsidRDefault="001D6682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512464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512464" w:rsidRDefault="00512464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 xml:space="preserve">IBM Cloud : </w:t>
            </w:r>
            <w:r>
              <w:t>Hertz</w:t>
            </w:r>
          </w:p>
        </w:tc>
      </w:tr>
      <w:tr w:rsidR="00512464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512464" w:rsidRPr="00512464" w:rsidRDefault="00512464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512464">
              <w:t>App modernization integrates client experience across 5 brands,</w:t>
            </w:r>
            <w:r>
              <w:t xml:space="preserve"> and IBM, AWS and MSFT clouds</w:t>
            </w:r>
          </w:p>
          <w:p w:rsidR="00512464" w:rsidRDefault="00512464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>
              <w:t>R</w:t>
            </w:r>
            <w:r w:rsidRPr="00512464">
              <w:t>ealized highly scalable &amp; available experience with 1.5 B hits, 30 M updates/day.</w:t>
            </w:r>
            <w:r w:rsidRPr="001D6682">
              <w:t>.</w:t>
            </w:r>
          </w:p>
        </w:tc>
      </w:tr>
    </w:tbl>
    <w:p w:rsidR="001D6682" w:rsidRDefault="001D6682"/>
    <w:p w:rsidR="001D6682" w:rsidRDefault="001D6682"/>
    <w:p w:rsidR="001D6682" w:rsidRDefault="001D6682"/>
    <w:p w:rsidR="001D6682" w:rsidRDefault="001D6682"/>
    <w:p w:rsidR="00CE1A7E" w:rsidRDefault="00CE1A7E"/>
    <w:p w:rsidR="00CE1A7E" w:rsidRDefault="00CE1A7E"/>
    <w:p w:rsidR="00CE1A7E" w:rsidRDefault="00CE1A7E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E1A7E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E1A7E" w:rsidRDefault="00CE1A7E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 xml:space="preserve">IBM Cloud </w:t>
            </w:r>
            <w:r w:rsidRPr="00CE1A7E">
              <w:t>Leadership</w:t>
            </w:r>
          </w:p>
        </w:tc>
      </w:tr>
      <w:tr w:rsidR="00CE1A7E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8D7B61" w:rsidRPr="008D7B61" w:rsidRDefault="007B6269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>
              <w:t>1</w:t>
            </w:r>
            <w:r w:rsidR="008D7B61">
              <w:t>,400 VMware clients</w:t>
            </w:r>
          </w:p>
          <w:p w:rsidR="008D7B61" w:rsidRPr="008D7B61" w:rsidRDefault="00CE1A7E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E1A7E">
              <w:t>3000 managed SAP instances</w:t>
            </w:r>
          </w:p>
          <w:p w:rsidR="007B6269" w:rsidRPr="007B6269" w:rsidRDefault="00CE1A7E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E1A7E">
              <w:t>Forrester Leader Salesforce Integrations 2017</w:t>
            </w:r>
          </w:p>
          <w:p w:rsidR="007B6269" w:rsidRPr="007B6269" w:rsidRDefault="00CE1A7E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E1A7E">
              <w:t xml:space="preserve"> </w:t>
            </w:r>
            <w:proofErr w:type="spellStart"/>
            <w:r w:rsidRPr="00CE1A7E">
              <w:t>MarketsandMarkets</w:t>
            </w:r>
            <w:proofErr w:type="spellEnd"/>
            <w:r w:rsidRPr="00CE1A7E">
              <w:t xml:space="preserve"> Leader </w:t>
            </w:r>
            <w:r w:rsidRPr="00CE1A7E">
              <w:lastRenderedPageBreak/>
              <w:t>Cloud Migration Services 2017</w:t>
            </w:r>
          </w:p>
          <w:p w:rsidR="00CE1A7E" w:rsidRDefault="00CE1A7E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E1A7E">
              <w:t xml:space="preserve"> 1900 patents in 2017 alone</w:t>
            </w:r>
            <w:r w:rsidRPr="001D6682">
              <w:t>.</w:t>
            </w:r>
          </w:p>
        </w:tc>
      </w:tr>
    </w:tbl>
    <w:p w:rsidR="00CE1A7E" w:rsidRDefault="00CE1A7E"/>
    <w:p w:rsidR="00CE1A7E" w:rsidRDefault="00CE1A7E"/>
    <w:p w:rsidR="00CE1A7E" w:rsidRDefault="00CE1A7E"/>
    <w:p w:rsidR="00CE1A7E" w:rsidRDefault="00CE1A7E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E1A7E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E1A7E" w:rsidRDefault="00CE1A7E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>IBM Cloud : Westpac</w:t>
            </w:r>
          </w:p>
        </w:tc>
      </w:tr>
      <w:tr w:rsidR="00CE1A7E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E1A7E" w:rsidRDefault="00CE1A7E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1D6682">
              <w:t>Accelerated journey to cloud with private cloud realizing 10 x speed, and 3 x cost improvement.</w:t>
            </w:r>
          </w:p>
        </w:tc>
      </w:tr>
    </w:tbl>
    <w:p w:rsidR="00CE1A7E" w:rsidRDefault="00CE1A7E"/>
    <w:p w:rsidR="00CE1A7E" w:rsidRDefault="00CE1A7E"/>
    <w:p w:rsidR="00CE1A7E" w:rsidRDefault="00CE1A7E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567DB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proofErr w:type="spellStart"/>
            <w:r w:rsidRPr="00C567DB">
              <w:t>Truata</w:t>
            </w:r>
            <w:proofErr w:type="spellEnd"/>
            <w:r w:rsidRPr="00C567DB">
              <w:t xml:space="preserve"> / Mastercard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t>Using analytics and AI on IBM Cloud to fully anonymize data and provides analytic services while complying with GDPR</w:t>
            </w:r>
          </w:p>
        </w:tc>
      </w:tr>
    </w:tbl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567DB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>
              <w:t xml:space="preserve">IBM Cloud: </w:t>
            </w:r>
            <w:r w:rsidRPr="00C567DB">
              <w:t>USAA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t>AI analyzes and understands 3,000+ docs on topics exclusive to military transitions, enabling members to ask and receive answers to questions.</w:t>
            </w:r>
          </w:p>
        </w:tc>
      </w:tr>
    </w:tbl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567DB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567DB">
              <w:t>JPMC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t>Deployed trade surveillance on the IBM Cloud to detect financial crimes, allowing them to stay ahead of regulators &amp; establish foundation for cognitive capabilities.</w:t>
            </w:r>
          </w:p>
        </w:tc>
      </w:tr>
    </w:tbl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567DB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567DB">
              <w:t>Royal Bank of Scotland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t>Watson powered chat bot enables smarter customer service that helps live agents dedicate 2X the time to complex issues.</w:t>
            </w:r>
          </w:p>
        </w:tc>
      </w:tr>
    </w:tbl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567DB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567DB">
              <w:t>Leadership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t>Gartner Leader in Data Science platform 2017</w:t>
            </w:r>
          </w:p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t>IDC Leader in IoT platforms 2017</w:t>
            </w:r>
          </w:p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lastRenderedPageBreak/>
              <w:t>IDC Leader Cognitive/AI Platforms 2017</w:t>
            </w:r>
          </w:p>
        </w:tc>
      </w:tr>
    </w:tbl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567DB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567DB">
              <w:t>SNCF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567DB">
              <w:rPr>
                <w:rFonts w:eastAsia="Calibri"/>
                <w:sz w:val="20"/>
                <w:szCs w:val="22"/>
              </w:rPr>
              <w:t>Uses IBM Cloud IoT to deliver improved customer experience, operational efficiency and enhanced rail safety for 13.5 million daily passengers.</w:t>
            </w:r>
          </w:p>
        </w:tc>
      </w:tr>
    </w:tbl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E15BA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E15BA">
              <w:t>Daimler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E15BA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E15BA">
              <w:rPr>
                <w:rFonts w:eastAsia="Calibri"/>
                <w:sz w:val="20"/>
                <w:szCs w:val="22"/>
              </w:rPr>
              <w:t>World’s first-ever secure end-to- end connected vehicle system, powered by AI, deployed on IBM Cloud.</w:t>
            </w:r>
          </w:p>
        </w:tc>
      </w:tr>
    </w:tbl>
    <w:p w:rsidR="00C567DB" w:rsidRDefault="00C567DB"/>
    <w:p w:rsidR="00C567DB" w:rsidRDefault="00C567DB"/>
    <w:p w:rsidR="00C567DB" w:rsidRDefault="00C567DB"/>
    <w:p w:rsidR="00CE15BA" w:rsidRDefault="00CE15BA"/>
    <w:p w:rsidR="00CE15BA" w:rsidRDefault="00CE15BA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E15BA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E15BA">
              <w:t>ExxonMobil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E15BA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E15BA">
              <w:rPr>
                <w:rFonts w:eastAsia="Calibri"/>
                <w:sz w:val="20"/>
                <w:szCs w:val="22"/>
              </w:rPr>
              <w:t xml:space="preserve">Develop highly scalable, mobile </w:t>
            </w:r>
            <w:proofErr w:type="spellStart"/>
            <w:r w:rsidRPr="00CE15BA">
              <w:rPr>
                <w:rFonts w:eastAsia="Calibri"/>
                <w:sz w:val="20"/>
                <w:szCs w:val="22"/>
              </w:rPr>
              <w:t>Speedpass+TM</w:t>
            </w:r>
            <w:proofErr w:type="spellEnd"/>
            <w:r w:rsidRPr="00CE15BA">
              <w:rPr>
                <w:rFonts w:eastAsia="Calibri"/>
                <w:sz w:val="20"/>
                <w:szCs w:val="22"/>
              </w:rPr>
              <w:t xml:space="preserve"> app available at 11,000+ Exxon &amp; Mobil US gas stations.</w:t>
            </w:r>
          </w:p>
        </w:tc>
      </w:tr>
    </w:tbl>
    <w:p w:rsidR="00C567DB" w:rsidRDefault="00C567DB"/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E15BA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E15BA">
              <w:t xml:space="preserve">Bank of Montreal, </w:t>
            </w:r>
            <w:proofErr w:type="spellStart"/>
            <w:r w:rsidRPr="00CE15BA">
              <w:t>CaixaBank</w:t>
            </w:r>
            <w:proofErr w:type="spellEnd"/>
            <w:r w:rsidRPr="00CE15BA">
              <w:t xml:space="preserve">, Commerzbank, </w:t>
            </w:r>
            <w:proofErr w:type="spellStart"/>
            <w:r w:rsidRPr="00CE15BA">
              <w:t>Erste</w:t>
            </w:r>
            <w:proofErr w:type="spellEnd"/>
            <w:r w:rsidRPr="00CE15BA">
              <w:t xml:space="preserve"> Group, UBS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E15BA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  <w:r w:rsidRPr="00CE15BA">
              <w:rPr>
                <w:rFonts w:eastAsia="Calibri"/>
                <w:sz w:val="20"/>
                <w:szCs w:val="22"/>
              </w:rPr>
              <w:t>build a new global trade platform based on secure blockchain technology.</w:t>
            </w:r>
          </w:p>
        </w:tc>
      </w:tr>
    </w:tbl>
    <w:p w:rsidR="00C567DB" w:rsidRDefault="00C567DB"/>
    <w:p w:rsidR="00C567DB" w:rsidRDefault="00C567DB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E15BA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  <w:r w:rsidRPr="00CE15BA">
              <w:t>Leadership</w:t>
            </w: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E15BA" w:rsidRPr="00CE15BA" w:rsidRDefault="00CE15BA" w:rsidP="00CE15B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rPr>
                <w:rFonts w:eastAsia="Calibri"/>
                <w:sz w:val="20"/>
                <w:szCs w:val="22"/>
              </w:rPr>
            </w:pPr>
            <w:r w:rsidRPr="00CE15BA">
              <w:rPr>
                <w:rFonts w:eastAsia="Calibri"/>
                <w:sz w:val="20"/>
                <w:szCs w:val="22"/>
              </w:rPr>
              <w:t>Forrester Leader Security Analytics Platforms 2017;</w:t>
            </w:r>
          </w:p>
          <w:p w:rsidR="00C567DB" w:rsidRDefault="00CE15BA" w:rsidP="00CE15B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rPr>
                <w:rFonts w:eastAsia="Calibri"/>
                <w:sz w:val="20"/>
                <w:szCs w:val="22"/>
              </w:rPr>
            </w:pPr>
            <w:r w:rsidRPr="00CE15BA">
              <w:rPr>
                <w:rFonts w:eastAsia="Calibri"/>
                <w:sz w:val="20"/>
                <w:szCs w:val="22"/>
              </w:rPr>
              <w:t>Gartner Leader Security Intelligence &amp; Managed Security Services 2018</w:t>
            </w:r>
          </w:p>
        </w:tc>
      </w:tr>
    </w:tbl>
    <w:p w:rsidR="00C567DB" w:rsidRDefault="00C567DB"/>
    <w:p w:rsidR="00C567DB" w:rsidRDefault="00C567DB"/>
    <w:p w:rsidR="00C567DB" w:rsidRDefault="00C567DB"/>
    <w:p w:rsidR="00CE15BA" w:rsidRDefault="00CE15BA"/>
    <w:p w:rsidR="00C567DB" w:rsidRDefault="00C567DB"/>
    <w:p w:rsidR="00C567DB" w:rsidRDefault="00C567DB"/>
    <w:tbl>
      <w:tblPr>
        <w:tblStyle w:val="TableGrid1"/>
        <w:tblpPr w:leftFromText="187" w:vertAnchor="text" w:horzAnchor="margin" w:tblpXSpec="right" w:tblpY="32"/>
        <w:tblW w:w="2783" w:type="dxa"/>
        <w:tblBorders>
          <w:top w:val="single" w:sz="4" w:space="0" w:color="1067B2"/>
          <w:left w:val="single" w:sz="4" w:space="0" w:color="1067B2"/>
          <w:bottom w:val="single" w:sz="4" w:space="0" w:color="1067B2"/>
          <w:right w:val="single" w:sz="4" w:space="0" w:color="1067B2"/>
          <w:insideH w:val="single" w:sz="4" w:space="0" w:color="1067B2"/>
          <w:insideV w:val="single" w:sz="4" w:space="0" w:color="0683B9"/>
        </w:tblBorders>
        <w:shd w:val="clear" w:color="auto" w:fill="D9D9D9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67DB" w:rsidTr="005E556A">
        <w:trPr>
          <w:trHeight w:val="350"/>
        </w:trPr>
        <w:tc>
          <w:tcPr>
            <w:tcW w:w="2783" w:type="dxa"/>
            <w:tcBorders>
              <w:top w:val="single" w:sz="4" w:space="0" w:color="1067B2"/>
              <w:left w:val="single" w:sz="4" w:space="0" w:color="1067B2"/>
              <w:bottom w:val="single" w:sz="4" w:space="0" w:color="5378B3"/>
              <w:right w:val="single" w:sz="4" w:space="0" w:color="1067B2"/>
            </w:tcBorders>
            <w:shd w:val="clear" w:color="auto" w:fill="5478B3"/>
            <w:vAlign w:val="center"/>
            <w:hideMark/>
          </w:tcPr>
          <w:p w:rsidR="00C567DB" w:rsidRDefault="00C567DB" w:rsidP="005E556A">
            <w:pPr>
              <w:pStyle w:val="BulletMainTitle"/>
              <w:framePr w:hSpace="0" w:wrap="auto" w:vAnchor="margin" w:hAnchor="text" w:xAlign="left" w:yAlign="inline"/>
              <w:ind w:right="0"/>
            </w:pPr>
          </w:p>
        </w:tc>
      </w:tr>
      <w:tr w:rsidR="00C567DB" w:rsidTr="005E556A">
        <w:trPr>
          <w:trHeight w:val="439"/>
        </w:trPr>
        <w:tc>
          <w:tcPr>
            <w:tcW w:w="2783" w:type="dxa"/>
            <w:tcBorders>
              <w:top w:val="single" w:sz="4" w:space="0" w:color="5378B3"/>
              <w:left w:val="single" w:sz="4" w:space="0" w:color="5378B3"/>
              <w:bottom w:val="single" w:sz="4" w:space="0" w:color="5378B3"/>
              <w:right w:val="single" w:sz="4" w:space="0" w:color="5378B3"/>
            </w:tcBorders>
            <w:shd w:val="clear" w:color="auto" w:fill="auto"/>
            <w:hideMark/>
          </w:tcPr>
          <w:p w:rsidR="00C567DB" w:rsidRDefault="00C567DB" w:rsidP="005E556A">
            <w:pPr>
              <w:pStyle w:val="Bullet-Blue"/>
              <w:framePr w:hSpace="0" w:wrap="auto" w:vAnchor="margin" w:hAnchor="text" w:xAlign="left" w:yAlign="inline"/>
              <w:numPr>
                <w:ilvl w:val="0"/>
                <w:numId w:val="1"/>
              </w:numPr>
              <w:spacing w:before="60"/>
              <w:ind w:left="331"/>
              <w:rPr>
                <w:rFonts w:eastAsia="Calibri"/>
                <w:sz w:val="20"/>
                <w:szCs w:val="22"/>
              </w:rPr>
            </w:pPr>
          </w:p>
        </w:tc>
      </w:tr>
    </w:tbl>
    <w:p w:rsidR="00C567DB" w:rsidRDefault="00C567DB"/>
    <w:sectPr w:rsidR="00C567DB" w:rsidSect="0064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7102A"/>
    <w:multiLevelType w:val="hybridMultilevel"/>
    <w:tmpl w:val="D814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2"/>
    <w:rsid w:val="001D6682"/>
    <w:rsid w:val="002D4AE5"/>
    <w:rsid w:val="00512464"/>
    <w:rsid w:val="005C265A"/>
    <w:rsid w:val="00645F80"/>
    <w:rsid w:val="007B6269"/>
    <w:rsid w:val="008D7B61"/>
    <w:rsid w:val="00C567DB"/>
    <w:rsid w:val="00CE15BA"/>
    <w:rsid w:val="00CE1A7E"/>
    <w:rsid w:val="00D33BFB"/>
    <w:rsid w:val="00DC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E05A"/>
  <w15:chartTrackingRefBased/>
  <w15:docId w15:val="{6F1C9C3C-8D53-3D4B-8B44-3BCD7B98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682"/>
    <w:pPr>
      <w:spacing w:before="80" w:after="8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Blue">
    <w:name w:val="Bullet - Blue"/>
    <w:next w:val="Normal"/>
    <w:rsid w:val="001D6682"/>
    <w:pPr>
      <w:framePr w:hSpace="187" w:wrap="around" w:vAnchor="text" w:hAnchor="margin" w:xAlign="right" w:y="58"/>
      <w:widowControl w:val="0"/>
      <w:tabs>
        <w:tab w:val="num" w:pos="216"/>
      </w:tabs>
      <w:snapToGrid w:val="0"/>
      <w:ind w:left="216" w:hanging="216"/>
    </w:pPr>
    <w:rPr>
      <w:rFonts w:ascii="Arial Narrow" w:eastAsia="Times New Roman" w:hAnsi="Arial Narrow" w:cs="Times New Roman"/>
      <w:sz w:val="18"/>
      <w:szCs w:val="20"/>
    </w:rPr>
  </w:style>
  <w:style w:type="character" w:customStyle="1" w:styleId="BulletMainTitleChar">
    <w:name w:val="Bullet Main Title Char"/>
    <w:basedOn w:val="DefaultParagraphFont"/>
    <w:link w:val="BulletMainTitle"/>
    <w:locked/>
    <w:rsid w:val="001D6682"/>
    <w:rPr>
      <w:rFonts w:ascii="Arial Narrow" w:hAnsi="Arial Narrow"/>
      <w:b/>
      <w:color w:val="FFFFFF"/>
      <w:sz w:val="18"/>
    </w:rPr>
  </w:style>
  <w:style w:type="paragraph" w:customStyle="1" w:styleId="BulletMainTitle">
    <w:name w:val="Bullet Main Title"/>
    <w:basedOn w:val="Normal"/>
    <w:link w:val="BulletMainTitleChar"/>
    <w:rsid w:val="001D6682"/>
    <w:pPr>
      <w:framePr w:hSpace="187" w:wrap="around" w:vAnchor="text" w:hAnchor="margin" w:xAlign="right" w:y="1"/>
      <w:snapToGrid w:val="0"/>
      <w:ind w:left="-90" w:right="-86"/>
      <w:jc w:val="center"/>
    </w:pPr>
    <w:rPr>
      <w:rFonts w:ascii="Arial Narrow" w:eastAsiaTheme="minorHAnsi" w:hAnsi="Arial Narrow" w:cstheme="minorBidi"/>
      <w:b/>
      <w:color w:val="FFFFFF"/>
      <w:sz w:val="18"/>
    </w:rPr>
  </w:style>
  <w:style w:type="table" w:customStyle="1" w:styleId="TableGrid1">
    <w:name w:val="Table Grid1"/>
    <w:basedOn w:val="TableNormal"/>
    <w:rsid w:val="001D668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8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Spaloss</dc:creator>
  <cp:keywords/>
  <dc:description/>
  <cp:lastModifiedBy>Matthew Spaloss</cp:lastModifiedBy>
  <cp:revision>5</cp:revision>
  <dcterms:created xsi:type="dcterms:W3CDTF">2018-09-06T17:46:00Z</dcterms:created>
  <dcterms:modified xsi:type="dcterms:W3CDTF">2018-09-06T19:39:00Z</dcterms:modified>
</cp:coreProperties>
</file>