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right"/>
        <w:spacing w:after="0"/>
      </w:pPr>
      <w:r>
        <w:drawing>
          <wp:inline>
            <wp:extent cx="1371600" cy="320040"/>
            <wp:docPr id="1" name="Picture 1"/>
            <wp:cNvGraphicFramePr>
              <a:graphicFrameLocks noChangeAspect="1"/>
            </wp:cNvGraphicFramePr>
            <a:graphic>
              <a:graphicData uri="http://schemas.openxmlformats.org/drawingml/2006/picture">
                <pic:pic>
                  <pic:nvPicPr>
                    <pic:cNvPr id="0" name="caffrey-logo.png"/>
                    <pic:cNvPicPr/>
                  </pic:nvPicPr>
                  <pic:blipFill>
                    <a:blip r:embed="rId9"/>
                    <a:stretch>
                      <a:fillRect/>
                    </a:stretch>
                  </pic:blipFill>
                  <pic:spPr>
                    <a:xfrm>
                      <a:off x="0" y="0"/>
                      <a:ext cx="1371600" cy="320040"/>
                    </a:xfrm>
                    <a:prstGeom prst="rect"/>
                  </pic:spPr>
                </pic:pic>
              </a:graphicData>
            </a:graphic>
          </wp:inline>
        </w:drawing>
      </w:r>
    </w:p>
    <w:p>
      <w:pPr>
        <w:jc w:val="right"/>
        <w:spacing w:before="60" w:after="0"/>
      </w:pPr>
      <w:r>
        <w:rPr>
          <w:sz w:val="18"/>
          <w:szCs w:val="18"/>
          <w:b/>
          <w:color w:val="888888"/>
          <w:rFonts w:ascii="Pretendard" w:hAnsi="Pretendard"/>
        </w:rPr>
        <w:t xml:space="preserve">PRIVILEGED &amp; CONFIDENTIAL</w:t>
      </w:r>
    </w:p>
    <w:p>
      <w:pPr>
        <w:spacing w:before="600" w:after="60"/>
      </w:pPr>
      <w:r>
        <w:rPr>
          <w:sz w:val="48"/>
          <w:szCs w:val="48"/>
          <w:color w:val="1C1C1C"/>
          <w:rFonts w:ascii="Instrument Serif" w:hAnsi="Instrument Serif"/>
        </w:rPr>
        <w:t xml:space="preserve">Inventory of Federal Board-of-Directors Obligations for Category I G-SIB Holding Companies and Their Insured Depository Institution Subsidiaries: A Cross-Regulator Map of Duplicative, Overlapping, and Cumulatively Burdensome Mandates</w:t>
      </w:r>
    </w:p>
    <w:p>
      <w:pPr>
        <w:spacing w:before="60" w:after="560"/>
      </w:pPr>
      <w:r>
        <w:rPr>
          <w:sz w:val="20"/>
          <w:szCs w:val="20"/>
          <w:color w:val="888888"/>
          <w:rFonts w:ascii="Pretendard" w:hAnsi="Pretendard"/>
        </w:rPr>
        <w:t xml:space="preserve">June 24, 2026</w:t>
      </w:r>
    </w:p>
    <w:p>
      <w:pPr>
        <w:pStyle w:val="FirstParagraph"/>
      </w:pPr>
      <w:r>
        <w:rPr>
          <w:b/>
          <w:bCs/>
        </w:rPr>
        <w:t xml:space="preserve">PRIVILEGED &amp; CONFIDENTIAL</w:t>
      </w:r>
    </w:p>
    <w:p>
      <w:pPr>
        <w:pStyle w:val="BodyText"/>
      </w:pPr>
      <w:r>
        <w:rPr>
          <w:i/>
          <w:iCs/>
        </w:rPr>
        <w:t xml:space="preserve">Law stated as current through June 24, 2026.</w:t>
      </w:r>
    </w:p>
    <w:bookmarkStart w:id="20" w:name="introduction"/>
    <w:p>
      <w:pPr>
        <w:pStyle w:val="Heading2"/>
      </w:pPr>
      <w:r>
        <w:t xml:space="preserve">Introduction</w:t>
      </w:r>
    </w:p>
    <w:p>
      <w:pPr>
        <w:pStyle w:val="FirstParagraph"/>
      </w:pPr>
      <w:r>
        <w:t xml:space="preserve">The boards of directors of the largest U.S. banking organizations operate at the apex of a regulatory architecture in which four prudential and securities regulators — the Federal Reserve, OCC, FDIC, and SEC (the latter in its capacity as regulator of publicly listed issuers), supplemented by the CFPB’s consumer-protection jurisdiction — each impose board-level governance duties on the same enterprise. Those duties do not emanate from a single statute or unified rulebook. They are layered across primary statutes, implementing regulations codified throughout Titles 12 and 17 of the Code of Federal Regulations, and an extensive overlay of supervisory guidance carrying varying degrees of enforceability. The architecture is characterized by deliberate redundancy: the same underlying governance objective — safe and sound operation, compliance with law, independence from holding-company influence, accountability to depositors and regulators — is reinforced through multiple, parallel regulatory vehicles.</w:t>
      </w:r>
    </w:p>
    <w:p>
      <w:pPr>
        <w:pStyle w:val="BodyText"/>
      </w:pPr>
      <w:r>
        <w:t xml:space="preserve">This memorandum compiles a granular, citation-by-citation inventory of the principal federal obligations imposed on the boards of directors of Category I Global Systemically Important Bank (G-SIB) holding companies and their insured depository institution (IDI) subsidiaries, spanning every functional domain subject to heightened prudential standards: enterprise risk governance, capital planning and stress testing, liquidity, credit risk, internal audit, BSA/AML, information technology and cybersecurity, third-party risk, executive and incentive compensation, consumer protection and compliance management, and recovery and resolution planning. It also catalogs board composition and qualification requirements, mandatory and expected committee structures, SEC and exchange listing obligations, model risk governance, and the fiduciary-duty, enforcement, and personal-liability regime. The inventory is organized topically and built around obligation-level matrices, with prose serving as connective tissue and cross-cutting diagnosis. Each section flags where the same governance objective is pursued through multiple regulatory vehicles, and the final section synthesizes those overlaps into a master cross-regulator map and a tiered reform pathway.</w:t>
      </w:r>
    </w:p>
    <w:p>
      <w:pPr>
        <w:pStyle w:val="BodyText"/>
      </w:pPr>
      <w:r>
        <w:t xml:space="preserve">The scope is federal only; state corporate-governance law is out of scope. Several sections include, for completeness and cross-reference, obligations applicable to foreign banking organizations (FBOs), U.S. intermediate holding companies (IHCs), and savings and loan holding companies (SLHCs); those items are expressly labeled out-of-scope for a domestic Category I U.S. GSIB BHC and its IDI subsidiaries and should be disregarded by readers conducting domestic-GSIB burden-reduction analysis. Section 18 catalogs personal-liability and enforcement obligations that run to individual directors rather than to the board as a governance body; those items are included because they bear directly on the risk calculus of board service but are analytically distinct from the board-level governance obligations in Sections 1 through 17. Counsel should verify the currency and specific application of each authority before acting, particularly given the unusual number of proposed, pending-amendment, withdrawn, and recently rescinded items captured below.</w:t>
      </w:r>
    </w:p>
    <w:bookmarkEnd w:id="20"/>
    <w:bookmarkStart w:id="21" w:name="executive-summary"/>
    <w:p>
      <w:pPr>
        <w:pStyle w:val="Heading2"/>
      </w:pPr>
      <w:r>
        <w:t xml:space="preserve">Executive Summary</w:t>
      </w:r>
    </w:p>
    <w:p>
      <w:pPr>
        <w:numPr>
          <w:ilvl w:val="0"/>
          <w:numId w:val="1001"/>
        </w:numPr>
      </w:pPr>
      <w:r>
        <w:rPr>
          <w:b/>
          <w:bCs/>
        </w:rPr>
        <w:t xml:space="preserve">The dominant structural pattern is vertical duplication across entity tiers.</w:t>
      </w:r>
      <w:r>
        <w:t xml:space="preserve"> </w:t>
      </w:r>
      <w:r>
        <w:t xml:space="preserve">Nearly every board-level governance objective — capital, liquidity, credit, risk appetite, BSA/AML, IT, audit, compliance — is imposed once at the holding-company level by the Federal Reserve (Dodd-Frank §165 / Regulation YY) and again at the IDI level by the OCC (12 CFR Part 30, Appendix D) and/or FDIC. A Category I G-SIB therefore discharges substantively parallel approve-oversee-report-resource duties at both board tiers.</w:t>
      </w:r>
    </w:p>
    <w:p>
      <w:pPr>
        <w:numPr>
          <w:ilvl w:val="0"/>
          <w:numId w:val="1001"/>
        </w:numPr>
      </w:pPr>
      <w:r>
        <w:rPr>
          <w:b/>
          <w:bCs/>
        </w:rPr>
        <w:t xml:space="preserve">A recurring four-step governance template multiplies nominal mandates.</w:t>
      </w:r>
      <w:r>
        <w:t xml:space="preserve"> </w:t>
      </w:r>
      <w:r>
        <w:t xml:space="preserve">Across every functional domain, each regulator requires the board to (1) approve a written framework, (2) oversee implementation, (3) receive periodic reporting, and (4) ensure resourcing and independent challenge. Replicated domain-by-domain and regulator-by-regulator, this produces dozens of separately documented, separately examined board actions per year addressing a small number of underlying governance behaviors.</w:t>
      </w:r>
    </w:p>
    <w:p>
      <w:pPr>
        <w:numPr>
          <w:ilvl w:val="0"/>
          <w:numId w:val="1001"/>
        </w:numPr>
      </w:pPr>
      <w:r>
        <w:rPr>
          <w:b/>
          <w:bCs/>
        </w:rPr>
        <w:t xml:space="preserve">The audit committee is the single most heavily overlapping board function</w:t>
      </w:r>
      <w:r>
        <w:t xml:space="preserve">, governed simultaneously by FDIA §36 / FDIC Part 363, OCC heightened standards, Federal Reserve guidance, and SEA §10A / NYSE listing standards — four regulators prescribing overlapping and in places materially different composition and duty standards for one committee.</w:t>
      </w:r>
    </w:p>
    <w:p>
      <w:pPr>
        <w:numPr>
          <w:ilvl w:val="0"/>
          <w:numId w:val="1001"/>
        </w:numPr>
      </w:pPr>
      <w:r>
        <w:rPr>
          <w:b/>
          <w:bCs/>
        </w:rPr>
        <w:t xml:space="preserve">The risk-appetite/risk-framework objective is triplicated</w:t>
      </w:r>
      <w:r>
        <w:t xml:space="preserve"> </w:t>
      </w:r>
      <w:r>
        <w:t xml:space="preserve">through Federal Reserve board-effectiveness guidance (SR 21-3) and the LFI rating, the OCC heightened standards, and the §165/Regulation YY risk-committee mandate.</w:t>
      </w:r>
    </w:p>
    <w:p>
      <w:pPr>
        <w:numPr>
          <w:ilvl w:val="0"/>
          <w:numId w:val="1001"/>
        </w:numPr>
      </w:pPr>
      <w:r>
        <w:rPr>
          <w:b/>
          <w:bCs/>
        </w:rPr>
        <w:t xml:space="preserve">A significant deregulatory trend is underway.</w:t>
      </w:r>
      <w:r>
        <w:t xml:space="preserve"> </w:t>
      </w:r>
      <w:r>
        <w:t xml:space="preserve">The OCC has rescinded its bank-level recovery-planning Guidelines (12 CFR Part 30, Appendix E); the OCC has proposed raising the heightened-standards threshold from $50 billion to $700 billion; the agencies have issued updated model risk management guidance; and the OCC has removed reputation risk from its supervisory framework. The FDIC’s 2023 corporate-governance proposal has been withdrawn, and the Dodd-Frank §956 incentive-compensation rule remains an unfinalized proposal.</w:t>
      </w:r>
    </w:p>
    <w:p>
      <w:pPr>
        <w:numPr>
          <w:ilvl w:val="0"/>
          <w:numId w:val="1001"/>
        </w:numPr>
      </w:pPr>
      <w:r>
        <w:rPr>
          <w:b/>
          <w:bCs/>
        </w:rPr>
        <w:t xml:space="preserve">Reform feasibility is tiered by legal instrument.</w:t>
      </w:r>
      <w:r>
        <w:t xml:space="preserve"> </w:t>
      </w:r>
      <w:r>
        <w:t xml:space="preserve">The lowest-cost, highest-yield consolidations lie in the supervisory-guidance layer (the 2023 joint Interagency Third-Party Risk Management Guidance is the existing model); rule-level harmonization requires notice-and-comment and a choice of prevailing standard; and statutorily anchored overlaps (§165, the BSA, Part 363, SEC compensation-governance listing standards) require legislation.</w:t>
      </w:r>
    </w:p>
    <w:p>
      <w:pPr>
        <w:numPr>
          <w:ilvl w:val="0"/>
          <w:numId w:val="1001"/>
        </w:numPr>
      </w:pPr>
      <w:r>
        <w:rPr>
          <w:b/>
          <w:bCs/>
        </w:rPr>
        <w:t xml:space="preserve">Not all apparent duplication is surplusage.</w:t>
      </w:r>
      <w:r>
        <w:t xml:space="preserve"> </w:t>
      </w:r>
      <w:r>
        <w:t xml:space="preserve">The HC/IDI vertical duplication reflects a genuine division of supervisory labor with a deposit-insurance rationale; divergent audit-committee independence and incident-notification standards require selection of a prevailing standard rather than mere deletion.</w:t>
      </w:r>
    </w:p>
    <w:bookmarkEnd w:id="21"/>
    <w:bookmarkStart w:id="77" w:name="X2747ab65fc9035956d60c355945fa79991250c4"/>
    <w:p>
      <w:pPr>
        <w:pStyle w:val="Heading2"/>
      </w:pPr>
      <w:r>
        <w:t xml:space="preserve">Section 1: Statutory and Regulatory Architecture: Foundational Authority for G-SIB Board Obligations</w:t>
      </w:r>
    </w:p>
    <w:bookmarkStart w:id="28" w:name="Xd23cedf941938b9b3165d41ebfb41dfcebdc77b"/>
    <w:p>
      <w:pPr>
        <w:pStyle w:val="Heading3"/>
      </w:pPr>
      <w:r>
        <w:t xml:space="preserve">1.1 The Foundational Duty: Ultimate Oversight Responsibility for Safety, Soundness, and Legal Compliance</w:t>
      </w:r>
    </w:p>
    <w:p>
      <w:pPr>
        <w:pStyle w:val="FirstParagraph"/>
      </w:pPr>
      <w:r>
        <w:t xml:space="preserve">The cornerstone obligation — from which virtually every functional duty in this memorandum descends — is the board’s nondelegable ultimate responsibility for the safe and sound operation of the banking organization and its compliance with applicable law. The Federal Reserve states it directly: the board has ultimate oversight responsibility to ensure that the banking organization operates in a safe and sound manner and in compliance with applicable laws and regulations (</w:t>
      </w:r>
      <w:hyperlink r:id="rId22">
        <w:r>
          <w:rPr>
            <w:rStyle w:val="Hyperlink"/>
            <w:color w:val="0645AD"/>
            <w:u w:val="single"/>
          </w:rPr>
          <w:t xml:space="preserve">Interagency Guidance on Third-Party Relationships: Risk Management</w:t>
        </w:r>
      </w:hyperlink>
      <w:r>
        <w:t xml:space="preserve">). The OCC frames the duty in identical substance: although the board may delegate the bank’s daily managerial duties to others, the board is ultimately responsible for providing the appropriate oversight to ensure that the bank operates in a safe and sound manner and in compliance with applicable laws and regulations (</w:t>
      </w:r>
      <w:hyperlink r:id="rId23">
        <w:r>
          <w:rPr>
            <w:rStyle w:val="Hyperlink"/>
            <w:color w:val="0645AD"/>
            <w:u w:val="single"/>
          </w:rPr>
          <w:t xml:space="preserve">OCC Bulletin 2017-43: New, Modified, or Expanded Bank Products and Services</w:t>
        </w:r>
      </w:hyperlink>
      <w:r>
        <w:t xml:space="preserve">).</w:t>
      </w:r>
    </w:p>
    <w:p>
      <w:pPr>
        <w:pStyle w:val="BodyText"/>
      </w:pPr>
      <w:r>
        <w:t xml:space="preserve">The non-delegability principle is reinforced through multiple vehicles. The Federal Reserve’s examination manual provides that boards</w:t>
      </w:r>
      <w:r>
        <w:t xml:space="preserve"> </w:t>
      </w:r>
      <w:r>
        <w:t xml:space="preserve">“</w:t>
      </w:r>
      <w:r>
        <w:t xml:space="preserve">cannot delegate ultimate responsibility for unsound policies</w:t>
      </w:r>
      <w:r>
        <w:t xml:space="preserve">”</w:t>
      </w:r>
      <w:r>
        <w:t xml:space="preserve"> </w:t>
      </w:r>
      <w:r>
        <w:t xml:space="preserve">and</w:t>
      </w:r>
      <w:r>
        <w:t xml:space="preserve"> </w:t>
      </w:r>
      <w:r>
        <w:t xml:space="preserve">“</w:t>
      </w:r>
      <w:r>
        <w:t xml:space="preserve">must maintain independence from management influence</w:t>
      </w:r>
      <w:r>
        <w:t xml:space="preserve">”</w:t>
      </w:r>
      <w:r>
        <w:t xml:space="preserve"> </w:t>
      </w:r>
      <w:r>
        <w:t xml:space="preserve">(</w:t>
      </w:r>
      <w:hyperlink r:id="rId24">
        <w:r>
          <w:rPr>
            <w:rStyle w:val="Hyperlink"/>
            <w:color w:val="0645AD"/>
            <w:u w:val="single"/>
          </w:rPr>
          <w:t xml:space="preserve">Federal Reserve Commercial Bank Examination Manual 4000</w:t>
        </w:r>
      </w:hyperlink>
      <w:r>
        <w:t xml:space="preserve">). The OCC’s licensing manual states that</w:t>
      </w:r>
      <w:r>
        <w:t xml:space="preserve"> </w:t>
      </w:r>
      <w:r>
        <w:t xml:space="preserve">“</w:t>
      </w:r>
      <w:r>
        <w:t xml:space="preserve">the board of directors of a bank may not delegate responsibility for its duties, but may entrust the day-to-day bank operations to bank management</w:t>
      </w:r>
      <w:r>
        <w:t xml:space="preserve">”</w:t>
      </w:r>
      <w:r>
        <w:t xml:space="preserve"> </w:t>
      </w:r>
      <w:r>
        <w:t xml:space="preserve">(</w:t>
      </w:r>
      <w:hyperlink r:id="rId25">
        <w:r>
          <w:rPr>
            <w:rStyle w:val="Hyperlink"/>
            <w:color w:val="0645AD"/>
            <w:u w:val="single"/>
          </w:rPr>
          <w:t xml:space="preserve">OCC Comptroller’s Licensing Manual</w:t>
        </w:r>
      </w:hyperlink>
      <w:r>
        <w:t xml:space="preserve">). For Federal stock savings associations, this is codified as a positive directive: the business and affairs of the association must be under the direction of its board of directors (</w:t>
      </w:r>
      <w:hyperlink r:id="rId26">
        <w:r>
          <w:rPr>
            <w:rStyle w:val="Hyperlink"/>
            <w:color w:val="0645AD"/>
            <w:u w:val="single"/>
          </w:rPr>
          <w:t xml:space="preserve">OCC Rule 5.22(l)(1)</w:t>
        </w:r>
      </w:hyperlink>
      <w:r>
        <w:t xml:space="preserve">), with the corollary that delegation of authority</w:t>
      </w:r>
      <w:r>
        <w:t xml:space="preserve"> </w:t>
      </w:r>
      <w:r>
        <w:t xml:space="preserve">“</w:t>
      </w:r>
      <w:r>
        <w:t xml:space="preserve">does not operate to relieve the board of directors, or any director, of any responsibility imposed by law or regulation</w:t>
      </w:r>
      <w:r>
        <w:t xml:space="preserve">”</w:t>
      </w:r>
      <w:r>
        <w:t xml:space="preserve"> </w:t>
      </w:r>
      <w:r>
        <w:t xml:space="preserve">(</w:t>
      </w:r>
      <w:hyperlink r:id="rId26">
        <w:r>
          <w:rPr>
            <w:rStyle w:val="Hyperlink"/>
            <w:color w:val="0645AD"/>
            <w:u w:val="single"/>
          </w:rPr>
          <w:t xml:space="preserve">OCC Rule 5.22(l)(7)</w:t>
        </w:r>
      </w:hyperlink>
      <w:r>
        <w:t xml:space="preserve">). The duty of care underpinning these obligations requires directors to act in good faith, with the level of care an ordinarily prudent person would exercise, acquiring sufficient knowledge of material facts, examining available information, and actively participating in decision-making (</w:t>
      </w:r>
      <w:hyperlink r:id="rId27">
        <w:r>
          <w:rPr>
            <w:rStyle w:val="Hyperlink"/>
            <w:color w:val="0645AD"/>
            <w:u w:val="single"/>
          </w:rPr>
          <w:t xml:space="preserve">OCC Director’s Book (12 CFR 163.33)</w:t>
        </w:r>
      </w:hyperlink>
      <w:r>
        <w:t xml:space="preserve">).</w:t>
      </w:r>
    </w:p>
    <w:p>
      <w:pPr>
        <w:pStyle w:val="BodyText"/>
      </w:pPr>
      <w:r>
        <w:t xml:space="preserve">This single objective — safe and sound operation in compliance with law — is thus mandated through at least five distinct vehicles (a Federal Reserve rule preamble, an OCC bulletin, two examination/handbook manuals, and a savings-association regulation), illustrating the cumulative-burden pattern this memorandum surfaces.</w:t>
      </w:r>
    </w:p>
    <w:bookmarkEnd w:id="28"/>
    <w:bookmarkStart w:id="47" w:name="X5f7ea6be17910fc84b9dca5c5fd191497ab0249"/>
    <w:p>
      <w:pPr>
        <w:pStyle w:val="Heading3"/>
      </w:pPr>
      <w:r>
        <w:t xml:space="preserve">1.2 Enumerated Statutory and Regulatory Sources of Board Authority and Obligation</w:t>
      </w:r>
    </w:p>
    <w:p>
      <w:pPr>
        <w:pStyle w:val="FirstParagraph"/>
      </w:pPr>
      <w:r>
        <w:t xml:space="preserve">The following matrix fixes the source authority for the foundational board obligations by functional domain; domain-specific implementing detail is developed in the sections that follow.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Functional Domain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Discrete Board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&amp; Citation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Regulator</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 committee for publicly traded BHCs with $50B+ consolidated assets, responsible for oversight of enterprise-wide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DFA §165(h);</w:t>
            </w:r>
            <w:r>
              <w:t xml:space="preserve"> </w:t>
            </w:r>
            <w:hyperlink r:id="rId29">
              <w:r>
                <w:rPr>
                  <w:rStyle w:val="Hyperlink"/>
                  <w:color w:val="0645AD"/>
                  <w:u w:val="single"/>
                </w:rPr>
                <w:t xml:space="preserve">83 FR 61408, 59055</w:t>
              </w:r>
            </w:hyperlink>
            <w:r>
              <w:t xml:space="preserve">;</w:t>
            </w:r>
            <w:r>
              <w:t xml:space="preserve"> </w:t>
            </w:r>
            <w:hyperlink r:id="rId30">
              <w:r>
                <w:rPr>
                  <w:rStyle w:val="Hyperlink"/>
                  <w:color w:val="0645AD"/>
                  <w:u w:val="single"/>
                </w:rPr>
                <w:t xml:space="preserve">84 FR 59036</w:t>
              </w:r>
            </w:hyperlink>
            <w:r>
              <w:t xml:space="preserve">;</w:t>
            </w:r>
            <w:r>
              <w:t xml:space="preserve"> </w:t>
            </w:r>
            <w:hyperlink r:id="rId31">
              <w:r>
                <w:rPr>
                  <w:rStyle w:val="Hyperlink"/>
                  <w:color w:val="0645AD"/>
                  <w:u w:val="single"/>
                </w:rPr>
                <w:t xml:space="preserve">79 FR 17239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Risk-committee requirement applies to any publicly traded or privately held BHC or covered SLHC with $50B+ assets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0">
              <w:r>
                <w:rPr>
                  <w:rStyle w:val="Hyperlink"/>
                  <w:color w:val="0645AD"/>
                  <w:u w:val="single"/>
                </w:rPr>
                <w:t xml:space="preserve">84 FR 59056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to approve strategy, policies, capital planning, and key committees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4">
              <w:r>
                <w:rPr>
                  <w:rStyle w:val="Hyperlink"/>
                  <w:color w:val="0645AD"/>
                  <w:u w:val="single"/>
                </w:rPr>
                <w:t xml:space="preserve">Fed Commercial Bank Examination Manual 4000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Board/committees to maintain articulated corporate strategy and risk appetite; set direction for revenue, risk management, control functions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2">
              <w:r>
                <w:rPr>
                  <w:rStyle w:val="Hyperlink"/>
                  <w:color w:val="0645AD"/>
                  <w:u w:val="single"/>
                </w:rPr>
                <w:t xml:space="preserve">SR 12-17 §A.2.a</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to possess capacity, expertise, and sufficient information to discharge risk oversight regardless of organizational structure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3">
              <w:r>
                <w:rPr>
                  <w:rStyle w:val="Hyperlink"/>
                  <w:color w:val="0645AD"/>
                  <w:u w:val="single"/>
                </w:rPr>
                <w:t xml:space="preserve">90 FR 31641, p. 31659 (proposed)</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Foreign banking org / IHC</w:t>
            </w:r>
            <w:r>
              <w:t xml:space="preserve"> </w:t>
            </w:r>
            <w:r>
              <w:rPr>
                <w:b/>
                <w:bCs/>
              </w:rPr>
              <w:t xml:space="preserve">(out-of-scope for domestic GSIB)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IHC must establish and maintain a board risk committee meeting quarterly, fully documenting proceedings, with a risk-expert member and an independent member</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59113-59114</w:t>
              </w:r>
            </w:hyperlink>
            <w:r>
              <w:t xml:space="preserve">; § 252.155(a)(3)(i)</w:t>
            </w:r>
            <w:r>
              <w:t xml:space="preserve"> </w:t>
            </w:r>
            <w:hyperlink r:id="rId30">
              <w:r>
                <w:rPr>
                  <w:rStyle w:val="Hyperlink"/>
                  <w:color w:val="0645AD"/>
                  <w:u w:val="single"/>
                </w:rPr>
                <w:t xml:space="preserve">84 FR 59116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Foreign banking org / IHC</w:t>
            </w:r>
            <w:r>
              <w:t xml:space="preserve"> </w:t>
            </w:r>
            <w:r>
              <w:rPr>
                <w:b/>
                <w:bCs/>
              </w:rPr>
              <w:t xml:space="preserve">(out-of-scope for domestic GSIB)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 must maintain a U.S. risk committee approving/reviewing risk-management policies and overseeing the framework of combined U.S. operations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4">
              <w:r>
                <w:rPr>
                  <w:rStyle w:val="Hyperlink"/>
                  <w:color w:val="0645AD"/>
                  <w:u w:val="single"/>
                </w:rPr>
                <w:t xml:space="preserve">79 FR 17326(a)(1)</w:t>
              </w:r>
            </w:hyperlink>
            <w:r>
              <w:t xml:space="preserve">;</w:t>
            </w:r>
            <w:r>
              <w:t xml:space="preserve"> </w:t>
            </w:r>
            <w:hyperlink r:id="rId34">
              <w:r>
                <w:rPr>
                  <w:rStyle w:val="Hyperlink"/>
                  <w:color w:val="0645AD"/>
                  <w:u w:val="single"/>
                </w:rPr>
                <w:t xml:space="preserve">79 FR 17317(d)</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Foreign banking org / IHC</w:t>
            </w:r>
            <w:r>
              <w:t xml:space="preserve"> </w:t>
            </w:r>
            <w:r>
              <w:rPr>
                <w:b/>
                <w:bCs/>
              </w:rPr>
              <w:t xml:space="preserve">(out-of-scope for domestic GSIB)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IHC governed by a board with rights/powers/duties equivalent to a U.S.-chartered corporation’s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4">
              <w:r>
                <w:rPr>
                  <w:rStyle w:val="Hyperlink"/>
                  <w:color w:val="0645AD"/>
                  <w:u w:val="single"/>
                </w:rPr>
                <w:t xml:space="preserve">79 FR 17324(a)(2)(ii)</w:t>
              </w:r>
            </w:hyperlink>
            <w:r>
              <w:t xml:space="preserve">;</w:t>
            </w:r>
            <w:r>
              <w:t xml:space="preserve"> </w:t>
            </w:r>
            <w:hyperlink r:id="rId35">
              <w:r>
                <w:rPr>
                  <w:rStyle w:val="Hyperlink"/>
                  <w:color w:val="0645AD"/>
                  <w:u w:val="single"/>
                </w:rPr>
                <w:t xml:space="preserve">FRS Rule 252.147(a)(2)(ii)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Resolution / recoupment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 of a covered financial company held to negligence standard to avoid</w:t>
            </w:r>
            <w:r>
              <w:t xml:space="preserve"> </w:t>
            </w:r>
            <w:r>
              <w:t xml:space="preserve">“</w:t>
            </w:r>
            <w:r>
              <w:t xml:space="preserve">substantially responsible</w:t>
            </w:r>
            <w:r>
              <w:t xml:space="preserve">”</w:t>
            </w:r>
            <w:r>
              <w:t xml:space="preserve">; bears burden of proof in §210(s) recoupment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5390 (§210(s));</w:t>
            </w:r>
            <w:r>
              <w:t xml:space="preserve"> </w:t>
            </w:r>
            <w:hyperlink r:id="rId36">
              <w:r>
                <w:rPr>
                  <w:rStyle w:val="Hyperlink"/>
                  <w:color w:val="0645AD"/>
                  <w:u w:val="single"/>
                </w:rPr>
                <w:t xml:space="preserve">FDIC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Capital / financial strength</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BHC must serve as source of financial strength for any subsidiary IDI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1831o-1(a);</w:t>
            </w:r>
            <w:r>
              <w:t xml:space="preserve"> </w:t>
            </w:r>
            <w:hyperlink r:id="rId37">
              <w:r>
                <w:rPr>
                  <w:rStyle w:val="Hyperlink"/>
                  <w:color w:val="0645AD"/>
                  <w:u w:val="single"/>
                </w:rPr>
                <w:t xml:space="preserve">govinfo</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Fed/OCC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Safety &amp; soundness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File compliance plan within 30 days of agency request upon failure to meet safety-and-soundness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1831p-1(e)(1)(A);</w:t>
            </w:r>
            <w:r>
              <w:t xml:space="preserve"> </w:t>
            </w:r>
            <w:hyperlink r:id="rId38">
              <w:r>
                <w:rPr>
                  <w:rStyle w:val="Hyperlink"/>
                  <w:color w:val="0645AD"/>
                  <w:u w:val="single"/>
                </w:rPr>
                <w:t xml:space="preserve">FDIC FIL-95-49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FBAs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Safety &amp; soundness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Correct deficiency by agency order if acceptable plan not submitted or not implemented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1831p-1(e)(2);</w:t>
            </w:r>
            <w:r>
              <w:t xml:space="preserve"> </w:t>
            </w:r>
            <w:hyperlink r:id="rId39">
              <w:r>
                <w:rPr>
                  <w:rStyle w:val="Hyperlink"/>
                  <w:color w:val="0645AD"/>
                  <w:u w:val="single"/>
                </w:rPr>
                <w:t xml:space="preserve">govinfo</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FBAs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Internal audit / audit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audit committee of outside directors independent of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§36(g)(1)(A);</w:t>
            </w:r>
            <w:r>
              <w:t xml:space="preserve"> </w:t>
            </w:r>
            <w:hyperlink r:id="rId40">
              <w:r>
                <w:rPr>
                  <w:rStyle w:val="Hyperlink"/>
                  <w:color w:val="0645AD"/>
                  <w:u w:val="single"/>
                </w:rPr>
                <w:t xml:space="preserve">caffrey.ai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Internal audit / audit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Audit committee to review with management and independent accountant the basis for financial statements, internal control reports, and audit reports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§36(g)(1)(B);</w:t>
            </w:r>
            <w:r>
              <w:t xml:space="preserve"> </w:t>
            </w:r>
            <w:hyperlink r:id="rId40">
              <w:r>
                <w:rPr>
                  <w:rStyle w:val="Hyperlink"/>
                  <w:color w:val="0645AD"/>
                  <w:u w:val="single"/>
                </w:rPr>
                <w:t xml:space="preserve">caffrey.ai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Internal audit / Part 363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Comply with audit-committee composition and reporting/notice requirements; ongoing compliance once asset thresholds exceeded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1">
              <w:r>
                <w:rPr>
                  <w:rStyle w:val="Hyperlink"/>
                  <w:color w:val="0645AD"/>
                  <w:u w:val="single"/>
                </w:rPr>
                <w:t xml:space="preserve">90 FR 55789, §363.6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Financial holding company status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BHC and each IDI subsidiary must be</w:t>
            </w:r>
            <w:r>
              <w:t xml:space="preserve"> </w:t>
            </w:r>
            <w:r>
              <w:t xml:space="preserve">“</w:t>
            </w:r>
            <w:r>
              <w:t xml:space="preserve">well capitalized</w:t>
            </w:r>
            <w:r>
              <w:t xml:space="preserve">”</w:t>
            </w:r>
            <w:r>
              <w:t xml:space="preserve"> </w:t>
            </w:r>
            <w:r>
              <w:t xml:space="preserve">and</w:t>
            </w:r>
            <w:r>
              <w:t xml:space="preserve"> </w:t>
            </w:r>
            <w:r>
              <w:t xml:space="preserve">“</w:t>
            </w:r>
            <w:r>
              <w:t xml:space="preserve">well managed</w:t>
            </w:r>
            <w:r>
              <w:t xml:space="preserve">”</w:t>
            </w:r>
            <w:r>
              <w:t xml:space="preserve"> </w:t>
            </w:r>
            <w:r>
              <w:t xml:space="preserve">to qualify as FHC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3">
              <w:r>
                <w:rPr>
                  <w:rStyle w:val="Hyperlink"/>
                  <w:color w:val="0645AD"/>
                  <w:u w:val="single"/>
                </w:rPr>
                <w:t xml:space="preserve">90 FR 31641, p. 31648 (proposed)</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Concentration limit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Financial company may not acquire control of another company if combined liabilities would exceed 10% of aggregate financial-company liabilities, absent exception and Board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1852(b);</w:t>
            </w:r>
            <w:r>
              <w:t xml:space="preserve"> </w:t>
            </w:r>
            <w:hyperlink r:id="rId42">
              <w:r>
                <w:rPr>
                  <w:rStyle w:val="Hyperlink"/>
                  <w:color w:val="0645AD"/>
                  <w:u w:val="single"/>
                </w:rPr>
                <w:t xml:space="preserve">COMPS-252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Affiliate transactions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Most transactions with affiliates on terms substantially the same as comparable nonaffiliate transactions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3">
              <w:r>
                <w:rPr>
                  <w:rStyle w:val="Hyperlink"/>
                  <w:color w:val="0645AD"/>
                  <w:u w:val="single"/>
                </w:rPr>
                <w:t xml:space="preserve">12 CFR Part 223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BSA/AML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Establish/maintain procedures reasonably designed to assure and monitor compliance with monetary-transaction recordkeeping/reporting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§8(s)(1);</w:t>
            </w:r>
            <w:r>
              <w:t xml:space="preserve"> </w:t>
            </w:r>
            <w:hyperlink r:id="rId44">
              <w:r>
                <w:rPr>
                  <w:rStyle w:val="Hyperlink"/>
                  <w:color w:val="0645AD"/>
                  <w:u w:val="single"/>
                </w:rPr>
                <w:t xml:space="preserve">caffrey.ai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FBAs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Reporting / attestation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At least two directors (other than declaring officer) must attest to correctness of each report of condition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§7(a)(3);</w:t>
            </w:r>
            <w:r>
              <w:t xml:space="preserve"> </w:t>
            </w:r>
            <w:hyperlink r:id="rId45">
              <w:r>
                <w:rPr>
                  <w:rStyle w:val="Hyperlink"/>
                  <w:color w:val="0645AD"/>
                  <w:u w:val="single"/>
                </w:rPr>
                <w:t xml:space="preserve">caffrey.ai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Supervisory accountability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Directors review and sign the OCC report of examination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 App. 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 / audit integrity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Officers and directors prohibited from coercing, manipulating, misleading, or fraudulently influencing the issuer’s auditor</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 U.S.C. 78j-1;</w:t>
            </w:r>
            <w:r>
              <w:t xml:space="preserve"> </w:t>
            </w:r>
            <w:hyperlink r:id="rId46">
              <w:r>
                <w:rPr>
                  <w:rStyle w:val="Hyperlink"/>
                  <w:color w:val="0645AD"/>
                  <w:u w:val="single"/>
                </w:rPr>
                <w:t xml:space="preserve">SEC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bookmarkEnd w:id="47"/>
    <w:bookmarkStart w:id="49" w:name="X166aece879bf0f32ca5b96618fa644257aafbd2"/>
    <w:p>
      <w:pPr>
        <w:pStyle w:val="Heading3"/>
      </w:pPr>
      <w:r>
        <w:t xml:space="preserve">1.3 Risk Governance: The Central Enterprise-Wide Mandate</w:t>
      </w:r>
    </w:p>
    <w:p>
      <w:pPr>
        <w:pStyle w:val="FirstParagraph"/>
      </w:pPr>
      <w:r>
        <w:rPr>
          <w:b/>
          <w:bCs/>
        </w:rPr>
        <w:t xml:space="preserve">Scope note on FBO/IHC/SLHC content.</w:t>
      </w:r>
      <w:r>
        <w:t xml:space="preserve"> </w:t>
      </w:r>
      <w:r>
        <w:t xml:space="preserve">Sections 1.3, 2.7, 5, 6, and 15.1 include obligations applicable to foreign banking organizations (FBOs), U.S. intermediate holding companies (IHCs), and savings and loan holding companies (SLHCs). Those obligations are included for completeness and cross-reference but are</w:t>
      </w:r>
      <w:r>
        <w:t xml:space="preserve"> </w:t>
      </w:r>
      <w:r>
        <w:rPr>
          <w:b/>
          <w:bCs/>
        </w:rPr>
        <w:t xml:space="preserve">not obligations of a domestic Category I U.S. GSIB BHC or its IDI subsidiaries</w:t>
      </w:r>
      <w:r>
        <w:t xml:space="preserve">. Readers conducting burden-reduction analysis focused on a domestic GSIB should treat FBO/IHC/SLHC entries as out-of-scope and rely only on the BHC and IDI rows.</w:t>
      </w:r>
    </w:p>
    <w:p>
      <w:pPr>
        <w:pStyle w:val="BodyText"/>
      </w:pPr>
      <w:r>
        <w:t xml:space="preserve">The principal codified enterprise-risk obligation for a Category I G-SIB holding company is the statutory risk committee. Section 165(h) of the Dodd-Frank Act requires certain publicly traded bank holding companies to establish a risk committee</w:t>
      </w:r>
      <w:r>
        <w:t xml:space="preserve"> </w:t>
      </w:r>
      <w:r>
        <w:t xml:space="preserve">“</w:t>
      </w:r>
      <w:r>
        <w:t xml:space="preserve">responsible for the oversight of the enterprise-wide risk management practices</w:t>
      </w:r>
      <w:r>
        <w:t xml:space="preserve">”</w:t>
      </w:r>
      <w:r>
        <w:t xml:space="preserve"> </w:t>
      </w:r>
      <w:r>
        <w:t xml:space="preserve">(</w:t>
      </w:r>
      <w:hyperlink r:id="rId29">
        <w:r>
          <w:rPr>
            <w:rStyle w:val="Hyperlink"/>
            <w:color w:val="0645AD"/>
            <w:u w:val="single"/>
          </w:rPr>
          <w:t xml:space="preserve">83 FR 61408, 59055</w:t>
        </w:r>
      </w:hyperlink>
      <w:r>
        <w:t xml:space="preserve">). The Board mandates this committee for publicly traded BHCs with $50 billion or more in total consolidated assets (</w:t>
      </w:r>
      <w:hyperlink r:id="rId30">
        <w:r>
          <w:rPr>
            <w:rStyle w:val="Hyperlink"/>
            <w:color w:val="0645AD"/>
            <w:u w:val="single"/>
          </w:rPr>
          <w:t xml:space="preserve">84 FR 59036</w:t>
        </w:r>
      </w:hyperlink>
      <w:r>
        <w:t xml:space="preserve">), and the implementing rule extends the requirement to any publicly traded or privately held BHC or covered SLHC at that threshold (</w:t>
      </w:r>
      <w:hyperlink r:id="rId30">
        <w:r>
          <w:rPr>
            <w:rStyle w:val="Hyperlink"/>
            <w:color w:val="0645AD"/>
            <w:u w:val="single"/>
          </w:rPr>
          <w:t xml:space="preserve">84 FR 59056</w:t>
        </w:r>
      </w:hyperlink>
      <w:r>
        <w:t xml:space="preserve">); the same requirement appears in the Board’s enhanced-prudential-standards rule (</w:t>
      </w:r>
      <w:hyperlink r:id="rId31">
        <w:r>
          <w:rPr>
            <w:rStyle w:val="Hyperlink"/>
            <w:color w:val="0645AD"/>
            <w:u w:val="single"/>
          </w:rPr>
          <w:t xml:space="preserve">79 FR 17239</w:t>
        </w:r>
      </w:hyperlink>
      <w:r>
        <w:t xml:space="preserve">).</w:t>
      </w:r>
    </w:p>
    <w:p>
      <w:pPr>
        <w:pStyle w:val="BodyText"/>
      </w:pPr>
      <w:r>
        <w:t xml:space="preserve">For a foreign-owned Category I G-SIB structured through a U.S. intermediate holding company (IHC), the risk-committee architecture is materially more granular. A U.S. IHC must establish and maintain a risk committee that approves and periodically reviews risk-management policies and oversees the framework; the committee must meet at least quarterly, fully document its proceedings, include at least one member experienced in identifying, assessing, and managing risk exposures of large, complex financial firms, and include at least one independent member (</w:t>
      </w:r>
      <w:hyperlink r:id="rId29">
        <w:r>
          <w:rPr>
            <w:rStyle w:val="Hyperlink"/>
            <w:color w:val="0645AD"/>
            <w:u w:val="single"/>
          </w:rPr>
          <w:t xml:space="preserve">83 FR 61408, 59113-59114</w:t>
        </w:r>
      </w:hyperlink>
      <w:r>
        <w:t xml:space="preserve">). An FBO operating solely through an IHC must maintain its U.S. risk committee as a committee of the IHC’s board (</w:t>
      </w:r>
      <w:hyperlink r:id="rId30">
        <w:r>
          <w:rPr>
            <w:rStyle w:val="Hyperlink"/>
            <w:color w:val="0645AD"/>
            <w:u w:val="single"/>
          </w:rPr>
          <w:t xml:space="preserve">84 FR 59116</w:t>
        </w:r>
      </w:hyperlink>
      <w:r>
        <w:t xml:space="preserve">). Separately, an FBO subject to Part 252 must maintain a U.S. risk committee that approves and periodically reviews the risk-management policies of its combined U.S. operations (</w:t>
      </w:r>
      <w:hyperlink r:id="rId34">
        <w:r>
          <w:rPr>
            <w:rStyle w:val="Hyperlink"/>
            <w:color w:val="0645AD"/>
            <w:u w:val="single"/>
          </w:rPr>
          <w:t xml:space="preserve">79 FR 17326(a)(1)</w:t>
        </w:r>
      </w:hyperlink>
      <w:r>
        <w:t xml:space="preserve">) and supply that committee sufficient information (</w:t>
      </w:r>
      <w:hyperlink r:id="rId34">
        <w:r>
          <w:rPr>
            <w:rStyle w:val="Hyperlink"/>
            <w:color w:val="0645AD"/>
            <w:u w:val="single"/>
          </w:rPr>
          <w:t xml:space="preserve">79 FR 17317(d)</w:t>
        </w:r>
      </w:hyperlink>
      <w:r>
        <w:t xml:space="preserve">). The IHC must additionally be governed by a board with rights, powers, privileges, duties, and responsibilities equivalent to those of a board of a U.S.-chartered corporation (</w:t>
      </w:r>
      <w:hyperlink r:id="rId34">
        <w:r>
          <w:rPr>
            <w:rStyle w:val="Hyperlink"/>
            <w:color w:val="0645AD"/>
            <w:u w:val="single"/>
          </w:rPr>
          <w:t xml:space="preserve">79 FR 17324(a)(2)(ii)</w:t>
        </w:r>
      </w:hyperlink>
      <w:r>
        <w:t xml:space="preserve">); the codified counterpart at</w:t>
      </w:r>
      <w:r>
        <w:t xml:space="preserve"> </w:t>
      </w:r>
      <w:hyperlink r:id="rId35">
        <w:r>
          <w:rPr>
            <w:rStyle w:val="Hyperlink"/>
            <w:color w:val="0645AD"/>
            <w:u w:val="single"/>
          </w:rPr>
          <w:t xml:space="preserve">FRS Rule 252.147(a)(2)(ii)</w:t>
        </w:r>
      </w:hyperlink>
      <w:r>
        <w:t xml:space="preserve"> </w:t>
      </w:r>
      <w:r>
        <w:t xml:space="preserve">carries a pending amendment.</w:t>
      </w:r>
    </w:p>
    <w:p>
      <w:pPr>
        <w:pStyle w:val="BodyText"/>
      </w:pPr>
      <w:r>
        <w:t xml:space="preserve">Supervisory guidance overlays these mandates with broader expectations: under the consolidated-supervision framework, the board and its committees should maintain a clearly articulated corporate strategy and institutional risk appetite (</w:t>
      </w:r>
      <w:hyperlink r:id="rId32">
        <w:r>
          <w:rPr>
            <w:rStyle w:val="Hyperlink"/>
            <w:color w:val="0645AD"/>
            <w:u w:val="single"/>
          </w:rPr>
          <w:t xml:space="preserve">SR 12-17 §A.2.a</w:t>
        </w:r>
      </w:hyperlink>
      <w:r>
        <w:t xml:space="preserve">) and approve strategy, policies, capital planning, and key committees (</w:t>
      </w:r>
      <w:hyperlink r:id="rId24">
        <w:r>
          <w:rPr>
            <w:rStyle w:val="Hyperlink"/>
            <w:color w:val="0645AD"/>
            <w:u w:val="single"/>
          </w:rPr>
          <w:t xml:space="preserve">Fed Commercial Bank Examination Manual 4000</w:t>
        </w:r>
      </w:hyperlink>
      <w:r>
        <w:t xml:space="preserve">). The OCC’s heightened-standards regime supplies the parallel framework for covered banks: the board should evaluate and approve the strategic plan at least annually (</w:t>
      </w:r>
      <w:hyperlink r:id="rId48">
        <w:r>
          <w:rPr>
            <w:rStyle w:val="Hyperlink"/>
            <w:color w:val="0645AD"/>
            <w:u w:val="single"/>
          </w:rPr>
          <w:t xml:space="preserve">79 FR 54532-54533</w:t>
        </w:r>
      </w:hyperlink>
      <w:r>
        <w:t xml:space="preserve">); appoint a CEO and appoint or approve a Chief Audit Executive and Chief Risk Executive(s) (</w:t>
      </w:r>
      <w:hyperlink r:id="rId48">
        <w:r>
          <w:rPr>
            <w:rStyle w:val="Hyperlink"/>
            <w:color w:val="0645AD"/>
            <w:u w:val="single"/>
          </w:rPr>
          <w:t xml:space="preserve">79 FR 54520</w:t>
        </w:r>
      </w:hyperlink>
      <w:r>
        <w:t xml:space="preserve">); and each director should exercise sound, independent judgment (</w:t>
      </w:r>
      <w:hyperlink r:id="rId48">
        <w:r>
          <w:rPr>
            <w:rStyle w:val="Hyperlink"/>
            <w:color w:val="0645AD"/>
            <w:u w:val="single"/>
          </w:rPr>
          <w:t xml:space="preserve">12 CFR 163.33, §III.C</w:t>
        </w:r>
      </w:hyperlink>
      <w:r>
        <w:t xml:space="preserve">). A covered bank may use its parent’s framework in its entirety only if the framework meets the minimum standards and the risk profiles of parent and bank are</w:t>
      </w:r>
      <w:r>
        <w:t xml:space="preserve"> </w:t>
      </w:r>
      <w:r>
        <w:rPr>
          <w:i/>
          <w:iCs/>
        </w:rPr>
        <w:t xml:space="preserve">substantially the same</w:t>
      </w:r>
      <w:r>
        <w:t xml:space="preserve"> </w:t>
      </w:r>
      <w:r>
        <w:t xml:space="preserve">(</w:t>
      </w:r>
      <w:hyperlink r:id="rId48">
        <w:r>
          <w:rPr>
            <w:rStyle w:val="Hyperlink"/>
            <w:color w:val="0645AD"/>
            <w:u w:val="single"/>
          </w:rPr>
          <w:t xml:space="preserve">79 FR 54520</w:t>
        </w:r>
      </w:hyperlink>
      <w:r>
        <w:t xml:space="preserve">).</w:t>
      </w:r>
    </w:p>
    <w:bookmarkEnd w:id="49"/>
    <w:bookmarkStart w:id="50" w:name="X275cf7e3507b80f86cf78fa6e6bde4afc491cb6"/>
    <w:p>
      <w:pPr>
        <w:pStyle w:val="Heading3"/>
      </w:pPr>
      <w:r>
        <w:t xml:space="preserve">1.4 Capital, Source of Strength, and Concentration</w:t>
      </w:r>
    </w:p>
    <w:p>
      <w:pPr>
        <w:pStyle w:val="FirstParagraph"/>
      </w:pPr>
      <w:r>
        <w:t xml:space="preserve">A Category I G-SIB holding company must serve as a source of financial strength for any subsidiary depository institution (</w:t>
      </w:r>
      <w:hyperlink r:id="rId37">
        <w:r>
          <w:rPr>
            <w:rStyle w:val="Hyperlink"/>
            <w:color w:val="0645AD"/>
            <w:u w:val="single"/>
          </w:rPr>
          <w:t xml:space="preserve">12 U.S.C. 1831o-1(a)</w:t>
        </w:r>
      </w:hyperlink>
      <w:r>
        <w:t xml:space="preserve">). At the systemic level, a financial company may not merge with, acquire substantially all the assets of, or acquire control of another company if its total consolidated</w:t>
      </w:r>
      <w:r>
        <w:t xml:space="preserve"> </w:t>
      </w:r>
      <w:r>
        <w:rPr>
          <w:i/>
          <w:iCs/>
        </w:rPr>
        <w:t xml:space="preserve">liabilities</w:t>
      </w:r>
      <w:r>
        <w:t xml:space="preserve"> </w:t>
      </w:r>
      <w:r>
        <w:t xml:space="preserve">would exceed 10 percent of the aggregate consolidated liabilities of all financial companies, absent a qualifying exception and the Board’s prior written consent (</w:t>
      </w:r>
      <w:hyperlink r:id="rId42">
        <w:r>
          <w:rPr>
            <w:rStyle w:val="Hyperlink"/>
            <w:color w:val="0645AD"/>
            <w:u w:val="single"/>
          </w:rPr>
          <w:t xml:space="preserve">12 U.S.C. 1852(b)</w:t>
        </w:r>
      </w:hyperlink>
      <w:r>
        <w:t xml:space="preserve">). The</w:t>
      </w:r>
      <w:r>
        <w:t xml:space="preserve"> </w:t>
      </w:r>
      <w:r>
        <w:t xml:space="preserve">“</w:t>
      </w:r>
      <w:r>
        <w:t xml:space="preserve">well capitalized</w:t>
      </w:r>
      <w:r>
        <w:t xml:space="preserve">”</w:t>
      </w:r>
      <w:r>
        <w:t xml:space="preserve"> </w:t>
      </w:r>
      <w:r>
        <w:t xml:space="preserve">and</w:t>
      </w:r>
      <w:r>
        <w:t xml:space="preserve"> </w:t>
      </w:r>
      <w:r>
        <w:t xml:space="preserve">“</w:t>
      </w:r>
      <w:r>
        <w:t xml:space="preserve">well managed</w:t>
      </w:r>
      <w:r>
        <w:t xml:space="preserve">”</w:t>
      </w:r>
      <w:r>
        <w:t xml:space="preserve"> </w:t>
      </w:r>
      <w:r>
        <w:t xml:space="preserve">FHC-qualification requirement appears in</w:t>
      </w:r>
      <w:r>
        <w:t xml:space="preserve"> </w:t>
      </w:r>
      <w:r>
        <w:rPr>
          <w:b/>
          <w:bCs/>
        </w:rPr>
        <w:t xml:space="preserve">proposed</w:t>
      </w:r>
      <w:r>
        <w:t xml:space="preserve"> </w:t>
      </w:r>
      <w:r>
        <w:t xml:space="preserve">form at</w:t>
      </w:r>
      <w:r>
        <w:t xml:space="preserve"> </w:t>
      </w:r>
      <w:hyperlink r:id="rId33">
        <w:r>
          <w:rPr>
            <w:rStyle w:val="Hyperlink"/>
            <w:color w:val="0645AD"/>
            <w:u w:val="single"/>
          </w:rPr>
          <w:t xml:space="preserve">90 FR 31641, p. 31648</w:t>
        </w:r>
      </w:hyperlink>
      <w:r>
        <w:t xml:space="preserve">.</w:t>
      </w:r>
    </w:p>
    <w:bookmarkEnd w:id="50"/>
    <w:bookmarkStart w:id="51" w:name="safety-and-soundness-compliance-plans"/>
    <w:p>
      <w:pPr>
        <w:pStyle w:val="Heading3"/>
      </w:pPr>
      <w:r>
        <w:t xml:space="preserve">1.5 Safety-and-Soundness Compliance Plans</w:t>
      </w:r>
    </w:p>
    <w:p>
      <w:pPr>
        <w:pStyle w:val="FirstParagraph"/>
      </w:pPr>
      <w:r>
        <w:t xml:space="preserve">Where the appropriate Federal banking agency determines that an IDI fails to meet a safety-and-soundness standard prescribed by regulation, the agency shall require submission of an acceptable corrective plan; where prescribed by guideline, the agency may require a plan (</w:t>
      </w:r>
      <w:hyperlink r:id="rId39">
        <w:r>
          <w:rPr>
            <w:rStyle w:val="Hyperlink"/>
            <w:color w:val="0645AD"/>
            <w:u w:val="single"/>
          </w:rPr>
          <w:t xml:space="preserve">12 U.S.C. 1831p-1(e)(1)(A)</w:t>
        </w:r>
      </w:hyperlink>
      <w:r>
        <w:t xml:space="preserve">). The plan must be filed within 30 days of the request (</w:t>
      </w:r>
      <w:hyperlink r:id="rId38">
        <w:r>
          <w:rPr>
            <w:rStyle w:val="Hyperlink"/>
            <w:color w:val="0645AD"/>
            <w:u w:val="single"/>
          </w:rPr>
          <w:t xml:space="preserve">FDIC FIL-95-49</w:t>
        </w:r>
      </w:hyperlink>
      <w:r>
        <w:t xml:space="preserve">). If the institution fails to submit or materially implement a plan, the agency must by order require correction (</w:t>
      </w:r>
      <w:hyperlink r:id="rId39">
        <w:r>
          <w:rPr>
            <w:rStyle w:val="Hyperlink"/>
            <w:color w:val="0645AD"/>
            <w:u w:val="single"/>
          </w:rPr>
          <w:t xml:space="preserve">12 U.S.C. 1831p-1(e)(2)</w:t>
        </w:r>
      </w:hyperlink>
      <w:r>
        <w:t xml:space="preserve">).</w:t>
      </w:r>
    </w:p>
    <w:bookmarkEnd w:id="51"/>
    <w:bookmarkStart w:id="52" w:name="Xe1d174a213ebd74c985d80fa125ae15c1f73a26"/>
    <w:p>
      <w:pPr>
        <w:pStyle w:val="Heading3"/>
      </w:pPr>
      <w:r>
        <w:t xml:space="preserve">1.6 Internal Audit, Audit Committee, and Auditor Integrity</w:t>
      </w:r>
    </w:p>
    <w:p>
      <w:pPr>
        <w:pStyle w:val="FirstParagraph"/>
      </w:pPr>
      <w:r>
        <w:t xml:space="preserve">Each IDI subject to FDIA §36 must have an independent audit committee composed entirely of outside directors independent of management (</w:t>
      </w:r>
      <w:hyperlink r:id="rId40">
        <w:r>
          <w:rPr>
            <w:rStyle w:val="Hyperlink"/>
            <w:color w:val="0645AD"/>
            <w:u w:val="single"/>
          </w:rPr>
          <w:t xml:space="preserve">FDIA §36(g)(1)(A)</w:t>
        </w:r>
      </w:hyperlink>
      <w:r>
        <w:t xml:space="preserve">), whose duties must include reviewing the basis for the annual financial statements, internal-control reports, and independent-audit reports (</w:t>
      </w:r>
      <w:hyperlink r:id="rId40">
        <w:r>
          <w:rPr>
            <w:rStyle w:val="Hyperlink"/>
            <w:color w:val="0645AD"/>
            <w:u w:val="single"/>
          </w:rPr>
          <w:t xml:space="preserve">FDIA §36(g)(1)(B)</w:t>
        </w:r>
      </w:hyperlink>
      <w:r>
        <w:t xml:space="preserve">). Part 363 imposes audit-committee composition and reporting/notice requirements that continue once asset thresholds are exceeded (</w:t>
      </w:r>
      <w:hyperlink r:id="rId41">
        <w:r>
          <w:rPr>
            <w:rStyle w:val="Hyperlink"/>
            <w:color w:val="0645AD"/>
            <w:u w:val="single"/>
          </w:rPr>
          <w:t xml:space="preserve">90 FR 55789, §363.6</w:t>
        </w:r>
      </w:hyperlink>
      <w:r>
        <w:t xml:space="preserve">). Because a Category I G-SIB holding company is a publicly listed issuer, the auditor-integrity prohibition is also a discrete board obligation: directors and officers may not coerce, manipulate, mislead, or fraudulently influence the auditor where they knew or should have known the action could render the financial statements materially misleading (</w:t>
      </w:r>
      <w:hyperlink r:id="rId46">
        <w:r>
          <w:rPr>
            <w:rStyle w:val="Hyperlink"/>
            <w:color w:val="0645AD"/>
            <w:u w:val="single"/>
          </w:rPr>
          <w:t xml:space="preserve">15 U.S.C. 78j-1</w:t>
        </w:r>
      </w:hyperlink>
      <w:r>
        <w:t xml:space="preserve">).</w:t>
      </w:r>
    </w:p>
    <w:bookmarkEnd w:id="52"/>
    <w:bookmarkStart w:id="54" w:name="X34be9fda245f59077611e2ba536acc0617e550b"/>
    <w:p>
      <w:pPr>
        <w:pStyle w:val="Heading3"/>
      </w:pPr>
      <w:r>
        <w:t xml:space="preserve">1.7 Reporting, Attestation, and Supervisory Accountability</w:t>
      </w:r>
    </w:p>
    <w:p>
      <w:pPr>
        <w:pStyle w:val="FirstParagraph"/>
      </w:pPr>
      <w:r>
        <w:t xml:space="preserve">The correctness of each report of condition must be attested by at least two directors other than the declaring officer (</w:t>
      </w:r>
      <w:hyperlink r:id="rId45">
        <w:r>
          <w:rPr>
            <w:rStyle w:val="Hyperlink"/>
            <w:color w:val="0645AD"/>
            <w:u w:val="single"/>
          </w:rPr>
          <w:t xml:space="preserve">FDIA §7(a)(3)</w:t>
        </w:r>
      </w:hyperlink>
      <w:r>
        <w:t xml:space="preserve">); the OCC’s chartering framework requires three directors for a national bank and two for a federal savings association (OCC Director’s Book, p. 1 (explanatory; the binding attestation floor is FDIA §7(a)(3))). Whenever a change in control occurs, each IDI must promptly report any change of its CEO or any director (</w:t>
      </w:r>
      <w:hyperlink r:id="rId45">
        <w:r>
          <w:rPr>
            <w:rStyle w:val="Hyperlink"/>
            <w:color w:val="0645AD"/>
            <w:u w:val="single"/>
          </w:rPr>
          <w:t xml:space="preserve">FDIA §7(12)</w:t>
        </w:r>
      </w:hyperlink>
      <w:r>
        <w:t xml:space="preserve">). Directors review and sign the OCC’s report of examination (</w:t>
      </w:r>
      <w:hyperlink r:id="rId25">
        <w:r>
          <w:rPr>
            <w:rStyle w:val="Hyperlink"/>
            <w:color w:val="0645AD"/>
            <w:u w:val="single"/>
          </w:rPr>
          <w:t xml:space="preserve">OCC Comptroller’s Licensing Manual, App. C</w:t>
        </w:r>
      </w:hyperlink>
      <w:r>
        <w:t xml:space="preserve">), and banks must receive a full-scope, on-site examination every 12 or 18 months (</w:t>
      </w:r>
      <w:hyperlink r:id="rId27">
        <w:r>
          <w:rPr>
            <w:rStyle w:val="Hyperlink"/>
            <w:color w:val="0645AD"/>
            <w:u w:val="single"/>
          </w:rPr>
          <w:t xml:space="preserve">12 CFR 4.6</w:t>
        </w:r>
      </w:hyperlink>
      <w:r>
        <w:t xml:space="preserve">). The OCC’s</w:t>
      </w:r>
      <w:r>
        <w:t xml:space="preserve"> </w:t>
      </w:r>
      <w:r>
        <w:rPr>
          <w:b/>
          <w:bCs/>
        </w:rPr>
        <w:t xml:space="preserve">proposed</w:t>
      </w:r>
      <w:r>
        <w:t xml:space="preserve"> </w:t>
      </w:r>
      <w:r>
        <w:t xml:space="preserve">revisions at</w:t>
      </w:r>
      <w:r>
        <w:t xml:space="preserve"> </w:t>
      </w:r>
      <w:hyperlink r:id="rId53">
        <w:r>
          <w:rPr>
            <w:rStyle w:val="Hyperlink"/>
            <w:color w:val="0645AD"/>
            <w:u w:val="single"/>
          </w:rPr>
          <w:t xml:space="preserve">91 FR 7163</w:t>
        </w:r>
      </w:hyperlink>
      <w:r>
        <w:t xml:space="preserve"> </w:t>
      </w:r>
      <w:r>
        <w:t xml:space="preserve">would require the institution’s CEO to submit any supervisory appeal and include the board’s approval; that requirement is proposed and not in force.</w:t>
      </w:r>
    </w:p>
    <w:bookmarkEnd w:id="54"/>
    <w:bookmarkStart w:id="57" w:name="Xba873335b05b3db30dfb1cf83c10a3769b774c4"/>
    <w:p>
      <w:pPr>
        <w:pStyle w:val="Heading3"/>
      </w:pPr>
      <w:r>
        <w:t xml:space="preserve">1.8 Director Eligibility, Removal, and Continuity of Governance</w:t>
      </w:r>
    </w:p>
    <w:p>
      <w:pPr>
        <w:pStyle w:val="FirstParagraph"/>
      </w:pPr>
      <w:r>
        <w:t xml:space="preserve">A regulated institution that is not in compliance with minimum capital requirements, is in troubled condition, or is otherwise designated must give the Board 30 days’ written notice before adding or replacing any board member or employing any senior executive officer (</w:t>
      </w:r>
      <w:hyperlink r:id="rId55">
        <w:r>
          <w:rPr>
            <w:rStyle w:val="Hyperlink"/>
            <w:color w:val="0645AD"/>
            <w:u w:val="single"/>
          </w:rPr>
          <w:t xml:space="preserve">FRS Rule 225.72(a)-(b)</w:t>
        </w:r>
      </w:hyperlink>
      <w:r>
        <w:t xml:space="preserve">); the notice must contain CBCA and FFIEC background-check information (</w:t>
      </w:r>
      <w:hyperlink r:id="rId56">
        <w:r>
          <w:rPr>
            <w:rStyle w:val="Hyperlink"/>
            <w:color w:val="0645AD"/>
            <w:u w:val="single"/>
          </w:rPr>
          <w:t xml:space="preserve">FRS Rule 225.73(a)(1)</w:t>
        </w:r>
      </w:hyperlink>
      <w:r>
        <w:t xml:space="preserve">); a disapproved individual may not serve while an appeal is pending (</w:t>
      </w:r>
      <w:hyperlink r:id="rId56">
        <w:r>
          <w:rPr>
            <w:rStyle w:val="Hyperlink"/>
            <w:color w:val="0645AD"/>
            <w:u w:val="single"/>
          </w:rPr>
          <w:t xml:space="preserve">FRS Rule 225.73(d)(3)</w:t>
        </w:r>
      </w:hyperlink>
      <w:r>
        <w:t xml:space="preserve">). The OCC applies a parallel</w:t>
      </w:r>
      <w:r>
        <w:t xml:space="preserve"> </w:t>
      </w:r>
      <w:r>
        <w:t xml:space="preserve">“</w:t>
      </w:r>
      <w:r>
        <w:t xml:space="preserve">914 process</w:t>
      </w:r>
      <w:r>
        <w:t xml:space="preserve">”</w:t>
      </w:r>
      <w:r>
        <w:t xml:space="preserve"> </w:t>
      </w:r>
      <w:r>
        <w:t xml:space="preserve">for banks in troubled condition under 12 CFR 5.51 (OCC Director’s Book, p. 88, explanatory). Statutory disqualification bars operate at the director level: individuals convicted of, or entering pretrial diversion for, a crime involving dishonesty, breach of trust, or money laundering are automatically barred from being an institution-affiliated party (IAP) (binding sources: 12 U.S.C. 1829; FDIA §8(e)(7); OCC Director’s Book, p. 88, explanatory). An IAP subject to a removal or prohibition order ceases to be a director immediately upon service of the order (</w:t>
      </w:r>
      <w:hyperlink r:id="rId44">
        <w:r>
          <w:rPr>
            <w:rStyle w:val="Hyperlink"/>
            <w:color w:val="0645AD"/>
            <w:u w:val="single"/>
          </w:rPr>
          <w:t xml:space="preserve">FDIA §8(g)(1)(D)(i)</w:t>
        </w:r>
      </w:hyperlink>
      <w:r>
        <w:t xml:space="preserve">); where suspensions leave a national bank’s board with less than a quorum, all powers vest in the remaining unsuspended directors (</w:t>
      </w:r>
      <w:hyperlink r:id="rId44">
        <w:r>
          <w:rPr>
            <w:rStyle w:val="Hyperlink"/>
            <w:color w:val="0645AD"/>
            <w:u w:val="single"/>
          </w:rPr>
          <w:t xml:space="preserve">FDIA §8(g)(2)</w:t>
        </w:r>
      </w:hyperlink>
      <w:r>
        <w:t xml:space="preserve">).</w:t>
      </w:r>
    </w:p>
    <w:bookmarkEnd w:id="57"/>
    <w:bookmarkStart w:id="61" w:name="X9cd54ec58ac8ebebfa639485e795abe10bf04bd"/>
    <w:p>
      <w:pPr>
        <w:pStyle w:val="Heading3"/>
      </w:pPr>
      <w:r>
        <w:t xml:space="preserve">1.9 Affiliate-Transaction and Conflict-of-Interest Authority</w:t>
      </w:r>
    </w:p>
    <w:p>
      <w:pPr>
        <w:pStyle w:val="FirstParagraph"/>
      </w:pPr>
      <w:r>
        <w:t xml:space="preserve">A defining feature of G-SIB governance is the duty to insulate the subsidiary IDI from the holding company: the bank’s board should ensure the interests of the bank are not subordinate to the interests of the parent holding company in decisions that may adversely affect the bank (OCC Director’s Book, p. 51 (supervisory expectation; non-binding); the binding affiliate-transaction framework is 12 CFR Part 223 and 12 U.S.C. 371c-1). The affiliate-transaction regime requires that most transactions between the bank and its affiliates be on terms substantially the same as comparable nonaffiliate transactions (</w:t>
      </w:r>
      <w:hyperlink r:id="rId43">
        <w:r>
          <w:rPr>
            <w:rStyle w:val="Hyperlink"/>
            <w:color w:val="0645AD"/>
            <w:u w:val="single"/>
          </w:rPr>
          <w:t xml:space="preserve">12 CFR Part 223</w:t>
        </w:r>
      </w:hyperlink>
      <w:r>
        <w:t xml:space="preserve">). Several discrete affiliate-transaction duties impose direct board-approval requirements:</w:t>
      </w:r>
    </w:p>
    <w:p>
      <w:pPr>
        <w:pStyle w:val="Compact"/>
        <w:numPr>
          <w:ilvl w:val="0"/>
          <w:numId w:val="1002"/>
        </w:numPr>
      </w:pPr>
      <w:r>
        <w:t xml:space="preserve">Where an affiliate is a principal underwriter, a majority of directors must approve the purchase before the securities are publicly offered, based on a sound-investment determination (</w:t>
      </w:r>
      <w:hyperlink r:id="rId43">
        <w:r>
          <w:rPr>
            <w:rStyle w:val="Hyperlink"/>
            <w:color w:val="0645AD"/>
            <w:u w:val="single"/>
          </w:rPr>
          <w:t xml:space="preserve">12 CFR §223.53(b)(2)</w:t>
        </w:r>
      </w:hyperlink>
      <w:r>
        <w:t xml:space="preserve">; statutory counterpart</w:t>
      </w:r>
      <w:r>
        <w:t xml:space="preserve"> </w:t>
      </w:r>
      <w:hyperlink r:id="rId58">
        <w:r>
          <w:rPr>
            <w:rStyle w:val="Hyperlink"/>
            <w:color w:val="0645AD"/>
            <w:u w:val="single"/>
          </w:rPr>
          <w:t xml:space="preserve">12 U.S.C. 371c-1(b)(2)</w:t>
        </w:r>
      </w:hyperlink>
      <w:r>
        <w:t xml:space="preserve">), or a majority may approve standards subject to periodic (at least annual) review (</w:t>
      </w:r>
      <w:hyperlink r:id="rId43">
        <w:r>
          <w:rPr>
            <w:rStyle w:val="Hyperlink"/>
            <w:color w:val="0645AD"/>
            <w:u w:val="single"/>
          </w:rPr>
          <w:t xml:space="preserve">12 CFR §223.53(b)(3)</w:t>
        </w:r>
      </w:hyperlink>
      <w:r>
        <w:t xml:space="preserve">).</w:t>
      </w:r>
    </w:p>
    <w:p>
      <w:pPr>
        <w:pStyle w:val="Compact"/>
        <w:numPr>
          <w:ilvl w:val="0"/>
          <w:numId w:val="1002"/>
        </w:numPr>
      </w:pPr>
      <w:r>
        <w:t xml:space="preserve">For renewals/extensions of loan participations from an affiliate, the participating bank’s board must approve, or approve standards subject to periodic review (</w:t>
      </w:r>
      <w:hyperlink r:id="rId43">
        <w:r>
          <w:rPr>
            <w:rStyle w:val="Hyperlink"/>
            <w:color w:val="0645AD"/>
            <w:u w:val="single"/>
          </w:rPr>
          <w:t xml:space="preserve">12 CFR 223.15(b)(2)</w:t>
        </w:r>
      </w:hyperlink>
      <w:r>
        <w:t xml:space="preserve">).</w:t>
      </w:r>
    </w:p>
    <w:p>
      <w:pPr>
        <w:pStyle w:val="Compact"/>
        <w:numPr>
          <w:ilvl w:val="0"/>
          <w:numId w:val="1002"/>
        </w:numPr>
      </w:pPr>
      <w:r>
        <w:t xml:space="preserve">To exempt an internal corporate-reorganization asset purchase from §23A limits, a majority of directors must review and approve before consummation (</w:t>
      </w:r>
      <w:hyperlink r:id="rId43">
        <w:r>
          <w:rPr>
            <w:rStyle w:val="Hyperlink"/>
            <w:color w:val="0645AD"/>
            <w:u w:val="single"/>
          </w:rPr>
          <w:t xml:space="preserve">12 CFR 223.41(d)</w:t>
        </w:r>
      </w:hyperlink>
      <w:r>
        <w:t xml:space="preserve">).</w:t>
      </w:r>
    </w:p>
    <w:p>
      <w:pPr>
        <w:pStyle w:val="FirstParagraph"/>
      </w:pPr>
      <w:r>
        <w:t xml:space="preserve">Under the Volcker Rule, no director may take or retain an ownership interest in a covered fund organized and offered by the banking entity unless directly engaged in providing services to the fund (</w:t>
      </w:r>
      <w:hyperlink r:id="rId42">
        <w:r>
          <w:rPr>
            <w:rStyle w:val="Hyperlink"/>
            <w:color w:val="0645AD"/>
            <w:u w:val="single"/>
          </w:rPr>
          <w:t xml:space="preserve">12 U.S.C. 1851(d)(1)(G)(vii)</w:t>
        </w:r>
      </w:hyperlink>
      <w:r>
        <w:t xml:space="preserve">;</w:t>
      </w:r>
      <w:r>
        <w:t xml:space="preserve"> </w:t>
      </w:r>
      <w:hyperlink r:id="rId59">
        <w:r>
          <w:rPr>
            <w:rStyle w:val="Hyperlink"/>
            <w:color w:val="0645AD"/>
            <w:u w:val="single"/>
          </w:rPr>
          <w:t xml:space="preserve">17 CFR §75.11(a)(7)</w:t>
        </w:r>
      </w:hyperlink>
      <w:r>
        <w:t xml:space="preserve">). A member bank may extend credit to an executive officer, director, principal shareholder, or related interest above thresholds only if approved in advance by a majority of the entire board, with the interested party abstaining (</w:t>
      </w:r>
      <w:hyperlink r:id="rId60">
        <w:r>
          <w:rPr>
            <w:rStyle w:val="Hyperlink"/>
            <w:color w:val="0645AD"/>
            <w:u w:val="single"/>
          </w:rPr>
          <w:t xml:space="preserve">12 USC 375b(3)</w:t>
        </w:r>
      </w:hyperlink>
      <w:r>
        <w:t xml:space="preserve">).</w:t>
      </w:r>
    </w:p>
    <w:bookmarkEnd w:id="61"/>
    <w:bookmarkStart w:id="64" w:name="Xba65977892df161557d4bafec49308bb7078251"/>
    <w:p>
      <w:pPr>
        <w:pStyle w:val="Heading3"/>
      </w:pPr>
      <w:r>
        <w:t xml:space="preserve">1.10 Indemnification of Institution-Affiliated Parties</w:t>
      </w:r>
    </w:p>
    <w:p>
      <w:pPr>
        <w:pStyle w:val="FirstParagraph"/>
      </w:pPr>
      <w:r>
        <w:t xml:space="preserve">The board may approve indemnification of IAPs for expenses in agency-initiated administrative or civil actions, subject to regulatory standards permitting partial indemnification only with a favorable final adjudication or settlement and strictly prohibiting indemnification for civil money penalties or judgments (</w:t>
      </w:r>
      <w:hyperlink r:id="rId62">
        <w:r>
          <w:rPr>
            <w:rStyle w:val="Hyperlink"/>
            <w:color w:val="0645AD"/>
            <w:u w:val="single"/>
          </w:rPr>
          <w:t xml:space="preserve">61 FR 5929</w:t>
        </w:r>
      </w:hyperlink>
      <w:r>
        <w:t xml:space="preserve">). To make reasonable indemnification payments, the board must determine in writing, in good faith and after due investigation, that the IAP acted in good faith and in a manner believed to be in the institution’s best interests and that payment will not materially adversely affect safety and soundness (</w:t>
      </w:r>
      <w:hyperlink r:id="rId63">
        <w:r>
          <w:rPr>
            <w:rStyle w:val="Hyperlink"/>
            <w:color w:val="0645AD"/>
            <w:u w:val="single"/>
          </w:rPr>
          <w:t xml:space="preserve">FDIC Rule 359.5(a)</w:t>
        </w:r>
      </w:hyperlink>
      <w:r>
        <w:t xml:space="preserve">).</w:t>
      </w:r>
    </w:p>
    <w:bookmarkEnd w:id="64"/>
    <w:bookmarkStart w:id="66" w:name="X89c4a009c5f2c132f16c59ec7766aba62d0061f"/>
    <w:p>
      <w:pPr>
        <w:pStyle w:val="Heading3"/>
      </w:pPr>
      <w:r>
        <w:t xml:space="preserve">1.11 Holding-Company-Level Director Penalties and False-Statement Prohibitions</w:t>
      </w:r>
    </w:p>
    <w:p>
      <w:pPr>
        <w:pStyle w:val="FirstParagraph"/>
      </w:pPr>
      <w:r>
        <w:t xml:space="preserve">Directors of a BHC are subject to the same criminal penalties for false entries as directors of member banks under 18 U.S.C. 1005 (</w:t>
      </w:r>
      <w:hyperlink r:id="rId42">
        <w:r>
          <w:rPr>
            <w:rStyle w:val="Hyperlink"/>
            <w:color w:val="0645AD"/>
            <w:u w:val="single"/>
          </w:rPr>
          <w:t xml:space="preserve">12 U.S.C. 1847(a)(2)</w:t>
        </w:r>
      </w:hyperlink>
      <w:r>
        <w:t xml:space="preserve">). For savings associations, no director may knowingly make any false or misleading statement of material fact to the appropriate Federal banking agency or to any person auditing the association’s financial statements (</w:t>
      </w:r>
      <w:hyperlink r:id="rId65">
        <w:r>
          <w:rPr>
            <w:rStyle w:val="Hyperlink"/>
            <w:color w:val="0645AD"/>
            <w:u w:val="single"/>
          </w:rPr>
          <w:t xml:space="preserve">OCC Rule 163.180(b)</w:t>
        </w:r>
      </w:hyperlink>
      <w:r>
        <w:t xml:space="preserve">).</w:t>
      </w:r>
    </w:p>
    <w:bookmarkEnd w:id="66"/>
    <w:bookmarkStart w:id="69" w:name="Xe03a7892eecdd9574d582828acebbbbbb2876e5"/>
    <w:p>
      <w:pPr>
        <w:pStyle w:val="Heading3"/>
      </w:pPr>
      <w:r>
        <w:t xml:space="preserve">1.12 The Comprehensive Oversight Catalog and Fiduciary-Powers Governance</w:t>
      </w:r>
    </w:p>
    <w:p>
      <w:pPr>
        <w:pStyle w:val="FirstParagraph"/>
      </w:pPr>
      <w:r>
        <w:t xml:space="preserve">The OCC’s consolidated statement of board oversight responsibilities gathers the recurring duties into a single enumeration: providing effective oversight; exercising independent judgment and credible challenge; establishing corporate culture; understanding the legal framework; directing an effective compliance management system; setting strategic goals; confirming a suitable risk-management system including audit; confirming internal controls; selecting and overseeing a competent CEO and senior management; overseeing compensation; approving a succession policy; maintaining appropriate affiliate relationships; approving the BSA/AML compliance program; and confirming timely correction of material weaknesses (OCC Director’s Book, pp. 1-15 (supervisory expectation; plain-English publication; non-binding as a standalone rule)). The board must also adopt a written code of ethics (OCC Director’s Book, p. 51 (supervisory expectation; non-binding as a standalone rule); the binding code-of-ethics duty for listed companies derives from NYSE Section 303A.10). For a G-SIB IDI exercising fiduciary powers, the bank’s fiduciary activities must be managed by or under the direction of its board (</w:t>
      </w:r>
      <w:hyperlink r:id="rId67">
        <w:r>
          <w:rPr>
            <w:rStyle w:val="Hyperlink"/>
            <w:color w:val="0645AD"/>
            <w:u w:val="single"/>
          </w:rPr>
          <w:t xml:space="preserve">12 CFR 9.4(a)</w:t>
        </w:r>
      </w:hyperlink>
      <w:r>
        <w:t xml:space="preserve">); written fiduciary policies must be established (</w:t>
      </w:r>
      <w:hyperlink r:id="rId67">
        <w:r>
          <w:rPr>
            <w:rStyle w:val="Hyperlink"/>
            <w:color w:val="0645AD"/>
            <w:u w:val="single"/>
          </w:rPr>
          <w:t xml:space="preserve">12 CFR 9.5</w:t>
        </w:r>
      </w:hyperlink>
      <w:r>
        <w:t xml:space="preserve">); fiduciary-account assets must be in the joint custody of not fewer than two designated officers (</w:t>
      </w:r>
      <w:hyperlink r:id="rId67">
        <w:r>
          <w:rPr>
            <w:rStyle w:val="Hyperlink"/>
            <w:color w:val="0645AD"/>
            <w:u w:val="single"/>
          </w:rPr>
          <w:t xml:space="preserve">12 CFR §9.13(a)</w:t>
        </w:r>
      </w:hyperlink>
      <w:r>
        <w:t xml:space="preserve">); and any collective investment fund must operate under a board-approved written plan (</w:t>
      </w:r>
      <w:hyperlink r:id="rId67">
        <w:r>
          <w:rPr>
            <w:rStyle w:val="Hyperlink"/>
            <w:color w:val="0645AD"/>
            <w:u w:val="single"/>
          </w:rPr>
          <w:t xml:space="preserve">12 CFR §9.18(b)(1)</w:t>
        </w:r>
      </w:hyperlink>
      <w:r>
        <w:t xml:space="preserve">). The parallel FSA obligation appears at</w:t>
      </w:r>
      <w:r>
        <w:t xml:space="preserve"> </w:t>
      </w:r>
      <w:hyperlink r:id="rId68">
        <w:r>
          <w:rPr>
            <w:rStyle w:val="Hyperlink"/>
            <w:color w:val="0645AD"/>
            <w:u w:val="single"/>
          </w:rPr>
          <w:t xml:space="preserve">12 CFR §150.150</w:t>
        </w:r>
      </w:hyperlink>
      <w:r>
        <w:t xml:space="preserve">.</w:t>
      </w:r>
    </w:p>
    <w:bookmarkEnd w:id="69"/>
    <w:bookmarkStart w:id="70" w:name="resolution-context-director-liability"/>
    <w:p>
      <w:pPr>
        <w:pStyle w:val="Heading3"/>
      </w:pPr>
      <w:r>
        <w:t xml:space="preserve">1.13 Resolution-Context Director Liability</w:t>
      </w:r>
    </w:p>
    <w:p>
      <w:pPr>
        <w:pStyle w:val="FirstParagraph"/>
      </w:pPr>
      <w:r>
        <w:t xml:space="preserve">In the resolution context, a director of a covered financial company must conduct responsibilities with the degree of skill and care an ordinarily prudent person in a like position would exercise — a negligence standard — to avoid being</w:t>
      </w:r>
      <w:r>
        <w:t xml:space="preserve"> </w:t>
      </w:r>
      <w:r>
        <w:t xml:space="preserve">“</w:t>
      </w:r>
      <w:r>
        <w:t xml:space="preserve">substantially responsible</w:t>
      </w:r>
      <w:r>
        <w:t xml:space="preserve">”</w:t>
      </w:r>
      <w:r>
        <w:t xml:space="preserve"> </w:t>
      </w:r>
      <w:r>
        <w:t xml:space="preserve">for failure; in a §210(s) recoupment action, the director bears the burden of proof, and state business-judgment or insulating statutes will not shift it to the FDIC (</w:t>
      </w:r>
      <w:hyperlink r:id="rId36">
        <w:r>
          <w:rPr>
            <w:rStyle w:val="Hyperlink"/>
            <w:color w:val="0645AD"/>
            <w:u w:val="single"/>
          </w:rPr>
          <w:t xml:space="preserve">12 U.S.C. 5390, §210(s)</w:t>
        </w:r>
      </w:hyperlink>
      <w:r>
        <w:t xml:space="preserve">).</w:t>
      </w:r>
    </w:p>
    <w:bookmarkEnd w:id="70"/>
    <w:bookmarkStart w:id="76" w:name="authorities-not-in-force"/>
    <w:p>
      <w:pPr>
        <w:pStyle w:val="Heading3"/>
      </w:pPr>
      <w:r>
        <w:t xml:space="preserve">1.14 Authorities Not in Force</w:t>
      </w:r>
    </w:p>
    <w:p>
      <w:pPr>
        <w:pStyle w:val="FirstParagraph"/>
      </w:pPr>
      <w:r>
        <w:t xml:space="preserve">Several authorities relevant to this architecture are not current obligations and are excluded from the operative inventory: the OCC’s payment-stablecoin governance provisions (</w:t>
      </w:r>
      <w:hyperlink r:id="rId71">
        <w:r>
          <w:rPr>
            <w:rStyle w:val="Hyperlink"/>
            <w:color w:val="0645AD"/>
            <w:u w:val="single"/>
          </w:rPr>
          <w:t xml:space="preserve">91 FR 10202</w:t>
        </w:r>
      </w:hyperlink>
      <w:r>
        <w:t xml:space="preserve">) are</w:t>
      </w:r>
      <w:r>
        <w:t xml:space="preserve"> </w:t>
      </w:r>
      <w:r>
        <w:rPr>
          <w:b/>
          <w:bCs/>
        </w:rPr>
        <w:t xml:space="preserve">proposed</w:t>
      </w:r>
      <w:r>
        <w:t xml:space="preserve">; the FDIC’s proposed corporate-governance Guidelines (</w:t>
      </w:r>
      <w:hyperlink r:id="rId72">
        <w:r>
          <w:rPr>
            <w:rStyle w:val="Hyperlink"/>
            <w:color w:val="0645AD"/>
            <w:u w:val="single"/>
          </w:rPr>
          <w:t xml:space="preserve">88 FR 70391</w:t>
        </w:r>
      </w:hyperlink>
      <w:r>
        <w:t xml:space="preserve">) are</w:t>
      </w:r>
      <w:r>
        <w:t xml:space="preserve"> </w:t>
      </w:r>
      <w:r>
        <w:rPr>
          <w:b/>
          <w:bCs/>
        </w:rPr>
        <w:t xml:space="preserve">withdrawn</w:t>
      </w:r>
      <w:r>
        <w:t xml:space="preserve">; the proposed market-risk disclosure-control provisions (</w:t>
      </w:r>
      <w:hyperlink r:id="rId73">
        <w:r>
          <w:rPr>
            <w:rStyle w:val="Hyperlink"/>
            <w:color w:val="0645AD"/>
            <w:u w:val="single"/>
          </w:rPr>
          <w:t xml:space="preserve">88 FR 64028</w:t>
        </w:r>
      </w:hyperlink>
      <w:r>
        <w:t xml:space="preserve">) are</w:t>
      </w:r>
      <w:r>
        <w:t xml:space="preserve"> </w:t>
      </w:r>
      <w:r>
        <w:rPr>
          <w:b/>
          <w:bCs/>
        </w:rPr>
        <w:t xml:space="preserve">proposed</w:t>
      </w:r>
      <w:r>
        <w:t xml:space="preserve">; and the OCC residency- and citizenship-waiver guidance keyed to 12 U.S.C. 72 and 76 (</w:t>
      </w:r>
      <w:hyperlink r:id="rId74">
        <w:r>
          <w:rPr>
            <w:rStyle w:val="Hyperlink"/>
            <w:color w:val="0645AD"/>
            <w:u w:val="single"/>
          </w:rPr>
          <w:t xml:space="preserve">dirwaiv</w:t>
        </w:r>
      </w:hyperlink>
      <w:r>
        <w:t xml:space="preserve">) is</w:t>
      </w:r>
      <w:r>
        <w:t xml:space="preserve"> </w:t>
      </w:r>
      <w:r>
        <w:rPr>
          <w:b/>
          <w:bCs/>
        </w:rPr>
        <w:t xml:space="preserve">superseded</w:t>
      </w:r>
      <w:r>
        <w:t xml:space="preserve">. The OCC supervisory-appeals and heightened-standards scoping proposals (</w:t>
      </w:r>
      <w:hyperlink r:id="rId53">
        <w:r>
          <w:rPr>
            <w:rStyle w:val="Hyperlink"/>
            <w:color w:val="0645AD"/>
            <w:u w:val="single"/>
          </w:rPr>
          <w:t xml:space="preserve">91 FR 7163</w:t>
        </w:r>
      </w:hyperlink>
      <w:r>
        <w:t xml:space="preserve">;</w:t>
      </w:r>
      <w:r>
        <w:t xml:space="preserve"> </w:t>
      </w:r>
      <w:hyperlink r:id="rId75">
        <w:r>
          <w:rPr>
            <w:rStyle w:val="Hyperlink"/>
            <w:color w:val="0645AD"/>
            <w:u w:val="single"/>
          </w:rPr>
          <w:t xml:space="preserve">90 FR 61084</w:t>
        </w:r>
      </w:hyperlink>
      <w:r>
        <w:t xml:space="preserve">) are</w:t>
      </w:r>
      <w:r>
        <w:t xml:space="preserve"> </w:t>
      </w:r>
      <w:r>
        <w:rPr>
          <w:b/>
          <w:bCs/>
        </w:rPr>
        <w:t xml:space="preserve">proposed</w:t>
      </w:r>
      <w:r>
        <w:t xml:space="preserve">.</w:t>
      </w:r>
    </w:p>
    <w:bookmarkEnd w:id="76"/>
    <w:bookmarkEnd w:id="77"/>
    <w:bookmarkStart w:id="89" w:name="X7c980e58cb7713d37234f9aade3aab019be4436"/>
    <w:p>
      <w:pPr>
        <w:pStyle w:val="Heading2"/>
      </w:pPr>
      <w:r>
        <w:t xml:space="preserve">Section 2: Board Composition, Qualifications, and Independence: Mandatory Federal Requirements</w:t>
      </w:r>
    </w:p>
    <w:p>
      <w:pPr>
        <w:pStyle w:val="FirstParagraph"/>
      </w:pPr>
      <w:r>
        <w:t xml:space="preserve">This section catalogs obligations bearing on board</w:t>
      </w:r>
      <w:r>
        <w:t xml:space="preserve"> </w:t>
      </w:r>
      <w:r>
        <w:rPr>
          <w:i/>
          <w:iCs/>
        </w:rPr>
        <w:t xml:space="preserve">composition</w:t>
      </w:r>
      <w:r>
        <w:t xml:space="preserve">,</w:t>
      </w:r>
      <w:r>
        <w:t xml:space="preserve"> </w:t>
      </w:r>
      <w:r>
        <w:rPr>
          <w:i/>
          <w:iCs/>
        </w:rPr>
        <w:t xml:space="preserve">qualifications</w:t>
      </w:r>
      <w:r>
        <w:t xml:space="preserve">, and</w:t>
      </w:r>
      <w:r>
        <w:t xml:space="preserve"> </w:t>
      </w:r>
      <w:r>
        <w:rPr>
          <w:i/>
          <w:iCs/>
        </w:rPr>
        <w:t xml:space="preserve">independence</w:t>
      </w:r>
      <w:r>
        <w:t xml:space="preserve">. The recurring structural observation is that the same governance objective — director independence from management — is pursued through at least four distinct vehicles (FDIC Part 363 audit-committee independence, OCC Part 30 Appendix D heightened-standards independence, Federal Reserve risk-committee independence, and SEC Regulation S-K disclosure), each anchoring its independence test to</w:t>
      </w:r>
      <w:r>
        <w:t xml:space="preserve"> </w:t>
      </w:r>
      <w:r>
        <w:t xml:space="preserve">“</w:t>
      </w:r>
      <w:r>
        <w:t xml:space="preserve">national securities exchange listing standards</w:t>
      </w:r>
      <w:r>
        <w:t xml:space="preserve">”</w:t>
      </w:r>
      <w:r>
        <w:t xml:space="preserve"> </w:t>
      </w:r>
      <w:r>
        <w:t xml:space="preserve">yet imposing its own determination, documentation, and (in the FDIC’s case) compensation-threshold mechanics.</w:t>
      </w:r>
    </w:p>
    <w:bookmarkStart w:id="78" w:name="X5501694f7eda76bddb8ce2b2b4f9e3ed9deabe6"/>
    <w:p>
      <w:pPr>
        <w:pStyle w:val="Heading3"/>
      </w:pPr>
      <w:r>
        <w:t xml:space="preserve">2.1 Hard Statutory and Regulatory Composition Requirements</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national bank’s board must consist of</w:t>
            </w:r>
            <w:r>
              <w:t xml:space="preserve"> </w:t>
            </w:r>
            <w:r>
              <w:rPr>
                <w:b/>
                <w:bCs/>
              </w:rPr>
              <w:t xml:space="preserve">no fewer than 5 and no more than 25 members</w:t>
            </w:r>
            <w:r>
              <w:t xml:space="preserve">; the bank must notify the OCC to increase board size beyond 25.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7.2024(c); 12 U.S.C. 71a; OCC Comptroller’s Handbook, Corporate and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national bank may adopt bylaws</w:t>
            </w:r>
            <w:r>
              <w:t xml:space="preserve"> </w:t>
            </w:r>
            <w:r>
              <w:rPr>
                <w:b/>
                <w:bCs/>
              </w:rPr>
              <w:t xml:space="preserve">staggering director terms</w:t>
            </w:r>
            <w:r>
              <w:t xml:space="preserve"> </w:t>
            </w:r>
            <w:r>
              <w:t xml:space="preserve">but must provide the OCC copies; no director’s term may exceed</w:t>
            </w:r>
            <w:r>
              <w:t xml:space="preserve"> </w:t>
            </w:r>
            <w:r>
              <w:rPr>
                <w:b/>
                <w:bCs/>
              </w:rPr>
              <w:t xml:space="preserve">three years</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7.2024(a)-(b)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national bank director must</w:t>
            </w:r>
            <w:r>
              <w:t xml:space="preserve"> </w:t>
            </w:r>
            <w:r>
              <w:rPr>
                <w:b/>
                <w:bCs/>
              </w:rPr>
              <w:t xml:space="preserve">hold a qualifying equity interest</w:t>
            </w:r>
            <w:r>
              <w:t xml:space="preserve"> </w:t>
            </w:r>
            <w:r>
              <w:t xml:space="preserve">— minimum $1,000 aggregate par value, shareholder’s equity, or fair market value of stock in the bank or controlling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w:t>
              </w:r>
            </w:hyperlink>
            <w:r>
              <w:t xml:space="preserve">; 12 U.S.C. 72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All national bank directors must be U.S. citizens</w:t>
            </w:r>
            <w:r>
              <w:t xml:space="preserve"> </w:t>
            </w:r>
            <w:r>
              <w:t xml:space="preserve">throughout their term; the OCC may waive this for a</w:t>
            </w:r>
            <w:r>
              <w:t xml:space="preserve"> </w:t>
            </w:r>
            <w:r>
              <w:rPr>
                <w:i/>
                <w:iCs/>
              </w:rPr>
              <w:t xml:space="preserve">minority</w:t>
            </w:r>
            <w:r>
              <w:t xml:space="preserve"> </w:t>
            </w:r>
            <w:r>
              <w:t xml:space="preserve">of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72; OCC Comptroller’s Licensing Manual; OCC Director’s Book, Table 5 (explanatory)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w:t>
            </w:r>
            <w:r>
              <w:t xml:space="preserve"> </w:t>
            </w:r>
            <w:r>
              <w:rPr>
                <w:b/>
                <w:bCs/>
              </w:rPr>
              <w:t xml:space="preserve">majority</w:t>
            </w:r>
            <w:r>
              <w:t xml:space="preserve"> </w:t>
            </w:r>
            <w:r>
              <w:t xml:space="preserve">of national bank directors must have resided in the state/territory/district where the bank is located, or within 100 miles of its main office, for at least one year before election.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76; OCC Comptroller’s Licensing Manual; OCC Director’s Book, Table 5 (explanatory)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person serving as</w:t>
            </w:r>
            <w:r>
              <w:t xml:space="preserve"> </w:t>
            </w:r>
            <w:r>
              <w:rPr>
                <w:b/>
                <w:bCs/>
              </w:rPr>
              <w:t xml:space="preserve">president</w:t>
            </w:r>
            <w:r>
              <w:t xml:space="preserve"> </w:t>
            </w:r>
            <w:r>
              <w:t xml:space="preserve">of a national bank must be a member of the 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national bank directors must take an</w:t>
            </w:r>
            <w:r>
              <w:t xml:space="preserve"> </w:t>
            </w:r>
            <w:r>
              <w:rPr>
                <w:b/>
                <w:bCs/>
              </w:rPr>
              <w:t xml:space="preserve">oath of office</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73; 12 CFR 7.2008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national bank director may</w:t>
            </w:r>
            <w:r>
              <w:t xml:space="preserve"> </w:t>
            </w:r>
            <w:r>
              <w:rPr>
                <w:b/>
                <w:bCs/>
              </w:rPr>
              <w:t xml:space="preserve">not participate or vote by proxy</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Handbook, Corporate and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When a vacancy occurs, the</w:t>
            </w:r>
            <w:r>
              <w:t xml:space="preserve"> </w:t>
            </w:r>
            <w:r>
              <w:rPr>
                <w:b/>
                <w:bCs/>
              </w:rPr>
              <w:t xml:space="preserve">remaining directors must appoint a replacement</w:t>
            </w:r>
            <w:r>
              <w:t xml:space="preserve"> </w:t>
            </w:r>
            <w:r>
              <w:t xml:space="preserve">meeting applicable qualification requirements.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12 U.S.C. 74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FSA composition limits:</w:t>
            </w:r>
            <w:r>
              <w:t xml:space="preserve"> </w:t>
            </w:r>
            <w:r>
              <w:t xml:space="preserve">a majority of directors must not be salaried officers/employees of the association or its subsidiaries; no more than two may be of the same immediate family; no more than one may be an attorney with a particular law firm.</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163.33 (binding FSA regulation; distinct from the OCC Director’s Book, which is also sometimes labeled 12 CFR 163.33)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national bank’s</w:t>
            </w:r>
            <w:r>
              <w:t xml:space="preserve"> </w:t>
            </w:r>
            <w:r>
              <w:rPr>
                <w:b/>
                <w:bCs/>
              </w:rPr>
              <w:t xml:space="preserve">fiduciary audit committee</w:t>
            </w:r>
            <w:r>
              <w:t xml:space="preserve"> </w:t>
            </w:r>
            <w:r>
              <w:t xml:space="preserve">must consist of a majority of members who are</w:t>
            </w:r>
            <w:r>
              <w:t xml:space="preserve"> </w:t>
            </w:r>
            <w:r>
              <w:rPr>
                <w:i/>
                <w:iCs/>
              </w:rPr>
              <w:t xml:space="preserve">not</w:t>
            </w:r>
            <w:r>
              <w:t xml:space="preserve"> </w:t>
            </w:r>
            <w:r>
              <w:t xml:space="preserve">also members of any committee to which the board has delegated power to manage fiduciary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9.9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t xml:space="preserve">The citizenship and residency requirements should be relied on as stated in the in-force Director’s Book (12 CFR 163.33 Table 5) and the Comptroller’s Licensing Manual; the OCC’s dedicated waiver booklet (</w:t>
      </w:r>
      <w:r>
        <w:rPr>
          <w:i/>
          <w:iCs/>
        </w:rPr>
        <w:t xml:space="preserve">National Bank Director Waivers</w:t>
      </w:r>
      <w:r>
        <w:t xml:space="preserve">) is superseded.</w:t>
      </w:r>
    </w:p>
    <w:bookmarkEnd w:id="78"/>
    <w:bookmarkStart w:id="79" w:name="X487b37abdd79cc002a94a70d9b8e2528781846e"/>
    <w:p>
      <w:pPr>
        <w:pStyle w:val="Heading3"/>
      </w:pPr>
      <w:r>
        <w:t xml:space="preserve">2.2 Director Suitability, Conflicts, and Statutory Bars</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person</w:t>
            </w:r>
            <w:r>
              <w:t xml:space="preserve"> </w:t>
            </w:r>
            <w:r>
              <w:rPr>
                <w:b/>
                <w:bCs/>
              </w:rPr>
              <w:t xml:space="preserve">convicted of, or entering pretrial diversion for</w:t>
            </w:r>
            <w:r>
              <w:t xml:space="preserve">, a crime involving dishonesty, breach of trust, or money laundering is</w:t>
            </w:r>
            <w:r>
              <w:t xml:space="preserve"> </w:t>
            </w:r>
            <w:r>
              <w:rPr>
                <w:b/>
                <w:bCs/>
              </w:rPr>
              <w:t xml:space="preserve">automatically barred</w:t>
            </w:r>
            <w:r>
              <w:t xml:space="preserve"> </w:t>
            </w:r>
            <w:r>
              <w:t xml:space="preserve">from being an IAP (including a director) or participating in the affairs of any IDI.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1829; FDIA §8(e)(7); OCC Director’s Book, p. 88 (explanatory)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person</w:t>
            </w:r>
            <w:r>
              <w:t xml:space="preserve"> </w:t>
            </w:r>
            <w:r>
              <w:rPr>
                <w:b/>
                <w:bCs/>
              </w:rPr>
              <w:t xml:space="preserve">removed, suspended, or prohibited</w:t>
            </w:r>
            <w:r>
              <w:t xml:space="preserve"> </w:t>
            </w:r>
            <w:r>
              <w:t xml:space="preserve">under 12 U.S.C. 1818(e) may not, while the order is in effect, hold office in or participate in the affairs of any IDI without prior written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1818(e)(7)(A)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bank should conduct</w:t>
            </w:r>
            <w:r>
              <w:t xml:space="preserve"> </w:t>
            </w:r>
            <w:r>
              <w:rPr>
                <w:b/>
                <w:bCs/>
              </w:rPr>
              <w:t xml:space="preserve">background checks</w:t>
            </w:r>
            <w:r>
              <w:t xml:space="preserve"> </w:t>
            </w:r>
            <w:r>
              <w:t xml:space="preserve">on potential and existing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Handbook, Corporate and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bank should maintain a</w:t>
            </w:r>
            <w:r>
              <w:t xml:space="preserve"> </w:t>
            </w:r>
            <w:r>
              <w:rPr>
                <w:b/>
                <w:bCs/>
              </w:rPr>
              <w:t xml:space="preserve">conflict-of-interest policy</w:t>
            </w:r>
            <w:r>
              <w:t xml:space="preserve"> </w:t>
            </w:r>
            <w:r>
              <w:t xml:space="preserve">with clear independence standards; conflicts should be promptly reported to the 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51 (supervisory expectation; non-binding)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bookmarkEnd w:id="79"/>
    <w:bookmarkStart w:id="80" w:name="X29d3a98290ec72ce360ebf9262c7dc22acbd971"/>
    <w:p>
      <w:pPr>
        <w:pStyle w:val="Heading3"/>
      </w:pPr>
      <w:r>
        <w:t xml:space="preserve">2.3 Prior-Notice Regime for Director Changes (</w:t>
      </w:r>
      <w:r>
        <w:t xml:space="preserve">“</w:t>
      </w:r>
      <w:r>
        <w:t xml:space="preserve">914 Process</w:t>
      </w:r>
      <w:r>
        <w:t xml:space="preserve">”</w:t>
      </w:r>
      <w:r>
        <w:t xml:space="preserve">)</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regulated institution that is capital-deficient, in troubled condition, or otherwise designated must give the appropriate regulator</w:t>
            </w:r>
            <w:r>
              <w:t xml:space="preserve"> </w:t>
            </w:r>
            <w:r>
              <w:rPr>
                <w:b/>
                <w:bCs/>
              </w:rPr>
              <w:t xml:space="preserve">30 days’ written notice</w:t>
            </w:r>
            <w:r>
              <w:t xml:space="preserve"> </w:t>
            </w:r>
            <w:r>
              <w:t xml:space="preserve">before adding/replacing any director or employing a senior executive officer. The binding OCC analog is 12 CFR 5.51, not the Director’s Book.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225.72(a)-(b); 12 CFR 5.51 (OCC)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notice must be filed with the appropriate Reserve Bank and contain CBCA paragraph 6(A) information and FFIEC background-check information.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225.73(a)(1)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w:t>
            </w:r>
            <w:r>
              <w:t xml:space="preserve"> </w:t>
            </w:r>
            <w:r>
              <w:rPr>
                <w:b/>
                <w:bCs/>
              </w:rPr>
              <w:t xml:space="preserve">disapproved individual</w:t>
            </w:r>
            <w:r>
              <w:t xml:space="preserve"> </w:t>
            </w:r>
            <w:r>
              <w:t xml:space="preserve">may not serve as a director or senior executive officer of a state member bank or BHC while an appeal is pending.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225.73(d)(3)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 individual may serve upon election before notice is filed only if not proposed by management, elected as a new member, and providing required information within</w:t>
            </w:r>
            <w:r>
              <w:t xml:space="preserve"> </w:t>
            </w:r>
            <w:r>
              <w:rPr>
                <w:b/>
                <w:bCs/>
              </w:rPr>
              <w:t xml:space="preserve">two business days</w:t>
            </w:r>
            <w:r>
              <w:t xml:space="preserve"> </w:t>
            </w:r>
            <w:r>
              <w:t xml:space="preserve">of election.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225.73(f)(2)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t xml:space="preserve">The Federal Reserve and OCC each operate a substantively parallel prior-notice process keyed to</w:t>
      </w:r>
      <w:r>
        <w:t xml:space="preserve"> </w:t>
      </w:r>
      <w:r>
        <w:t xml:space="preserve">“</w:t>
      </w:r>
      <w:r>
        <w:t xml:space="preserve">troubled condition,</w:t>
      </w:r>
      <w:r>
        <w:t xml:space="preserve">”</w:t>
      </w:r>
      <w:r>
        <w:t xml:space="preserve"> </w:t>
      </w:r>
      <w:r>
        <w:t xml:space="preserve">sharing the same CBCA and FFIEC informational substrate.</w:t>
      </w:r>
    </w:p>
    <w:bookmarkEnd w:id="80"/>
    <w:bookmarkStart w:id="81" w:name="Xf3932c215b3897ed1a7873b9ffabcfe922860a8"/>
    <w:p>
      <w:pPr>
        <w:pStyle w:val="Heading3"/>
      </w:pPr>
      <w:r>
        <w:t xml:space="preserve">2.4 Heightened-Standards Board Composition and Development (OCC Part 30 Appendix D)</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20</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At least two members</w:t>
            </w:r>
            <w:r>
              <w:t xml:space="preserve"> </w:t>
            </w:r>
            <w:r>
              <w:t xml:space="preserve">of a covered bank’s board should be</w:t>
            </w:r>
            <w:r>
              <w:t xml:space="preserve"> </w:t>
            </w:r>
            <w:r>
              <w:rPr>
                <w:b/>
                <w:bCs/>
              </w:rPr>
              <w:t xml:space="preserve">independent directors</w:t>
            </w:r>
            <w:r>
              <w:t xml:space="preserve"> </w:t>
            </w:r>
            <w:r>
              <w:t xml:space="preserve">— not (and not within the previous three years) an officer or employee of the parent or covered bank; not an immediate family member (12 CFR 225.41(b)(3)) of a recent executive officer (12 CFR 215.2(e)(1)); and qualifying as independent under national securities exchange listing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 §III.D;</w:t>
            </w:r>
            <w:r>
              <w:t xml:space="preserve"> </w:t>
            </w:r>
            <w:hyperlink r:id="rId48">
              <w:r>
                <w:rPr>
                  <w:rStyle w:val="Hyperlink"/>
                  <w:color w:val="0645AD"/>
                  <w:u w:val="single"/>
                </w:rPr>
                <w:t xml:space="preserve">79 FR 54518, p. 22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board member should</w:t>
            </w:r>
            <w:r>
              <w:t xml:space="preserve"> </w:t>
            </w:r>
            <w:r>
              <w:rPr>
                <w:b/>
                <w:bCs/>
              </w:rPr>
              <w:t xml:space="preserve">exercise sound, independent judgment</w:t>
            </w:r>
            <w:r>
              <w:t xml:space="preserve"> </w:t>
            </w:r>
            <w:r>
              <w:t xml:space="preserve">in providing active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 §III.C;</w:t>
            </w:r>
            <w:r>
              <w:t xml:space="preserve"> </w:t>
            </w:r>
            <w:hyperlink r:id="rId48">
              <w:r>
                <w:rPr>
                  <w:rStyle w:val="Hyperlink"/>
                  <w:color w:val="0645AD"/>
                  <w:u w:val="single"/>
                </w:rPr>
                <w:t xml:space="preserve">79 FR 54518, p. 21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establish and adhere to a formal, ongoing training program for all directors</w:t>
            </w:r>
            <w:r>
              <w:t xml:space="preserve"> </w:t>
            </w:r>
            <w:r>
              <w:t xml:space="preserve">covering complex products and risks; applicable laws, regulations, and supervisory requirements; and other board-identified topics.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 §III.E;</w:t>
            </w:r>
            <w:r>
              <w:t xml:space="preserve"> </w:t>
            </w:r>
            <w:hyperlink r:id="rId48">
              <w:r>
                <w:rPr>
                  <w:rStyle w:val="Hyperlink"/>
                  <w:color w:val="0645AD"/>
                  <w:u w:val="single"/>
                </w:rPr>
                <w:t xml:space="preserve">79 FR 54518, p. 23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conduct an annual self-assessment</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 §III.F;</w:t>
            </w:r>
            <w:r>
              <w:t xml:space="preserve"> </w:t>
            </w:r>
            <w:hyperlink r:id="rId48">
              <w:r>
                <w:rPr>
                  <w:rStyle w:val="Hyperlink"/>
                  <w:color w:val="0645AD"/>
                  <w:u w:val="single"/>
                </w:rPr>
                <w:t xml:space="preserve">79 FR 54518, p. 23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bl>
    <w:p>
      <w:pPr>
        <w:pStyle w:val="BodyText"/>
      </w:pPr>
      <w:r>
        <w:t xml:space="preserve">These Appendix D composition standards are subject to a pending amendment; the OCC’s re-proposal at</w:t>
      </w:r>
      <w:r>
        <w:t xml:space="preserve"> </w:t>
      </w:r>
      <w:hyperlink r:id="rId75">
        <w:r>
          <w:rPr>
            <w:rStyle w:val="Hyperlink"/>
            <w:color w:val="0645AD"/>
            <w:u w:val="single"/>
          </w:rPr>
          <w:t xml:space="preserve">90 FR 61084</w:t>
        </w:r>
      </w:hyperlink>
      <w:r>
        <w:t xml:space="preserve"> </w:t>
      </w:r>
      <w:r>
        <w:t xml:space="preserve">(</w:t>
      </w:r>
      <w:r>
        <w:rPr>
          <w:b/>
          <w:bCs/>
        </w:rPr>
        <w:t xml:space="preserve">proposed</w:t>
      </w:r>
      <w:r>
        <w:t xml:space="preserve">, not in force) would reaffirm active oversight, independent judgment, and at least two independent directors.</w:t>
      </w:r>
    </w:p>
    <w:bookmarkEnd w:id="81"/>
    <w:bookmarkStart w:id="83" w:name="X7e264bb5e4e27d0e6cfa4e166737b8622ab3e06"/>
    <w:p>
      <w:pPr>
        <w:pStyle w:val="Heading3"/>
      </w:pPr>
      <w:r>
        <w:t xml:space="preserve">2.5 Non-Codified Charter-Stage and Supervisory Composition Expectations</w:t>
      </w:r>
    </w:p>
    <w:p>
      <w:pPr>
        <w:pStyle w:val="FirstParagraph"/>
      </w:pPr>
      <w:r>
        <w:rPr>
          <w:b/>
          <w:bCs/>
        </w:rPr>
        <w:t xml:space="preserve">Note on sources in this section.</w:t>
      </w:r>
      <w:r>
        <w:t xml:space="preserve"> </w:t>
      </w:r>
      <w:r>
        <w:t xml:space="preserve">All obligations in Items 24 through 35 are supervisory expectations drawn from the OCC Director’s Book (a plain-English publication sometimes labeled 12 CFR 163.33) and the OCC Comptroller’s Licensing Manual. They are non-binding supervisory expectations, not codified rules. Citations to page numbers in the Director’s Book are provided for reference only.</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collectively possess the skills, qualifications, committee structure, and reporting systems necessary for effective oversight</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OCC Director’s Book, p. 22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be</w:t>
            </w:r>
            <w:r>
              <w:t xml:space="preserve"> </w:t>
            </w:r>
            <w:r>
              <w:rPr>
                <w:b/>
                <w:bCs/>
              </w:rPr>
              <w:t xml:space="preserve">willing and able to act independently and provide a credible challenge</w:t>
            </w:r>
            <w:r>
              <w:t xml:space="preserve"> </w:t>
            </w:r>
            <w:r>
              <w:t xml:space="preserve">to senior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OCC Director’s Book, p. 22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must</w:t>
            </w:r>
            <w:r>
              <w:t xml:space="preserve"> </w:t>
            </w:r>
            <w:r>
              <w:rPr>
                <w:b/>
                <w:bCs/>
              </w:rPr>
              <w:t xml:space="preserve">meet all statutory and regulatory requirements</w:t>
            </w:r>
            <w:r>
              <w:t xml:space="preserve"> </w:t>
            </w:r>
            <w:r>
              <w:t xml:space="preserve">governing board size, composition, and structure.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OCC Director’s Book, p. 23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ensure an</w:t>
            </w:r>
            <w:r>
              <w:t xml:space="preserve"> </w:t>
            </w:r>
            <w:r>
              <w:rPr>
                <w:b/>
                <w:bCs/>
              </w:rPr>
              <w:t xml:space="preserve">appropriate mix of inside and outside directors</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actively seek a diverse pool of candidates</w:t>
            </w:r>
            <w:r>
              <w:t xml:space="preserve">, including women, minorities, and individuals with diverse risk-management knowledge.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OCC Director’s Book, p. 25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establish a process to</w:t>
            </w:r>
            <w:r>
              <w:t xml:space="preserve"> </w:t>
            </w:r>
            <w:r>
              <w:rPr>
                <w:b/>
                <w:bCs/>
              </w:rPr>
              <w:t xml:space="preserve">identify, assess, and select director candidates</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24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conduct orientation programs for new directors</w:t>
            </w:r>
            <w:r>
              <w:t xml:space="preserve"> </w:t>
            </w:r>
            <w:r>
              <w:t xml:space="preserve">covering structure, culture, operations, strategic plans, risk appetite, BSA/AML requirements, and roles.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periodically assess its skills and competencies</w:t>
            </w:r>
            <w:r>
              <w:t xml:space="preserve"> </w:t>
            </w:r>
            <w:r>
              <w:t xml:space="preserve">relative to size and complexity, identify gaps, and act.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 individual director should exercise independent judgment and credible challenge; have basic banking, regulatory, and legal knowledge; accept fiduciary duties; and commit to attending and preparing for meetings.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pp. 23-24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determine its leadership structure</w:t>
            </w:r>
            <w:r>
              <w:t xml:space="preserve"> </w:t>
            </w:r>
            <w:r>
              <w:t xml:space="preserve">and define the lead director’s role where the chair is also CEO.</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26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independent directors should</w:t>
            </w:r>
            <w:r>
              <w:t xml:space="preserve"> </w:t>
            </w:r>
            <w:r>
              <w:rPr>
                <w:b/>
                <w:bCs/>
              </w:rPr>
              <w:t xml:space="preserve">convene executive sessions</w:t>
            </w:r>
            <w:r>
              <w:t xml:space="preserve"> </w:t>
            </w:r>
            <w:r>
              <w:t xml:space="preserve">as needed.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51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and management should be</w:t>
            </w:r>
            <w:r>
              <w:t xml:space="preserve"> </w:t>
            </w:r>
            <w:r>
              <w:rPr>
                <w:b/>
                <w:bCs/>
              </w:rPr>
              <w:t xml:space="preserve">transparent about governance structure and practices</w:t>
            </w:r>
            <w:r>
              <w:t xml:space="preserve">, emphasizing composition, the nominating process, succession plans, and 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22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w:t>
            </w:r>
            <w:r>
              <w:t xml:space="preserve"> </w:t>
            </w:r>
            <w:r>
              <w:rPr>
                <w:b/>
                <w:bCs/>
              </w:rPr>
              <w:t xml:space="preserve">select and appoint qualified executive officers</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88 FR 70391</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Withdrawn</w:t>
            </w:r>
          </w:p>
        </w:tc>
      </w:tr>
    </w:tbl>
    <w:p>
      <w:pPr>
        <w:pStyle w:val="BodyText"/>
      </w:pPr>
      <w:r>
        <w:t xml:space="preserve">Item 36 and several majority-independent-director standards derive from the</w:t>
      </w:r>
      <w:r>
        <w:t xml:space="preserve"> </w:t>
      </w:r>
      <w:r>
        <w:rPr>
          <w:b/>
          <w:bCs/>
        </w:rPr>
        <w:t xml:space="preserve">withdrawn</w:t>
      </w:r>
      <w:r>
        <w:t xml:space="preserve"> </w:t>
      </w:r>
      <w:r>
        <w:t xml:space="preserve">FDIC 2023 corporate-governance proposal (</w:t>
      </w:r>
      <w:hyperlink r:id="rId72">
        <w:r>
          <w:rPr>
            <w:rStyle w:val="Hyperlink"/>
            <w:color w:val="0645AD"/>
            <w:u w:val="single"/>
          </w:rPr>
          <w:t xml:space="preserve">88 FR 70391</w:t>
        </w:r>
      </w:hyperlink>
      <w:r>
        <w:t xml:space="preserve">) and impose no obligation; the only binding minimum in force is the OCC heightened-standards</w:t>
      </w:r>
      <w:r>
        <w:t xml:space="preserve"> </w:t>
      </w:r>
      <w:r>
        <w:t xml:space="preserve">“</w:t>
      </w:r>
      <w:r>
        <w:t xml:space="preserve">at least two independent directors</w:t>
      </w:r>
      <w:r>
        <w:t xml:space="preserve">”</w:t>
      </w:r>
      <w:r>
        <w:t xml:space="preserve"> </w:t>
      </w:r>
      <w:r>
        <w:t xml:space="preserve">standard (Item 20). The Federal Reserve’s board-effectiveness materials note that effective boards consider a diverse pool of candidates consistent with the 2015 interagency diversity policy statement (</w:t>
      </w:r>
      <w:hyperlink r:id="rId82">
        <w:r>
          <w:rPr>
            <w:rStyle w:val="Hyperlink"/>
            <w:color w:val="0645AD"/>
            <w:u w:val="single"/>
          </w:rPr>
          <w:t xml:space="preserve">84 FR 4309, Page 2</w:t>
        </w:r>
      </w:hyperlink>
      <w:r>
        <w:t xml:space="preserve">), applicable to firms with $100 billion or more in total assets.</w:t>
      </w:r>
    </w:p>
    <w:bookmarkEnd w:id="83"/>
    <w:bookmarkStart w:id="84" w:name="Xfdd5f22384b6e814cc6dc4fc844d1ec30ca29a6"/>
    <w:p>
      <w:pPr>
        <w:pStyle w:val="Heading3"/>
      </w:pPr>
      <w:r>
        <w:t xml:space="preserve">2.6 Audit Committee Independence and Expertise (FDIA § 36 / Part 363)</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each IDI the FDIC determines to be a</w:t>
            </w:r>
            <w:r>
              <w:t xml:space="preserve"> </w:t>
            </w:r>
            <w:r>
              <w:rPr>
                <w:b/>
                <w:bCs/>
              </w:rPr>
              <w:t xml:space="preserve">large institution</w:t>
            </w:r>
            <w:r>
              <w:t xml:space="preserve">, the audit committee must include members with</w:t>
            </w:r>
            <w:r>
              <w:t xml:space="preserve"> </w:t>
            </w:r>
            <w:r>
              <w:rPr>
                <w:b/>
                <w:bCs/>
              </w:rPr>
              <w:t xml:space="preserve">banking or related financial management expertise</w:t>
            </w:r>
            <w:r>
              <w:t xml:space="preserve">,</w:t>
            </w:r>
            <w:r>
              <w:t xml:space="preserve"> </w:t>
            </w:r>
            <w:r>
              <w:rPr>
                <w:b/>
                <w:bCs/>
              </w:rPr>
              <w:t xml:space="preserve">have access to its own outside counsel</w:t>
            </w:r>
            <w:r>
              <w:t xml:space="preserve">, and</w:t>
            </w:r>
            <w:r>
              <w:t xml:space="preserve"> </w:t>
            </w:r>
            <w:r>
              <w:rPr>
                <w:b/>
                <w:bCs/>
              </w:rPr>
              <w:t xml:space="preserve">not include any large customers</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Section 36(g)(1)(C)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IDIs with assets</w:t>
            </w:r>
            <w:r>
              <w:t xml:space="preserve"> </w:t>
            </w:r>
            <w:r>
              <w:rPr>
                <w:b/>
                <w:bCs/>
              </w:rPr>
              <w:t xml:space="preserve">greater than $5 billion</w:t>
            </w:r>
            <w:r>
              <w:t xml:space="preserve"> </w:t>
            </w:r>
            <w:r>
              <w:t xml:space="preserve">must comply with</w:t>
            </w:r>
            <w:r>
              <w:t xml:space="preserve"> </w:t>
            </w:r>
            <w:r>
              <w:rPr>
                <w:b/>
                <w:bCs/>
              </w:rPr>
              <w:t xml:space="preserve">additional minimum audit-committee composition requirements</w:t>
            </w:r>
            <w:r>
              <w:t xml:space="preserve"> </w:t>
            </w:r>
            <w:r>
              <w:t xml:space="preserve">(12 CFR 363.5(b)); the threshold was raised from $3 billion, removing approximately 123 IDIs from this tier.</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90 FR 55789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IDIs with</w:t>
            </w:r>
            <w:r>
              <w:t xml:space="preserve"> </w:t>
            </w:r>
            <w:r>
              <w:rPr>
                <w:b/>
                <w:bCs/>
              </w:rPr>
              <w:t xml:space="preserve">over $1 billion</w:t>
            </w:r>
            <w:r>
              <w:t xml:space="preserve"> </w:t>
            </w:r>
            <w:r>
              <w:t xml:space="preserve">in total consolidated assets are subject to</w:t>
            </w:r>
            <w:r>
              <w:t xml:space="preserve"> </w:t>
            </w:r>
            <w:r>
              <w:rPr>
                <w:b/>
                <w:bCs/>
              </w:rPr>
              <w:t xml:space="preserve">independence and experience requirements</w:t>
            </w:r>
            <w:r>
              <w:t xml:space="preserve"> </w:t>
            </w:r>
            <w:r>
              <w:t xml:space="preserve">for audit-committee members.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90 FR 35449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determining whether an outside director is</w:t>
            </w:r>
            <w:r>
              <w:t xml:space="preserve"> </w:t>
            </w:r>
            <w:r>
              <w:rPr>
                <w:b/>
                <w:bCs/>
              </w:rPr>
              <w:t xml:space="preserve">“</w:t>
            </w:r>
            <w:r>
              <w:rPr>
                <w:b/>
                <w:bCs/>
              </w:rPr>
              <w:t xml:space="preserve">independent of management,</w:t>
            </w:r>
            <w:r>
              <w:rPr>
                <w:b/>
                <w:bCs/>
              </w:rPr>
              <w:t xml:space="preserve">”</w:t>
            </w:r>
            <w:r>
              <w:t xml:space="preserve"> </w:t>
            </w:r>
            <w:r>
              <w:t xml:space="preserve">the board should consider affiliations; if a director owns or controls</w:t>
            </w:r>
            <w:r>
              <w:t xml:space="preserve"> </w:t>
            </w:r>
            <w:r>
              <w:rPr>
                <w:b/>
                <w:bCs/>
              </w:rPr>
              <w:t xml:space="preserve">10% or more</w:t>
            </w:r>
            <w:r>
              <w:t xml:space="preserve"> </w:t>
            </w:r>
            <w:r>
              <w:t xml:space="preserve">of any voting-securities class, the board must</w:t>
            </w:r>
            <w:r>
              <w:t xml:space="preserve"> </w:t>
            </w:r>
            <w:r>
              <w:rPr>
                <w:b/>
                <w:bCs/>
              </w:rPr>
              <w:t xml:space="preserve">determine and document</w:t>
            </w:r>
            <w:r>
              <w:t xml:space="preserve"> </w:t>
            </w:r>
            <w:r>
              <w:t xml:space="preserve">whether such ownership interferes with independent judgment.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Appendix A, Guideline 28 and 28(a)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apply the criteria in</w:t>
            </w:r>
            <w:r>
              <w:t xml:space="preserve"> </w:t>
            </w:r>
            <w:r>
              <w:rPr>
                <w:b/>
                <w:bCs/>
              </w:rPr>
              <w:t xml:space="preserve">Appendix A, Guideline 28</w:t>
            </w:r>
            <w:r>
              <w:t xml:space="preserve"> </w:t>
            </w:r>
            <w:r>
              <w:t xml:space="preserve">when determining audit-committee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90 FR 35449; 90 FR 55789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person has the</w:t>
            </w:r>
            <w:r>
              <w:t xml:space="preserve"> </w:t>
            </w:r>
            <w:r>
              <w:rPr>
                <w:b/>
                <w:bCs/>
              </w:rPr>
              <w:t xml:space="preserve">required audit-committee expertise</w:t>
            </w:r>
            <w:r>
              <w:t xml:space="preserve"> </w:t>
            </w:r>
            <w:r>
              <w:t xml:space="preserve">if the board determines significant executive, professional, educational, or regulatory experience in financial, auditing, accounting, or banking matters; SEC</w:t>
            </w:r>
            <w:r>
              <w:t xml:space="preserve"> </w:t>
            </w:r>
            <w:r>
              <w:t xml:space="preserve">“</w:t>
            </w:r>
            <w:r>
              <w:t xml:space="preserve">audit committee financial expert</w:t>
            </w:r>
            <w:r>
              <w:t xml:space="preserve">”</w:t>
            </w:r>
            <w:r>
              <w:t xml:space="preserve"> </w:t>
            </w:r>
            <w:r>
              <w:t xml:space="preserve">attributes satisfy this.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Appendix A, Guideline 32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t xml:space="preserve">The FDIC has</w:t>
      </w:r>
      <w:r>
        <w:t xml:space="preserve"> </w:t>
      </w:r>
      <w:r>
        <w:rPr>
          <w:b/>
          <w:bCs/>
        </w:rPr>
        <w:t xml:space="preserve">raised the compensation threshold</w:t>
      </w:r>
      <w:r>
        <w:t xml:space="preserve"> </w:t>
      </w:r>
      <w:r>
        <w:t xml:space="preserve">used to determine</w:t>
      </w:r>
      <w:r>
        <w:t xml:space="preserve"> </w:t>
      </w:r>
      <w:r>
        <w:t xml:space="preserve">“</w:t>
      </w:r>
      <w:r>
        <w:t xml:space="preserve">independent of management</w:t>
      </w:r>
      <w:r>
        <w:t xml:space="preserve">”</w:t>
      </w:r>
      <w:r>
        <w:t xml:space="preserve"> </w:t>
      </w:r>
      <w:r>
        <w:t xml:space="preserve">under Guidelines 28(a)(4) and 28(b)(4)</w:t>
      </w:r>
      <w:r>
        <w:t xml:space="preserve"> </w:t>
      </w:r>
      <w:r>
        <w:rPr>
          <w:b/>
          <w:bCs/>
        </w:rPr>
        <w:t xml:space="preserve">from $100,000 to $120,000</w:t>
      </w:r>
      <w:r>
        <w:t xml:space="preserve">, to align with national securities exchange listing standards (</w:t>
      </w:r>
      <w:hyperlink r:id="rId41">
        <w:r>
          <w:rPr>
            <w:rStyle w:val="Hyperlink"/>
            <w:color w:val="0645AD"/>
            <w:u w:val="single"/>
          </w:rPr>
          <w:t xml:space="preserve">90 FR 55789</w:t>
        </w:r>
      </w:hyperlink>
      <w:r>
        <w:t xml:space="preserve">); this is in force.</w:t>
      </w:r>
    </w:p>
    <w:bookmarkEnd w:id="84"/>
    <w:bookmarkStart w:id="85" w:name="Xa211ed288b391ddd8ece9c8017e46b892ea3998"/>
    <w:p>
      <w:pPr>
        <w:pStyle w:val="Heading3"/>
      </w:pPr>
      <w:r>
        <w:t xml:space="preserve">2.7 Risk Committee Independence and Expertise (Federal Reserve Enhanced Prudential Standards)</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risk committee of a</w:t>
            </w:r>
            <w:r>
              <w:t xml:space="preserve"> </w:t>
            </w:r>
            <w:r>
              <w:rPr>
                <w:b/>
                <w:bCs/>
              </w:rPr>
              <w:t xml:space="preserve">BHC</w:t>
            </w:r>
            <w:r>
              <w:t xml:space="preserve"> </w:t>
            </w:r>
            <w:r>
              <w:t xml:space="preserve">subject to the rule must include at least one member with large-complex-firm risk experience and be</w:t>
            </w:r>
            <w:r>
              <w:t xml:space="preserve"> </w:t>
            </w:r>
            <w:r>
              <w:rPr>
                <w:b/>
                <w:bCs/>
              </w:rPr>
              <w:t xml:space="preserve">chaired by an independent director</w:t>
            </w:r>
            <w:r>
              <w:t xml:space="preserve"> </w:t>
            </w:r>
            <w:r>
              <w:t xml:space="preserve">(not an officer/employee currently or in the prior three years; not an immediate family member of a recent executive officer; independent under SEC Regulation S-K Item 407 (17 CFR 229.407(a)) or exchange listing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p. 59103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risk committee of a</w:t>
            </w:r>
            <w:r>
              <w:t xml:space="preserve"> </w:t>
            </w:r>
            <w:r>
              <w:rPr>
                <w:b/>
                <w:bCs/>
              </w:rPr>
              <w:t xml:space="preserve">covered SLHC</w:t>
            </w:r>
            <w:r>
              <w:t xml:space="preserve"> </w:t>
            </w:r>
            <w:r>
              <w:t xml:space="preserve">is subject to the parallel chair-independence and experienced-member requirement.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 238.122(a)(4))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a</w:t>
            </w:r>
            <w:r>
              <w:t xml:space="preserve"> </w:t>
            </w:r>
            <w:r>
              <w:rPr>
                <w:b/>
                <w:bCs/>
              </w:rPr>
              <w:t xml:space="preserve">U.S. IHC</w:t>
            </w:r>
            <w:r>
              <w:t xml:space="preserve">, the risk committee must include at least one large-complex-firm risk-experienced member and</w:t>
            </w:r>
            <w:r>
              <w:t xml:space="preserve"> </w:t>
            </w:r>
            <w:r>
              <w:rPr>
                <w:b/>
                <w:bCs/>
              </w:rPr>
              <w:t xml:space="preserve">at least one independent member</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79 FR 17324(e)(2)(iv); FRS Rule 252.147(e)(2)(iv)</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IHC risk committee under</w:t>
            </w:r>
            <w:r>
              <w:t xml:space="preserve"> </w:t>
            </w:r>
            <w:r>
              <w:rPr>
                <w:b/>
                <w:bCs/>
              </w:rPr>
              <w:t xml:space="preserve">FRS Rule 252.153(e)(3)(iv)</w:t>
            </w:r>
            <w:r>
              <w:t xml:space="preserve"> </w:t>
            </w:r>
            <w:r>
              <w:t xml:space="preserve">likewise requires at least one experienced member and at least one independent member.</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252.153(e)(3)(iv)</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bl>
    <w:p>
      <w:pPr>
        <w:pStyle w:val="BodyText"/>
      </w:pPr>
      <w:r>
        <w:t xml:space="preserve">The IHC risk-committee composition rules at FRS Rules 252.147 and 252.153 carry a pending amendment; the domestic BHC and SLHC rules (Items 43–44) carry no such flag.</w:t>
      </w:r>
      <w:r>
        <w:t xml:space="preserve"> </w:t>
      </w:r>
      <w:r>
        <w:rPr>
          <w:b/>
          <w:bCs/>
        </w:rPr>
        <w:t xml:space="preserve">Items 45 and 46 apply to U.S. IHCs of foreign banking organizations and are out-of-scope for a domestic Category I U.S. GSIB BHC or its IDI subsidiaries.</w:t>
      </w:r>
    </w:p>
    <w:bookmarkEnd w:id="85"/>
    <w:bookmarkStart w:id="86" w:name="X7af45669c00e64d87357795aec06a9a28986299"/>
    <w:p>
      <w:pPr>
        <w:pStyle w:val="Heading3"/>
      </w:pPr>
      <w:r>
        <w:t xml:space="preserve">2.8 SEC Independence-Disclosure Requirements (Regulation S-K)</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determining director independence, the board must</w:t>
            </w:r>
            <w:r>
              <w:t xml:space="preserve"> </w:t>
            </w:r>
            <w:r>
              <w:rPr>
                <w:b/>
                <w:bCs/>
              </w:rPr>
              <w:t xml:space="preserve">describe, by category or type, any transactions, relationships, or arrangements not disclosed under Item 404(a)</w:t>
            </w:r>
            <w:r>
              <w:t xml:space="preserve"> </w:t>
            </w:r>
            <w:r>
              <w:t xml:space="preserve">that were considered.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Reg S-K Rule 229.407(a)(3)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bl>
    <w:bookmarkEnd w:id="86"/>
    <w:bookmarkStart w:id="87" w:name="X3d27de7941c8272839a31673a7456f21159a766"/>
    <w:p>
      <w:pPr>
        <w:pStyle w:val="Heading3"/>
      </w:pPr>
      <w:r>
        <w:t xml:space="preserve">2.9 Charter-Stage and Application-Specific Composition Mechanics</w:t>
      </w:r>
    </w:p>
    <w:tbl>
      <w:tblPr>
        <w:tblStyle w:val="Table"/>
        <w:tblW w:type="pct" w:w="5000"/>
        <w:jc w:val="left"/>
        <w:tblLayout w:type="fixed"/>
        <w:tblLook w:firstRow="1" w:lastRow="0" w:firstColumn="0" w:lastColumn="0" w:noHBand="0" w:noVBand="0" w:val="0020"/>
      </w:tblPr>
      <w:tblGrid>
        <w:gridCol w:w="698"/>
        <w:gridCol w:w="2795"/>
        <w:gridCol w:w="2562"/>
        <w:gridCol w:w="1863"/>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affairs of each bank must be</w:t>
            </w:r>
            <w:r>
              <w:t xml:space="preserve"> </w:t>
            </w:r>
            <w:r>
              <w:rPr>
                <w:b/>
                <w:bCs/>
              </w:rPr>
              <w:t xml:space="preserve">managed by directors initially elected by shareholders</w:t>
            </w:r>
            <w:r>
              <w:t xml:space="preserve"> </w:t>
            </w:r>
            <w:r>
              <w:t xml:space="preserve">before commencing business, then at least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At the organization meeting, newly elected directors must</w:t>
            </w:r>
            <w:r>
              <w:t xml:space="preserve"> </w:t>
            </w:r>
            <w:r>
              <w:rPr>
                <w:b/>
                <w:bCs/>
              </w:rPr>
              <w:t xml:space="preserve">document key corporate actions in the minutes</w:t>
            </w:r>
            <w:r>
              <w:t xml:space="preserve"> </w:t>
            </w:r>
            <w:r>
              <w:t xml:space="preserve">(oaths, officer elections, capital certification, bylaw ratification, standing committees, depository selection).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Directors of an affiliated bank must</w:t>
            </w:r>
            <w:r>
              <w:t xml:space="preserve"> </w:t>
            </w:r>
            <w:r>
              <w:rPr>
                <w:b/>
                <w:bCs/>
              </w:rPr>
              <w:t xml:space="preserve">act primarily in the best interest of the bank</w:t>
            </w:r>
            <w:r>
              <w:t xml:space="preserve"> </w:t>
            </w:r>
            <w:r>
              <w:t xml:space="preserve">and exercise objective judgment independent of sponsor influence.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Comptroller’s Licensing Manual, Charters, Conflicts of Interest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director should exercise sound, independent judgment, and the board should not be</w:t>
            </w:r>
            <w:r>
              <w:t xml:space="preserve"> </w:t>
            </w:r>
            <w:r>
              <w:rPr>
                <w:b/>
                <w:bCs/>
              </w:rPr>
              <w:t xml:space="preserve">excessively influenced by a dominant policymaker</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Rules Part 364 Appendix C(C)(6)</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an applicant seeking to issue</w:t>
            </w:r>
            <w:r>
              <w:t xml:space="preserve"> </w:t>
            </w:r>
            <w:r>
              <w:rPr>
                <w:b/>
                <w:bCs/>
              </w:rPr>
              <w:t xml:space="preserve">payment stablecoins</w:t>
            </w:r>
            <w:r>
              <w:t xml:space="preserve">, each director would submit the Interagency Biographical and Financial Report.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91 FR 10202</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w:t>
            </w:r>
          </w:p>
        </w:tc>
      </w:tr>
    </w:tbl>
    <w:bookmarkEnd w:id="87"/>
    <w:bookmarkStart w:id="88" w:name="Xb039737950776789176b3c5eaa0adb2c61a69d1"/>
    <w:p>
      <w:pPr>
        <w:pStyle w:val="Heading3"/>
      </w:pPr>
      <w:r>
        <w:t xml:space="preserve">2.10 Structural Observations for Burden-Reduction Analysis</w:t>
      </w:r>
    </w:p>
    <w:p>
      <w:pPr>
        <w:pStyle w:val="FirstParagraph"/>
      </w:pPr>
      <w:r>
        <w:t xml:space="preserve">Four features warrant attention.</w:t>
      </w:r>
      <w:r>
        <w:t xml:space="preserve"> </w:t>
      </w:r>
      <w:r>
        <w:rPr>
          <w:b/>
          <w:bCs/>
        </w:rPr>
        <w:t xml:space="preserve">(a) Four parallel independence regimes, one objective:</w:t>
      </w:r>
      <w:r>
        <w:t xml:space="preserve"> </w:t>
      </w:r>
      <w:r>
        <w:t xml:space="preserve">director independence is mandated through FDIA §36/Part 363 (audit committee), OCC Appendix D (board generally), Federal Reserve risk-committee rules, and SEC Regulation S-K disclosure — each anchoring to exchange listing standards yet requiring its own determination.</w:t>
      </w:r>
      <w:r>
        <w:t xml:space="preserve"> </w:t>
      </w:r>
      <w:r>
        <w:rPr>
          <w:b/>
          <w:bCs/>
        </w:rPr>
        <w:t xml:space="preserve">(b) Redundant family/employment tests:</w:t>
      </w:r>
      <w:r>
        <w:t xml:space="preserve"> </w:t>
      </w:r>
      <w:r>
        <w:t xml:space="preserve">the three-year employment look-back and the Regulation Y (12 CFR 225.41(b)(3)) / Regulation O (12 CFR 215.2(e)(1)) cross-references recur verbatim across the OCC rule (Item 20), the Federal Reserve BHC/SLHC rules (Items 43–44), and the IHC rules (Items 45–46) — one substantive test in at least five codifications.</w:t>
      </w:r>
      <w:r>
        <w:t xml:space="preserve"> </w:t>
      </w:r>
      <w:r>
        <w:rPr>
          <w:b/>
          <w:bCs/>
        </w:rPr>
        <w:t xml:space="preserve">(c) Threshold layering:</w:t>
      </w:r>
      <w:r>
        <w:t xml:space="preserve"> </w:t>
      </w:r>
      <w:r>
        <w:t xml:space="preserve">audit-committee obligations stack at $1 billion, $3 billion, and the FDIC</w:t>
      </w:r>
      <w:r>
        <w:t xml:space="preserve"> </w:t>
      </w:r>
      <w:r>
        <w:t xml:space="preserve">“</w:t>
      </w:r>
      <w:r>
        <w:t xml:space="preserve">large institution</w:t>
      </w:r>
      <w:r>
        <w:t xml:space="preserve">”</w:t>
      </w:r>
      <w:r>
        <w:t xml:space="preserve"> </w:t>
      </w:r>
      <w:r>
        <w:t xml:space="preserve">determination, separate from the OCC $50 billion</w:t>
      </w:r>
      <w:r>
        <w:t xml:space="preserve"> </w:t>
      </w:r>
      <w:r>
        <w:t xml:space="preserve">“</w:t>
      </w:r>
      <w:r>
        <w:t xml:space="preserve">covered bank</w:t>
      </w:r>
      <w:r>
        <w:t xml:space="preserve">”</w:t>
      </w:r>
      <w:r>
        <w:t xml:space="preserve"> </w:t>
      </w:r>
      <w:r>
        <w:t xml:space="preserve">trigger and the Federal Reserve $100 billion</w:t>
      </w:r>
      <w:r>
        <w:t xml:space="preserve"> </w:t>
      </w:r>
      <w:r>
        <w:t xml:space="preserve">“</w:t>
      </w:r>
      <w:r>
        <w:t xml:space="preserve">large firm</w:t>
      </w:r>
      <w:r>
        <w:t xml:space="preserve">”</w:t>
      </w:r>
      <w:r>
        <w:t xml:space="preserve"> </w:t>
      </w:r>
      <w:r>
        <w:t xml:space="preserve">threshold.</w:t>
      </w:r>
      <w:r>
        <w:t xml:space="preserve"> </w:t>
      </w:r>
      <w:r>
        <w:rPr>
          <w:b/>
          <w:bCs/>
        </w:rPr>
        <w:t xml:space="preserve">(d) Pending change:</w:t>
      </w:r>
      <w:r>
        <w:t xml:space="preserve"> </w:t>
      </w:r>
      <w:r>
        <w:t xml:space="preserve">the OCC heightened-standards independent-director requirement (Appendix D(III)(D)), the IHC risk-committee rules, and Regulation S-K Item 407 each carry pending amendments and are the most likely near-term consolidation vehicles.</w:t>
      </w:r>
    </w:p>
    <w:bookmarkEnd w:id="88"/>
    <w:bookmarkEnd w:id="89"/>
    <w:bookmarkStart w:id="93" w:name="X9c5c573b149be55f57ec9f8c2a5be7cb4faa653"/>
    <w:p>
      <w:pPr>
        <w:pStyle w:val="Heading2"/>
      </w:pPr>
      <w:r>
        <w:t xml:space="preserve">Section 3: Enterprise Risk Governance: Board-Level Obligations Under OCC Heightened Standards (12 CFR Part 30, Appendix D)</w:t>
      </w:r>
    </w:p>
    <w:p>
      <w:pPr>
        <w:pStyle w:val="FirstParagraph"/>
      </w:pPr>
      <w:r>
        <w:t xml:space="preserve">The OCC Guidelines Establishing Heightened Standards apply to</w:t>
      </w:r>
      <w:r>
        <w:t xml:space="preserve"> </w:t>
      </w:r>
      <w:r>
        <w:t xml:space="preserve">“</w:t>
      </w:r>
      <w:r>
        <w:t xml:space="preserve">covered banks,</w:t>
      </w:r>
      <w:r>
        <w:t xml:space="preserve">”</w:t>
      </w:r>
      <w:r>
        <w:t xml:space="preserve"> </w:t>
      </w:r>
      <w:r>
        <w:t xml:space="preserve">defined under the current Appendix D as banks with average total consolidated assets of $50 billion or greater (or individually designated by the OCC) (</w:t>
      </w:r>
      <w:hyperlink r:id="rId90">
        <w:r>
          <w:rPr>
            <w:rStyle w:val="Hyperlink"/>
            <w:color w:val="0645AD"/>
            <w:u w:val="single"/>
          </w:rPr>
          <w:t xml:space="preserve">12 CFR Part 30, Appendix D</w:t>
        </w:r>
      </w:hyperlink>
      <w:r>
        <w:t xml:space="preserve">). Every Category I G-SIB insured national bank or federal savings association subsidiary falls within scope. The Comptroller’s Handbook confirms that for covered banks</w:t>
      </w:r>
      <w:r>
        <w:t xml:space="preserve"> </w:t>
      </w:r>
      <w:r>
        <w:t xml:space="preserve">“</w:t>
      </w:r>
      <w:r>
        <w:t xml:space="preserve">the board or risk committee must approve a formal written risk governance framework, risk appetite statement, risk limits, and related reporting and monitoring processes</w:t>
      </w:r>
      <w:r>
        <w:t xml:space="preserve">”</w:t>
      </w:r>
      <w:r>
        <w:t xml:space="preserve"> </w:t>
      </w:r>
      <w:r>
        <w:t xml:space="preserve">(</w:t>
      </w:r>
      <w:hyperlink r:id="rId91">
        <w:r>
          <w:rPr>
            <w:rStyle w:val="Hyperlink"/>
            <w:color w:val="0645AD"/>
            <w:u w:val="single"/>
          </w:rPr>
          <w:t xml:space="preserve">Comptroller’s Handbook, Corporate and Risk Governance</w:t>
        </w:r>
      </w:hyperlink>
      <w:r>
        <w:t xml:space="preserve">). The binding operative rule is 12 CFR Part 30, Appendix D; the OCC Director’s Book (sometimes labeled 12 CFR 163.33) is a plain-English supervisory publication that describes but does not itself codify these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Board-Level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 Pinpoint</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Frequency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Require management to establish and implement an effective risk governance framework; approve significant changes; monitor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§III.A</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 formal, written risk governance framework designed by independent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§II.A</w:t>
              </w:r>
            </w:hyperlink>
            <w:r>
              <w:t xml:space="preserve">;</w:t>
            </w:r>
            <w:r>
              <w:t xml:space="preserve"> </w:t>
            </w:r>
            <w:hyperlink r:id="rId48">
              <w:r>
                <w:rPr>
                  <w:rStyle w:val="Hyperlink"/>
                  <w:color w:val="0645AD"/>
                  <w:u w:val="single"/>
                </w:rPr>
                <w:t xml:space="preserve">79 FR 54518, p. 11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Reviewed/updated ≥ annually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Actively oversee risk-taking activities; hold management accountable; rely on independent risk management and internal audit to question, challenge, and oppose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§III.B</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member exercise sound, independent judgment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and approve the risk appetite statement (board or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§II.G.1</w:t>
              </w:r>
            </w:hyperlink>
            <w:r>
              <w:t xml:space="preserve">;</w:t>
            </w:r>
            <w:r>
              <w:t xml:space="preserve"> </w:t>
            </w:r>
            <w:hyperlink r:id="rId27">
              <w:r>
                <w:rPr>
                  <w:rStyle w:val="Hyperlink"/>
                  <w:color w:val="0645AD"/>
                  <w:u w:val="single"/>
                </w:rPr>
                <w:t xml:space="preserve">OCC Director’s Book, p. 62</w:t>
              </w:r>
            </w:hyperlink>
            <w:r>
              <w:t xml:space="preserve"> </w:t>
            </w:r>
            <w:r>
              <w:t xml:space="preserve">(explanatory)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Evaluate and approve the strategic plan (≥ 3-year horizon) and monitor implementation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§II.D</w:t>
              </w:r>
            </w:hyperlink>
            <w:r>
              <w:t xml:space="preserve">;</w:t>
            </w:r>
            <w:r>
              <w:t xml:space="preserve"> </w:t>
            </w:r>
            <w:hyperlink r:id="rId48">
              <w:r>
                <w:rPr>
                  <w:rStyle w:val="Hyperlink"/>
                  <w:color w:val="0645AD"/>
                  <w:u w:val="single"/>
                </w:rPr>
                <w:t xml:space="preserve">79 FR 54518, p. 14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Appoint a CEO and appoint/approve a CAE and CRE(s); review/approve a written talent management program; assign and hold accountable responsible individuals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48">
              <w:r>
                <w:rPr>
                  <w:rStyle w:val="Hyperlink"/>
                  <w:color w:val="0645AD"/>
                  <w:u w:val="single"/>
                </w:rPr>
                <w:t xml:space="preserve">79 FR 54518, p. 19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appointment/removal, annual compensation, and salary adjustment of the CRE(s) (board or risk committee); audit committee for the CAE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§I.E.7(c), §I.E.8(c)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each CRE has unrestricted access to the board and its committees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§I.E.7(b)</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 and adhere to a formal, ongoing training program for all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§III.E</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Conduct an annual self-assessment of effectiveness in meeting Section III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§III.F</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Annually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Set the tone at the top; promote risk awareness and a sound risk culture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§II.A</w:t>
              </w:r>
            </w:hyperlink>
            <w:r>
              <w:t xml:space="preserve">;</w:t>
            </w:r>
            <w:r>
              <w:t xml:space="preserve"> </w:t>
            </w:r>
            <w:hyperlink r:id="rId48">
              <w:r>
                <w:rPr>
                  <w:rStyle w:val="Hyperlink"/>
                  <w:color w:val="0645AD"/>
                  <w:u w:val="single"/>
                </w:rPr>
                <w:t xml:space="preserve">79 FR 54518, p. 11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Require a periodic independent assessment of overall risk governance and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§II.B</w:t>
              </w:r>
            </w:hyperlink>
            <w:r>
              <w:t xml:space="preserve">;</w:t>
            </w:r>
            <w:r>
              <w:t xml:space="preserve"> </w:t>
            </w:r>
            <w:hyperlink r:id="rId48">
              <w:r>
                <w:rPr>
                  <w:rStyle w:val="Hyperlink"/>
                  <w:color w:val="0645AD"/>
                  <w:u w:val="single"/>
                </w:rPr>
                <w:t xml:space="preserve">79 FR 54518, p. 12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 bank-level risk appetite statement and document material differences where adopting the parent framework</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§II.G</w:t>
              </w:r>
            </w:hyperlink>
            <w:r>
              <w:t xml:space="preserve">;</w:t>
            </w:r>
            <w:r>
              <w:t xml:space="preserve"> </w:t>
            </w:r>
            <w:hyperlink r:id="rId48">
              <w:r>
                <w:rPr>
                  <w:rStyle w:val="Hyperlink"/>
                  <w:color w:val="0645AD"/>
                  <w:u w:val="single"/>
                </w:rPr>
                <w:t xml:space="preserve">79 FR 54518</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bl>
    <w:p>
      <w:pPr>
        <w:pStyle w:val="BodyText"/>
      </w:pPr>
      <w:r>
        <w:t xml:space="preserve">A G-SIB’s IDI subsidiary need not always build a standalone framework: a covered bank may use its parent company’s framework in its entirety, without modification, if it meets the minimum standards and the risk profiles are</w:t>
      </w:r>
      <w:r>
        <w:t xml:space="preserve"> </w:t>
      </w:r>
      <w:r>
        <w:t xml:space="preserve">“</w:t>
      </w:r>
      <w:r>
        <w:t xml:space="preserve">substantially the same</w:t>
      </w:r>
      <w:r>
        <w:t xml:space="preserve">”</w:t>
      </w:r>
      <w:r>
        <w:t xml:space="preserve"> </w:t>
      </w:r>
      <w:r>
        <w:t xml:space="preserve">— a test met when, over the four most recent consecutive quarters, the covered bank’s average total consolidated assets represent 95 percent or more of the parent’s (</w:t>
      </w:r>
      <w:hyperlink r:id="rId48">
        <w:r>
          <w:rPr>
            <w:rStyle w:val="Hyperlink"/>
            <w:color w:val="0645AD"/>
            <w:u w:val="single"/>
          </w:rPr>
          <w:t xml:space="preserve">79 FR 54520</w:t>
        </w:r>
      </w:hyperlink>
      <w:r>
        <w:t xml:space="preserve">). This election is a focal point for burden-reduction analysis, because the parent-board and IDI-board obligations are deliberately differentiated:</w:t>
      </w:r>
      <w:r>
        <w:t xml:space="preserve"> </w:t>
      </w:r>
      <w:r>
        <w:t xml:space="preserve">“</w:t>
      </w:r>
      <w:r>
        <w:t xml:space="preserve">a parent company’s board of directors and management will need to understand and manage aggregate risks that cross legal entities, while a covered bank’s board and management will need to understand and manage only the covered bank’s individual risk profile</w:t>
      </w:r>
      <w:r>
        <w:t xml:space="preserve">”</w:t>
      </w:r>
      <w:r>
        <w:t xml:space="preserve"> </w:t>
      </w:r>
      <w:r>
        <w:t xml:space="preserve">(</w:t>
      </w:r>
      <w:hyperlink r:id="rId48">
        <w:r>
          <w:rPr>
            <w:rStyle w:val="Hyperlink"/>
            <w:color w:val="0645AD"/>
            <w:u w:val="single"/>
          </w:rPr>
          <w:t xml:space="preserve">79 FR 54521</w:t>
        </w:r>
      </w:hyperlink>
      <w:r>
        <w:t xml:space="preserve">).</w:t>
      </w:r>
    </w:p>
    <w:p>
      <w:pPr>
        <w:pStyle w:val="BodyText"/>
      </w:pPr>
      <w:r>
        <w:t xml:space="preserve">The board’s role with respect to the risk appetite statement is approval, not limit-setting:</w:t>
      </w:r>
      <w:r>
        <w:t xml:space="preserve"> </w:t>
      </w:r>
      <w:r>
        <w:t xml:space="preserve">“</w:t>
      </w:r>
      <w:r>
        <w:t xml:space="preserve">[t]he board is not responsible for setting specific risk limits, but the board is required to review and approve the Statement</w:t>
      </w:r>
      <w:r>
        <w:t xml:space="preserve">”</w:t>
      </w:r>
      <w:r>
        <w:t xml:space="preserve"> </w:t>
      </w:r>
      <w:r>
        <w:t xml:space="preserve">(</w:t>
      </w:r>
      <w:hyperlink r:id="rId48">
        <w:r>
          <w:rPr>
            <w:rStyle w:val="Hyperlink"/>
            <w:color w:val="0645AD"/>
            <w:u w:val="single"/>
          </w:rPr>
          <w:t xml:space="preserve">79 FR 54533</w:t>
        </w:r>
      </w:hyperlink>
      <w:r>
        <w:t xml:space="preserve">). Independent risk management and internal audit must have unrestricted access to the board, independent from front line unit management and, when necessary, the CEO (</w:t>
      </w:r>
      <w:hyperlink r:id="rId48">
        <w:r>
          <w:rPr>
            <w:rStyle w:val="Hyperlink"/>
            <w:color w:val="0645AD"/>
            <w:u w:val="single"/>
          </w:rPr>
          <w:t xml:space="preserve">79 FR 54518, p. 12</w:t>
        </w:r>
      </w:hyperlink>
      <w:r>
        <w:t xml:space="preserve">).</w:t>
      </w:r>
    </w:p>
    <w:p>
      <w:pPr>
        <w:pStyle w:val="BodyText"/>
      </w:pPr>
      <w:r>
        <w:rPr>
          <w:b/>
          <w:bCs/>
        </w:rPr>
        <w:t xml:space="preserve">Status caution — pending redefinition of</w:t>
      </w:r>
      <w:r>
        <w:rPr>
          <w:b/>
          <w:bCs/>
        </w:rPr>
        <w:t xml:space="preserve"> </w:t>
      </w:r>
      <w:r>
        <w:rPr>
          <w:b/>
          <w:bCs/>
        </w:rPr>
        <w:t xml:space="preserve">“</w:t>
      </w:r>
      <w:r>
        <w:rPr>
          <w:b/>
          <w:bCs/>
        </w:rPr>
        <w:t xml:space="preserve">covered bank.</w:t>
      </w:r>
      <w:r>
        <w:rPr>
          <w:b/>
          <w:bCs/>
        </w:rPr>
        <w:t xml:space="preserve">”</w:t>
      </w:r>
      <w:r>
        <w:t xml:space="preserve"> </w:t>
      </w:r>
      <w:r>
        <w:t xml:space="preserve">The OCC has proposed to recalibrate the scope trigger so that</w:t>
      </w:r>
      <w:r>
        <w:t xml:space="preserve"> </w:t>
      </w:r>
      <w:r>
        <w:t xml:space="preserve">“</w:t>
      </w:r>
      <w:r>
        <w:t xml:space="preserve">covered bank</w:t>
      </w:r>
      <w:r>
        <w:t xml:space="preserve">”</w:t>
      </w:r>
      <w:r>
        <w:t xml:space="preserve"> </w:t>
      </w:r>
      <w:r>
        <w:t xml:space="preserve">would mean an institution with average total consolidated assets of $700 billion or more (</w:t>
      </w:r>
      <w:hyperlink r:id="rId92">
        <w:r>
          <w:rPr>
            <w:rStyle w:val="Hyperlink"/>
            <w:color w:val="0645AD"/>
            <w:u w:val="single"/>
          </w:rPr>
          <w:t xml:space="preserve">OCC Bulletin 2025-51</w:t>
        </w:r>
      </w:hyperlink>
      <w:r>
        <w:t xml:space="preserve">;</w:t>
      </w:r>
      <w:r>
        <w:t xml:space="preserve"> </w:t>
      </w:r>
      <w:hyperlink r:id="rId75">
        <w:r>
          <w:rPr>
            <w:rStyle w:val="Hyperlink"/>
            <w:color w:val="0645AD"/>
            <w:u w:val="single"/>
          </w:rPr>
          <w:t xml:space="preserve">90 FR 61084</w:t>
        </w:r>
      </w:hyperlink>
      <w:r>
        <w:t xml:space="preserve">). This is a</w:t>
      </w:r>
      <w:r>
        <w:t xml:space="preserve"> </w:t>
      </w:r>
      <w:r>
        <w:rPr>
          <w:b/>
          <w:bCs/>
        </w:rPr>
        <w:t xml:space="preserve">proposed</w:t>
      </w:r>
      <w:r>
        <w:t xml:space="preserve"> </w:t>
      </w:r>
      <w:r>
        <w:t xml:space="preserve">rule and is</w:t>
      </w:r>
      <w:r>
        <w:t xml:space="preserve"> </w:t>
      </w:r>
      <w:r>
        <w:rPr>
          <w:b/>
          <w:bCs/>
        </w:rPr>
        <w:t xml:space="preserve">not</w:t>
      </w:r>
      <w:r>
        <w:t xml:space="preserve"> </w:t>
      </w:r>
      <w:r>
        <w:t xml:space="preserve">current law; the $50 billion trigger remains operative. The same proposal would consolidate the board’s Appendix D duties (Questions 26–31) and reaffirm that the board may rely on independent risk management and internal audit reports to question, challenge, and oppose management (</w:t>
      </w:r>
      <w:hyperlink r:id="rId75">
        <w:r>
          <w:rPr>
            <w:rStyle w:val="Hyperlink"/>
            <w:color w:val="0645AD"/>
            <w:u w:val="single"/>
          </w:rPr>
          <w:t xml:space="preserve">90 FR 61084 (Question 26)</w:t>
        </w:r>
      </w:hyperlink>
      <w:r>
        <w:t xml:space="preserve">); these are proposed changes and are not binding. The codified Appendix D at Caffrey node 77871 carries a proposed amendment; directors should verify the current operative text before relying on its precise terms.</w:t>
      </w:r>
    </w:p>
    <w:bookmarkEnd w:id="93"/>
    <w:bookmarkStart w:id="99" w:name="X1707aad77b3e59a44c615486a508b345ab4bba9"/>
    <w:p>
      <w:pPr>
        <w:pStyle w:val="Heading2"/>
      </w:pPr>
      <w:r>
        <w:t xml:space="preserve">Section 4: Enterprise Risk Governance — Federal Reserve Board Effectiveness Framework (SR 21-3) and the LFI Rating System</w:t>
      </w:r>
    </w:p>
    <w:p>
      <w:pPr>
        <w:pStyle w:val="FirstParagraph"/>
      </w:pPr>
      <w:r>
        <w:t xml:space="preserve">For a Category I G-SIB holding company, the anchor instrument at the consolidated level is the Federal Reserve’s board effectiveness guidance,</w:t>
      </w:r>
      <w:r>
        <w:t xml:space="preserve"> </w:t>
      </w:r>
      <w:r>
        <w:rPr>
          <w:b/>
          <w:bCs/>
        </w:rPr>
        <w:t xml:space="preserve">SR 21-3 / CA 21-1</w:t>
      </w:r>
      <w:r>
        <w:t xml:space="preserve"> </w:t>
      </w:r>
      <w:r>
        <w:t xml:space="preserve">(in force), together with the Governance and Controls component of the Large Financial Institution (LFI) rating system. SR 21-3 expects the board to be effective across five core attributes: (1) set clear, aligned, and consistent direction on strategy and risk appetite; (2) direct senior management regarding the board’s information needs; (3) oversee and hold senior management accountable; (4) support the independence and stature of independent risk management and internal audit; and (5) maintain a capable board composition and governance structure (</w:t>
      </w:r>
      <w:hyperlink r:id="rId94">
        <w:r>
          <w:rPr>
            <w:rStyle w:val="Hyperlink"/>
            <w:color w:val="0645AD"/>
            <w:u w:val="single"/>
          </w:rPr>
          <w:t xml:space="preserve">SR 21-3 (Introduction)</w:t>
        </w:r>
      </w:hyperlink>
      <w:r>
        <w:t xml:space="preserve">). SR 21-3 expressly conformed the board-of-directors expectations in a series of legacy SR letters to this framework, including SR 95-51 for organizations of $100 billion or more (</w:t>
      </w:r>
      <w:hyperlink r:id="rId95">
        <w:r>
          <w:rPr>
            <w:rStyle w:val="Hyperlink"/>
            <w:color w:val="0645AD"/>
            <w:u w:val="single"/>
          </w:rPr>
          <w:t xml:space="preserve">SR 21-3, Page 7</w:t>
        </w:r>
      </w:hyperlink>
      <w:r>
        <w:t xml:space="preserve">), SR 98-25 on credit risk management (</w:t>
      </w:r>
      <w:hyperlink r:id="rId95">
        <w:r>
          <w:rPr>
            <w:rStyle w:val="Hyperlink"/>
            <w:color w:val="0645AD"/>
            <w:u w:val="single"/>
          </w:rPr>
          <w:t xml:space="preserve">SR 21-3, Page 6</w:t>
        </w:r>
      </w:hyperlink>
      <w:r>
        <w:t xml:space="preserve">), SR 98-9 on information technology (</w:t>
      </w:r>
      <w:hyperlink r:id="rId95">
        <w:r>
          <w:rPr>
            <w:rStyle w:val="Hyperlink"/>
            <w:color w:val="0645AD"/>
            <w:u w:val="single"/>
          </w:rPr>
          <w:t xml:space="preserve">SR 21-3, Page 6</w:t>
        </w:r>
      </w:hyperlink>
      <w:r>
        <w:t xml:space="preserve">), and SR 94-53 on investment advisory services (</w:t>
      </w:r>
      <w:hyperlink r:id="rId95">
        <w:r>
          <w:rPr>
            <w:rStyle w:val="Hyperlink"/>
            <w:color w:val="0645AD"/>
            <w:u w:val="single"/>
          </w:rPr>
          <w:t xml:space="preserve">SR 21-3, Page 8</w:t>
        </w:r>
      </w:hyperlink>
      <w:r>
        <w:t xml:space="preserve">).</w:t>
      </w:r>
    </w:p>
    <w:p>
      <w:pPr>
        <w:pStyle w:val="BodyText"/>
      </w:pPr>
      <w:r>
        <w:t xml:space="preserve">The SR 21-3 attachment and its codification at 12 CFR 238.122 (for covered SLHCs) impose the following discrete in-force board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Board-Level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Primary Citation(s)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development of, review, approve, and periodically monitor the firm’s strategy and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Attachment, Page 2</w:t>
              </w:r>
            </w:hyperlink>
            <w:r>
              <w:t xml:space="preserve">;</w:t>
            </w:r>
            <w:r>
              <w:t xml:space="preserve"> </w:t>
            </w:r>
            <w:hyperlink r:id="rId96">
              <w:r>
                <w:rPr>
                  <w:rStyle w:val="Hyperlink"/>
                  <w:color w:val="0645AD"/>
                  <w:u w:val="single"/>
                </w:rPr>
                <w:t xml:space="preserve">SR 21-3, Page 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Consider the capacity of the risk management framework when overseeing strategy and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Attachment, Page 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Where strategy calls for expansion into a new line of business or jurisdiction, evaluate increased risk and review corresponding control enhancements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5)</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and approve significant policies, programs, and plans — including the capital plan, recovery and resolution plans, audit plan, enterprise-wide risk management policies, liquidity risk management policies, compliance risk management program, and performance management and compensation programs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5)</w:t>
              </w:r>
            </w:hyperlink>
            <w:r>
              <w:t xml:space="preserve">;</w:t>
            </w:r>
            <w:r>
              <w:t xml:space="preserve"> </w:t>
            </w:r>
            <w:hyperlink r:id="rId96">
              <w:r>
                <w:rPr>
                  <w:rStyle w:val="Hyperlink"/>
                  <w:color w:val="0645AD"/>
                  <w:u w:val="single"/>
                </w:rPr>
                <w:t xml:space="preserve">SR 21-3, Page 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 senior management to provide information sufficient in scope, detail, and analysis; evaluate its sufficiency and quality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Page 1</w:t>
              </w:r>
            </w:hyperlink>
            <w:r>
              <w:t xml:space="preserve">;</w:t>
            </w:r>
            <w:r>
              <w:t xml:space="preserve"> </w:t>
            </w:r>
            <w:hyperlink r:id="rId95">
              <w:r>
                <w:rPr>
                  <w:rStyle w:val="Hyperlink"/>
                  <w:color w:val="0645AD"/>
                  <w:u w:val="single"/>
                </w:rPr>
                <w:t xml:space="preserve">12 CFR 238.122 (SR 21-3/CA 21-1, Page 5-6)</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and hold senior management accountable for implementing strategy consistent with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Page 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Engage in robust inquiry into current/emerging-risk drivers, adherence to strategy and risk appetite, and material/persistent deficiencies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6-7)</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reports of internal and external complaints, including whistleblower reports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clear financial and nonfinancial performance objectives for the CEO and business-line executives, and nonfinancial objectives for the CRO and CAE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7)</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Hold senior management accountable for performance-management and compensation programs that promote sound risk management and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succession plans for the CEO and, depending on the firm, the CRO, CAE, or others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7)</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Through risk and audit committees, assess and support the stature and independence of independent risk management and internal audit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Page 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Risk/audit committees engage in robust inquiry into causes/consequences of material breaches of risk appetite/limits, remediation timeliness, and audit-plan appropriateness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 committee communicate directly with the CRO, oversee independent risk management’s budget/staffing/controls, and provide unrestricted access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21-3/CA 21-1, Page 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 a process to identify and select director nominees with a mix of skills and a diverse pool</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5</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a governance structure (committees, reporting lines) capable of overseeing senior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5</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Evaluate ongoing the board’s and committees’ strengths and weaknesses and adapt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5</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capacity to engage third-party advisors to supplement board knowledge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5</w:t>
              </w:r>
            </w:hyperlink>
          </w:p>
        </w:tc>
      </w:tr>
    </w:tbl>
    <w:p>
      <w:pPr>
        <w:pStyle w:val="BodyText"/>
      </w:pPr>
      <w:r>
        <w:t xml:space="preserve">The published response to comments elaborates these attributes (in force): effective boards review significant policies beyond those required by regulation, maintain records describing matters discussed with management, retain flexibility on risk-committee escalation, and tailor director training to experience and the firm’s risk profile (</w:t>
      </w:r>
      <w:hyperlink r:id="rId82">
        <w:r>
          <w:rPr>
            <w:rStyle w:val="Hyperlink"/>
            <w:color w:val="0645AD"/>
            <w:u w:val="single"/>
          </w:rPr>
          <w:t xml:space="preserve">84 FR 4309, Pages 1-2</w:t>
        </w:r>
      </w:hyperlink>
      <w:r>
        <w:t xml:space="preserve">).</w:t>
      </w:r>
    </w:p>
    <w:p>
      <w:pPr>
        <w:pStyle w:val="BodyText"/>
      </w:pPr>
      <w:r>
        <w:rPr>
          <w:b/>
          <w:bCs/>
        </w:rPr>
        <w:t xml:space="preserve">LFI Governance and Controls component (in force since 2019; 2025 revisions proposed).</w:t>
      </w:r>
      <w:r>
        <w:t xml:space="preserve"> </w:t>
      </w:r>
      <w:r>
        <w:t xml:space="preserve">The Governance and Controls component of the LFI rating system is</w:t>
      </w:r>
      <w:r>
        <w:t xml:space="preserve"> </w:t>
      </w:r>
      <w:r>
        <w:rPr>
          <w:b/>
          <w:bCs/>
        </w:rPr>
        <w:t xml:space="preserve">operative</w:t>
      </w:r>
      <w:r>
        <w:t xml:space="preserve">. The LFI rating system was finalized in 2018/2019 (83 FR 58724; SR 19-3) and has applied to BHCs with $100 billion or more in total consolidated assets since that time. The Governance and Controls component evaluates the board, business-line and independent risk management, and (for domestic LISCC firms) recovery planning, restating the five SR 21-3 pillars as rating criteria. The July 15, 2025 Federal Register publication (90 FR 31641, finalized as 90 FR 51329, published November 17, 2025, effective approximately January 16, 2026, 60 days after publication) concerned</w:t>
      </w:r>
      <w:r>
        <w:t xml:space="preserve"> </w:t>
      </w:r>
      <w:r>
        <w:rPr>
          <w:b/>
          <w:bCs/>
        </w:rPr>
        <w:t xml:space="preserve">revisions</w:t>
      </w:r>
      <w:r>
        <w:t xml:space="preserve"> </w:t>
      </w:r>
      <w:r>
        <w:t xml:space="preserve">to the framework — specifically, changes to the definition of</w:t>
      </w:r>
      <w:r>
        <w:t xml:space="preserve"> </w:t>
      </w:r>
      <w:r>
        <w:t xml:space="preserve">“</w:t>
      </w:r>
      <w:r>
        <w:t xml:space="preserve">well managed</w:t>
      </w:r>
      <w:r>
        <w:t xml:space="preserve">”</w:t>
      </w:r>
      <w:r>
        <w:t xml:space="preserve"> </w:t>
      </w:r>
      <w:r>
        <w:t xml:space="preserve">and the enforcement presumption tied to that rating — and did not create the Governance and Controls component, which has been in force since 2019. The 2025 revisions are the clearest illustration of one governance objective pursued through two regulatory vehicles (interpretive guidance plus a supervisory rating); the component itself is not proposed.</w:t>
      </w:r>
    </w:p>
    <w:p>
      <w:pPr>
        <w:pStyle w:val="BodyText"/>
      </w:pPr>
      <w:r>
        <w:rPr>
          <w:b/>
          <w:bCs/>
        </w:rPr>
        <w:t xml:space="preserve">The foundational SR letters (in force).</w:t>
      </w:r>
      <w:r>
        <w:t xml:space="preserve"> </w:t>
      </w:r>
      <w:r>
        <w:t xml:space="preserve">SR 95-51 establishes the bedrock allocation of risk responsibility: the board should approve overall business strategies and significant policies, ensure capable management, understand significant risks, provide clear guidance on acceptable exposure, review and approve policies and risk-exposure limits, and use adequate reporting systems (</w:t>
      </w:r>
      <w:hyperlink r:id="rId97">
        <w:r>
          <w:rPr>
            <w:rStyle w:val="Hyperlink"/>
            <w:color w:val="0645AD"/>
            <w:u w:val="single"/>
          </w:rPr>
          <w:t xml:space="preserve">SR 95-51</w:t>
        </w:r>
      </w:hyperlink>
      <w:r>
        <w:t xml:space="preserve">). SR 12-17 supplies a parallel set: the board should provide effective corporate governance; maintain a clearly articulated strategy and institutional risk appetite; ensure capable senior management; maintain a compliance- and consumer-protection-oriented culture; ensure effective and independent audit, compliance, and risk-management functions; and ensure MIS support board oversight (</w:t>
      </w:r>
      <w:hyperlink r:id="rId32">
        <w:r>
          <w:rPr>
            <w:rStyle w:val="Hyperlink"/>
            <w:color w:val="0645AD"/>
            <w:u w:val="single"/>
          </w:rPr>
          <w:t xml:space="preserve">SR 12-17 Section A.2</w:t>
        </w:r>
      </w:hyperlink>
      <w:r>
        <w:t xml:space="preserve">).</w:t>
      </w:r>
    </w:p>
    <w:p>
      <w:pPr>
        <w:pStyle w:val="BodyText"/>
      </w:pPr>
      <w:r>
        <w:rPr>
          <w:b/>
          <w:bCs/>
        </w:rPr>
        <w:t xml:space="preserve">Climate-related financial risk governance — RESCINDED.</w:t>
      </w:r>
      <w:r>
        <w:t xml:space="preserve"> </w:t>
      </w:r>
      <w:r>
        <w:t xml:space="preserve">The interagency principles for climate-related financial risk management (</w:t>
      </w:r>
      <w:hyperlink r:id="rId98">
        <w:r>
          <w:rPr>
            <w:rStyle w:val="Hyperlink"/>
            <w:color w:val="0645AD"/>
            <w:u w:val="single"/>
          </w:rPr>
          <w:t xml:space="preserve">88 FR 74183</w:t>
        </w:r>
      </w:hyperlink>
      <w:r>
        <w:t xml:space="preserve">) imposed board-level governance and strategic-planning duties; they have been</w:t>
      </w:r>
      <w:r>
        <w:t xml:space="preserve"> </w:t>
      </w:r>
      <w:r>
        <w:rPr>
          <w:b/>
          <w:bCs/>
        </w:rPr>
        <w:t xml:space="preserve">rescinded</w:t>
      </w:r>
      <w:r>
        <w:t xml:space="preserve"> </w:t>
      </w:r>
      <w:r>
        <w:t xml:space="preserve">and are no longer in effect.</w:t>
      </w:r>
    </w:p>
    <w:p>
      <w:pPr>
        <w:pStyle w:val="BodyText"/>
      </w:pPr>
      <w:r>
        <w:rPr>
          <w:b/>
          <w:bCs/>
        </w:rPr>
        <w:t xml:space="preserve">Cross-cutting diagnosis.</w:t>
      </w:r>
      <w:r>
        <w:t xml:space="preserve"> </w:t>
      </w:r>
      <w:r>
        <w:t xml:space="preserve">SR 95-51, SR 12-17, SR 21-3, the (proposed) LFI Governance and Controls component, and the in-force OCC 12 CFR 163.33 director materials each independently impose the same core duty set — board approval of strategy and risk appetite, oversight and accountability of management, and support for the independence of independent risk management and internal audit. This is the single most significant locus of cross-vehicle, cross-agency duplication in the enterprise-risk-governance domain. SR 21-3’s express conforming of the legacy SR letters is a partial harmonization that nonetheless leaves the underlying duty restated in at least five distinct instruments.</w:t>
      </w:r>
    </w:p>
    <w:bookmarkEnd w:id="99"/>
    <w:bookmarkStart w:id="107" w:name="X62070044c51a483f9281459ca9df6bfe9b4b3c5"/>
    <w:p>
      <w:pPr>
        <w:pStyle w:val="Heading2"/>
      </w:pPr>
      <w:r>
        <w:t xml:space="preserve">Section 5: Capital Planning and Stress Testing: Board-Level Obligations</w:t>
      </w:r>
    </w:p>
    <w:p>
      <w:pPr>
        <w:pStyle w:val="FirstParagraph"/>
      </w:pPr>
      <w:r>
        <w:rPr>
          <w:b/>
          <w:bCs/>
        </w:rPr>
        <w:t xml:space="preserve">Scope note.</w:t>
      </w:r>
      <w:r>
        <w:t xml:space="preserve"> </w:t>
      </w:r>
      <w:r>
        <w:t xml:space="preserve">The FBO row in the table below (home-country stress test regime) applies to foreign banking organizations and is included for completeness only. It is</w:t>
      </w:r>
      <w:r>
        <w:t xml:space="preserve"> </w:t>
      </w:r>
      <w:r>
        <w:rPr>
          <w:b/>
          <w:bCs/>
        </w:rPr>
        <w:t xml:space="preserve">not an obligation of a domestic Category I U.S. GSIB BHC or its IDI subsidiaries</w:t>
      </w:r>
      <w:r>
        <w:t xml:space="preserve">. Readers conducting burden-reduction analysis focused on a domestic GSIB should treat that row as out-of-scope.</w:t>
      </w:r>
    </w:p>
    <w:p>
      <w:pPr>
        <w:pStyle w:val="BodyText"/>
      </w:pPr>
      <w:r>
        <w:t xml:space="preserve">The dominant feature of this domain is structural redundancy: the Federal Reserve has codified the same core board duties — review-and-approve stress testing policies, receive a results summary, and integrate stress-test outputs into capital planning — across multiple parallel rule subparts (Part 252 Subparts E and F for covered companies; § 252.15 for state member banks; proposed Part 238 for covered SLHCs). The substantive duty is identical; only the regulated entity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 duty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Regulated entity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Citation(s)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review of capital adequacy process robustness, remediation, and approval of capital plan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BHC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0">
              <w:r>
                <w:rPr>
                  <w:rStyle w:val="Hyperlink"/>
                  <w:color w:val="0645AD"/>
                  <w:u w:val="single"/>
                </w:rPr>
                <w:t xml:space="preserve">FRS Rule 225.8(e)(1)(iii)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Adjust planned distributions to SCB limits within 2 business days; notify 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BHC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0">
              <w:r>
                <w:rPr>
                  <w:rStyle w:val="Hyperlink"/>
                  <w:color w:val="0645AD"/>
                  <w:u w:val="single"/>
                </w:rPr>
                <w:t xml:space="preserve">FRS Rule 225.8(h)(2)(ii)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distribution after resubmission event without prior Board approval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BHC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0">
              <w:r>
                <w:rPr>
                  <w:rStyle w:val="Hyperlink"/>
                  <w:color w:val="0645AD"/>
                  <w:u w:val="single"/>
                </w:rPr>
                <w:t xml:space="preserve">FRS Rule 225.8(j)(1)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Consider supervisory stress test results in capital plan, exposure assessment, and recovery/resolution (3 prongs)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1">
              <w:r>
                <w:rPr>
                  <w:rStyle w:val="Hyperlink"/>
                  <w:color w:val="0645AD"/>
                  <w:u w:val="single"/>
                </w:rPr>
                <w:t xml:space="preserve">FRS Rule 252.47(a)</w:t>
              </w:r>
            </w:hyperlink>
            <w:r>
              <w:t xml:space="preserve">;</w:t>
            </w:r>
            <w:r>
              <w:t xml:space="preserve"> </w:t>
            </w:r>
            <w:hyperlink r:id="rId102">
              <w:r>
                <w:rPr>
                  <w:rStyle w:val="Hyperlink"/>
                  <w:color w:val="0645AD"/>
                  <w:u w:val="single"/>
                </w:rPr>
                <w:t xml:space="preserve">12 CFR 252.47(a)</w:t>
              </w:r>
            </w:hyperlink>
            <w:r>
              <w:t xml:space="preserve">;</w:t>
            </w:r>
            <w:r>
              <w:t xml:space="preserve"> </w:t>
            </w:r>
            <w:hyperlink r:id="rId34">
              <w:r>
                <w:rPr>
                  <w:rStyle w:val="Hyperlink"/>
                  <w:color w:val="0645AD"/>
                  <w:u w:val="single"/>
                </w:rPr>
                <w:t xml:space="preserve">79 FR 64051(a)</w:t>
              </w:r>
            </w:hyperlink>
            <w:r>
              <w:t xml:space="preserve">;</w:t>
            </w:r>
            <w:r>
              <w:t xml:space="preserve"> </w:t>
            </w:r>
            <w:hyperlink r:id="rId34">
              <w:r>
                <w:rPr>
                  <w:rStyle w:val="Hyperlink"/>
                  <w:color w:val="0645AD"/>
                  <w:u w:val="single"/>
                </w:rPr>
                <w:t xml:space="preserve">79 FR 17317</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company-run stress test policies (no less than each year a test is conducted)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(§238.144(c)(2))</w:t>
              </w:r>
            </w:hyperlink>
            <w:r>
              <w:t xml:space="preserve">;</w:t>
            </w:r>
            <w:r>
              <w:t xml:space="preserve"> </w:t>
            </w:r>
            <w:hyperlink r:id="rId29">
              <w:r>
                <w:rPr>
                  <w:rStyle w:val="Hyperlink"/>
                  <w:color w:val="0645AD"/>
                  <w:u w:val="single"/>
                </w:rPr>
                <w:t xml:space="preserve">83 FR 61408, § 252.56(c)(2)</w:t>
              </w:r>
            </w:hyperlink>
            <w:r>
              <w:t xml:space="preserve">;</w:t>
            </w:r>
            <w:r>
              <w:t xml:space="preserve"> </w:t>
            </w:r>
            <w:hyperlink r:id="rId34">
              <w:r>
                <w:rPr>
                  <w:rStyle w:val="Hyperlink"/>
                  <w:color w:val="0645AD"/>
                  <w:u w:val="single"/>
                </w:rPr>
                <w:t xml:space="preserve">79 FR 17317 (§ 252.56(c)(2))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General review/approval of stress testing policies (no less than each year a test is conducted)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Banking organization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59062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company-run stress test policies; receive results summary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State member bank</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 252.15(b)(2))</w:t>
              </w:r>
            </w:hyperlink>
            <w:r>
              <w:t xml:space="preserve">;</w:t>
            </w:r>
            <w:r>
              <w:t xml:space="preserve"> </w:t>
            </w:r>
            <w:hyperlink r:id="rId34">
              <w:r>
                <w:rPr>
                  <w:rStyle w:val="Hyperlink"/>
                  <w:color w:val="0645AD"/>
                  <w:u w:val="single"/>
                </w:rPr>
                <w:t xml:space="preserve">79 FR 17317, 12 CFR 252.15(b)(2)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Consider company-run stress test results in capital planning, capital adequacy, and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State member bank</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 252.15(b)(3))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and management receive summary of stress test results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 (§238.144(c)(2))</w:t>
              </w:r>
            </w:hyperlink>
            <w:r>
              <w:t xml:space="preserve">;</w:t>
            </w:r>
            <w:r>
              <w:t xml:space="preserve"> </w:t>
            </w:r>
            <w:hyperlink r:id="rId34">
              <w:r>
                <w:rPr>
                  <w:rStyle w:val="Hyperlink"/>
                  <w:color w:val="0645AD"/>
                  <w:u w:val="single"/>
                </w:rPr>
                <w:t xml:space="preserve">79 FR 17317</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Consider company-run stress test results in capital plan, exposure assessment, and recovery/resolution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4">
              <w:r>
                <w:rPr>
                  <w:rStyle w:val="Hyperlink"/>
                  <w:color w:val="0645AD"/>
                  <w:u w:val="single"/>
                </w:rPr>
                <w:t xml:space="preserve">79 FR 17317 (§ 252.56(c)(3))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review/approval of effectiveness of advanced (IRB) systems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National bank / FSA</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3">
              <w:r>
                <w:rPr>
                  <w:rStyle w:val="Hyperlink"/>
                  <w:color w:val="0645AD"/>
                  <w:u w:val="single"/>
                </w:rPr>
                <w:t xml:space="preserve">OCC Rule 3.122(i)(2)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review/approval of effectiveness of advanced (IRB) systems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Board-regulated institution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4">
              <w:r>
                <w:rPr>
                  <w:rStyle w:val="Hyperlink"/>
                  <w:color w:val="0645AD"/>
                  <w:u w:val="single"/>
                </w:rPr>
                <w:t xml:space="preserve">FRS Rule 217.122(i)(2)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Home-country stress test regime must include board governance/controls of stress testing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w:t>
            </w:r>
            <w:r>
              <w:t xml:space="preserve"> </w:t>
            </w:r>
            <w:r>
              <w:rPr>
                <w:b/>
                <w:bCs/>
              </w:rPr>
              <w:t xml:space="preserve">(out-of-scope for domestic GSIB)</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4">
              <w:r>
                <w:rPr>
                  <w:rStyle w:val="Hyperlink"/>
                  <w:color w:val="0645AD"/>
                  <w:u w:val="single"/>
                </w:rPr>
                <w:t xml:space="preserve">79 FR 17324(b)(2)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Reflect quarterly market risk stress test results in board-set policies and limits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Banking organization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73">
              <w:r>
                <w:rPr>
                  <w:rStyle w:val="Hyperlink"/>
                  <w:color w:val="0645AD"/>
                  <w:u w:val="single"/>
                </w:rPr>
                <w:t xml:space="preserve">88 FR 64028</w:t>
              </w:r>
            </w:hyperlink>
            <w:r>
              <w:t xml:space="preserve">;</w:t>
            </w:r>
            <w:r>
              <w:t xml:space="preserve"> </w:t>
            </w:r>
            <w:hyperlink r:id="rId73">
              <w:r>
                <w:rPr>
                  <w:rStyle w:val="Hyperlink"/>
                  <w:color w:val="0645AD"/>
                  <w:u w:val="single"/>
                </w:rPr>
                <w:t xml:space="preserve">88 FR 64028, § __.203(d)(2)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 — not 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Consider supervisory stress test results in capital plan and exposure assessment (2 prongs)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SLHC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5">
              <w:r>
                <w:rPr>
                  <w:rStyle w:val="Hyperlink"/>
                  <w:color w:val="0645AD"/>
                  <w:u w:val="single"/>
                </w:rPr>
                <w:t xml:space="preserve">12 CFR 238.135(a)</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 — not 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stress test policies; receive results summary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Covered SLHC / state member bank</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5">
              <w:r>
                <w:rPr>
                  <w:rStyle w:val="Hyperlink"/>
                  <w:color w:val="0645AD"/>
                  <w:u w:val="single"/>
                </w:rPr>
                <w:t xml:space="preserve">12 CFR 238.144(c)(2)</w:t>
              </w:r>
            </w:hyperlink>
            <w:r>
              <w:t xml:space="preserve">;</w:t>
            </w:r>
            <w:r>
              <w:t xml:space="preserve"> </w:t>
            </w:r>
            <w:hyperlink r:id="rId105">
              <w:r>
                <w:rPr>
                  <w:rStyle w:val="Hyperlink"/>
                  <w:color w:val="0645AD"/>
                  <w:u w:val="single"/>
                </w:rPr>
                <w:t xml:space="preserve">12 CFR 238.144(c)(3)</w:t>
              </w:r>
            </w:hyperlink>
            <w:r>
              <w:t xml:space="preserve">;</w:t>
            </w:r>
            <w:r>
              <w:t xml:space="preserve"> </w:t>
            </w:r>
            <w:hyperlink r:id="rId105">
              <w:r>
                <w:rPr>
                  <w:rStyle w:val="Hyperlink"/>
                  <w:color w:val="0645AD"/>
                  <w:u w:val="single"/>
                </w:rPr>
                <w:t xml:space="preserve">12 CFR 252.15(b)(2)</w:t>
              </w:r>
            </w:hyperlink>
            <w:r>
              <w:t xml:space="preserve">;</w:t>
            </w:r>
            <w:r>
              <w:t xml:space="preserve"> </w:t>
            </w:r>
            <w:hyperlink r:id="rId105">
              <w:r>
                <w:rPr>
                  <w:rStyle w:val="Hyperlink"/>
                  <w:color w:val="0645AD"/>
                  <w:u w:val="single"/>
                </w:rPr>
                <w:t xml:space="preserve">12 CFR 252.15(b)(3)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Proposed — not in force</w:t>
            </w:r>
          </w:p>
        </w:tc>
      </w:tr>
    </w:tbl>
    <w:p>
      <w:pPr>
        <w:pStyle w:val="BodyText"/>
      </w:pPr>
      <w:r>
        <w:t xml:space="preserve">The cornerstone duty is the annual capital plan approval: the board (or a designated committee) must, at least annually and before submission, review the robustness of the firm’s capital adequacy assessment process, ensure deficiencies are remedied, and approve the capital plan (</w:t>
      </w:r>
      <w:hyperlink r:id="rId100">
        <w:r>
          <w:rPr>
            <w:rStyle w:val="Hyperlink"/>
            <w:color w:val="0645AD"/>
            <w:u w:val="single"/>
          </w:rPr>
          <w:t xml:space="preserve">FRS Rule 225.8(e)(1)(iii)</w:t>
        </w:r>
      </w:hyperlink>
      <w:r>
        <w:t xml:space="preserve">). A distinct and heavily duplicated obligation requires the board and senior management of each covered company to consider the Federal Reserve’s supervisory stress test results, as appropriate, in (1) the capital plan and process, (2) assessment of exposures and risk positions, and (3) recovery or resolution plans (</w:t>
      </w:r>
      <w:hyperlink r:id="rId101">
        <w:r>
          <w:rPr>
            <w:rStyle w:val="Hyperlink"/>
            <w:color w:val="0645AD"/>
            <w:u w:val="single"/>
          </w:rPr>
          <w:t xml:space="preserve">FRS Rule 252.47(a)</w:t>
        </w:r>
      </w:hyperlink>
      <w:r>
        <w:t xml:space="preserve">). For FBOs, the home-country supervisor’s stress-testing regime must include governance and controls by the FBO’s board (</w:t>
      </w:r>
      <w:hyperlink r:id="rId34">
        <w:r>
          <w:rPr>
            <w:rStyle w:val="Hyperlink"/>
            <w:color w:val="0645AD"/>
            <w:u w:val="single"/>
          </w:rPr>
          <w:t xml:space="preserve">79 FR 17324(b)(2)</w:t>
        </w:r>
      </w:hyperlink>
      <w:r>
        <w:t xml:space="preserve">) — satisfying the U.S. board-governance objective through a recognition mechanism rather than a parallel mandate.</w:t>
      </w:r>
    </w:p>
    <w:p>
      <w:pPr>
        <w:pStyle w:val="BodyText"/>
      </w:pPr>
      <w:r>
        <w:t xml:space="preserve">The supervisory guidance layer (non-binding) reinforces these: boards should approve strategy, policies, capital planning, and key committees (</w:t>
      </w:r>
      <w:hyperlink r:id="rId24">
        <w:r>
          <w:rPr>
            <w:rStyle w:val="Hyperlink"/>
            <w:color w:val="0645AD"/>
            <w:u w:val="single"/>
          </w:rPr>
          <w:t xml:space="preserve">Federal Reserve Commercial Bank Examination Manual 4000</w:t>
        </w:r>
      </w:hyperlink>
      <w:r>
        <w:t xml:space="preserve">); should oversee capital and dividend transactions, including source-of-strength considerations (</w:t>
      </w:r>
      <w:hyperlink r:id="rId106">
        <w:r>
          <w:rPr>
            <w:rStyle w:val="Hyperlink"/>
            <w:color w:val="0645AD"/>
            <w:u w:val="single"/>
          </w:rPr>
          <w:t xml:space="preserve">Federal Reserve Commercial Bank Examination Manual 3000</w:t>
        </w:r>
      </w:hyperlink>
      <w:r>
        <w:t xml:space="preserve">); should regularly assess capital adequacy over time (</w:t>
      </w:r>
      <w:hyperlink r:id="rId27">
        <w:r>
          <w:rPr>
            <w:rStyle w:val="Hyperlink"/>
            <w:color w:val="0645AD"/>
            <w:u w:val="single"/>
          </w:rPr>
          <w:t xml:space="preserve">OCC Director’s Book, p. 56</w:t>
        </w:r>
      </w:hyperlink>
      <w:r>
        <w:t xml:space="preserve">); and should establish board-approved capital and liquidity goals reflecting intra-group transfer restrictions (</w:t>
      </w:r>
      <w:hyperlink r:id="rId32">
        <w:r>
          <w:rPr>
            <w:rStyle w:val="Hyperlink"/>
            <w:color w:val="0645AD"/>
            <w:u w:val="single"/>
          </w:rPr>
          <w:t xml:space="preserve">SR 12-17 Section A.1.f</w:t>
        </w:r>
      </w:hyperlink>
      <w:r>
        <w:t xml:space="preserve">). The Federal Reserve’s proposed insurance-organization capital framework (</w:t>
      </w:r>
      <w:hyperlink r:id="rId33">
        <w:r>
          <w:rPr>
            <w:rStyle w:val="Hyperlink"/>
            <w:color w:val="0645AD"/>
            <w:u w:val="single"/>
          </w:rPr>
          <w:t xml:space="preserve">90 FR 31641, p. 31662 (proposed)</w:t>
        </w:r>
      </w:hyperlink>
      <w:r>
        <w:t xml:space="preserve">) and proposed stablecoin capital rule (</w:t>
      </w:r>
      <w:hyperlink r:id="rId71">
        <w:r>
          <w:rPr>
            <w:rStyle w:val="Hyperlink"/>
            <w:color w:val="0645AD"/>
            <w:u w:val="single"/>
          </w:rPr>
          <w:t xml:space="preserve">91 FR 10202</w:t>
        </w:r>
      </w:hyperlink>
      <w:r>
        <w:t xml:space="preserve">) are</w:t>
      </w:r>
      <w:r>
        <w:t xml:space="preserve"> </w:t>
      </w:r>
      <w:r>
        <w:rPr>
          <w:b/>
          <w:bCs/>
        </w:rPr>
        <w:t xml:space="preserve">proposed</w:t>
      </w:r>
      <w:r>
        <w:t xml:space="preserve"> </w:t>
      </w:r>
      <w:r>
        <w:t xml:space="preserve">and not current obligations.</w:t>
      </w:r>
    </w:p>
    <w:p>
      <w:pPr>
        <w:pStyle w:val="BodyText"/>
      </w:pPr>
      <w:r>
        <w:rPr>
          <w:b/>
          <w:bCs/>
        </w:rPr>
        <w:t xml:space="preserve">Cross-cutting diagnosis.</w:t>
      </w:r>
      <w:r>
        <w:t xml:space="preserve"> </w:t>
      </w:r>
      <w:r>
        <w:t xml:space="preserve">Three duplication patterns are salient: (1) the company-run stress test review/approve/receive-summary triad is replicated verbatim across Part 252 Subparts E and F and § 252.15, with proposed analogues in Part 238; (2) the board’s duties to integrate</w:t>
      </w:r>
      <w:r>
        <w:t xml:space="preserve"> </w:t>
      </w:r>
      <w:r>
        <w:rPr>
          <w:b/>
          <w:bCs/>
        </w:rPr>
        <w:t xml:space="preserve">supervisory</w:t>
      </w:r>
      <w:r>
        <w:t xml:space="preserve"> </w:t>
      </w:r>
      <w:r>
        <w:t xml:space="preserve">stress-test results (§ 252.47(a)) and</w:t>
      </w:r>
      <w:r>
        <w:t xml:space="preserve"> </w:t>
      </w:r>
      <w:r>
        <w:rPr>
          <w:b/>
          <w:bCs/>
        </w:rPr>
        <w:t xml:space="preserve">company-run</w:t>
      </w:r>
      <w:r>
        <w:t xml:space="preserve"> </w:t>
      </w:r>
      <w:r>
        <w:t xml:space="preserve">stress-test results (§ 252.56(c)(3); § 252.15(b)(3)) target the same governance objective through two vehicles attached to two analytical exercises; and (3) the codified capital-plan approval duty (§ 225.8(e)(1)(iii)) is overlaid with examination-manual and SR-letter expectations. The central capital-plan rule (§ 225.8) carries a pending amendment, and the market-risk and insurance frameworks remain proposed.</w:t>
      </w:r>
    </w:p>
    <w:bookmarkEnd w:id="107"/>
    <w:bookmarkStart w:id="109" w:name="Xed7620b2592e86b43c2fbda937fb4ce4ac5916b"/>
    <w:p>
      <w:pPr>
        <w:pStyle w:val="Heading2"/>
      </w:pPr>
      <w:r>
        <w:t xml:space="preserve">Section 6: Liquidity Risk Management: Board-Level Obligations</w:t>
      </w:r>
    </w:p>
    <w:p>
      <w:pPr>
        <w:pStyle w:val="FirstParagraph"/>
      </w:pPr>
      <w:r>
        <w:rPr>
          <w:b/>
          <w:bCs/>
        </w:rPr>
        <w:t xml:space="preserve">Scope note.</w:t>
      </w:r>
      <w:r>
        <w:t xml:space="preserve"> </w:t>
      </w:r>
      <w:r>
        <w:t xml:space="preserve">Rows 6 through 15 in the table below apply to foreign banking organizations (FBOs) and savings and loan holding companies (SLHCs). Those obligations are included for completeness and cross-reference but are</w:t>
      </w:r>
      <w:r>
        <w:t xml:space="preserve"> </w:t>
      </w:r>
      <w:r>
        <w:rPr>
          <w:b/>
          <w:bCs/>
        </w:rPr>
        <w:t xml:space="preserve">not obligations of a domestic Category I U.S. GSIB BHC or its IDI subsidiaries</w:t>
      </w:r>
      <w:r>
        <w:t xml:space="preserve">. Readers conducting burden-reduction analysis focused on a domestic GSIB should rely only on rows 1 through 5 and row 16.</w:t>
      </w:r>
    </w:p>
    <w:p>
      <w:pPr>
        <w:pStyle w:val="BodyText"/>
      </w:pPr>
      <w:r>
        <w:t xml:space="preserve">The Federal Reserve’s enhanced prudential standards under Regulation YY impose a sequenced set of board- and risk-committee-level liquidity duties on Category I BHCs, with parallel codifications for FBOs’ combined U.S. operations and covered SLHCs. The OCC and Federal Reserve overlay these binding rules with supervisory expectations addressing the same objectives through guidance.</w:t>
      </w:r>
    </w:p>
    <w:tbl>
      <w:tblPr>
        <w:tblStyle w:val="Table"/>
        <w:tblW w:type="pct" w:w="5000"/>
        <w:jc w:val="left"/>
        <w:tblLayout w:type="fixed"/>
        <w:tblLook w:firstRow="1" w:lastRow="0" w:firstColumn="0" w:lastColumn="0" w:noHBand="0" w:noVBand="0" w:val="0020"/>
      </w:tblPr>
      <w:tblGrid>
        <w:gridCol w:w="475"/>
        <w:gridCol w:w="1742"/>
        <w:gridCol w:w="1108"/>
        <w:gridCol w:w="1742"/>
        <w:gridCol w:w="1584"/>
        <w:gridCol w:w="1267"/>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Locus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Frequency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Citation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 company’s</w:t>
            </w:r>
            <w:r>
              <w:t xml:space="preserve"> </w:t>
            </w:r>
            <w:r>
              <w:rPr>
                <w:b/>
                <w:bCs/>
              </w:rPr>
              <w:t xml:space="preserve">liquidity risk tolerance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252.34(a)(1)(i); 79 FR 17317(a)(1)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and review information to determine operation within tolerance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Semi-annually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252.34(a)(1)(ii)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and periodically review liquidity risk-management strategies, policies, and procedures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252.34(a)(2);</w:t>
            </w:r>
            <w:r>
              <w:t xml:space="preserve"> </w:t>
            </w:r>
            <w:hyperlink r:id="rId29">
              <w:r>
                <w:rPr>
                  <w:rStyle w:val="Hyperlink"/>
                  <w:color w:val="0645AD"/>
                  <w:u w:val="single"/>
                </w:rPr>
                <w:t xml:space="preserve">83 FR 61408</w:t>
              </w:r>
            </w:hyperlink>
            <w:r>
              <w:t xml:space="preserve">, § 252.34(c)(1)(i)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w:t>
            </w:r>
            <w:r>
              <w:t xml:space="preserve"> </w:t>
            </w:r>
            <w:r>
              <w:rPr>
                <w:b/>
                <w:bCs/>
              </w:rPr>
              <w:t xml:space="preserve">contingency funding plan</w:t>
            </w:r>
            <w:r>
              <w:t xml:space="preserve"> </w:t>
            </w:r>
            <w:r>
              <w:t xml:space="preserve">and material revisions prior to implementation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 committee (or designated board subcommittee)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252.34(b); 79 FR 17317(b)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Document methodology/assumptions for cash-flow projections and submit to the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Company (to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79 FR 17317(e)(3)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 Approve combined-U.S.-operations liquidity risk tolerance with FBO board/enterprise concurrence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252.156(a)(1)(i);</w:t>
            </w:r>
            <w:r>
              <w:t xml:space="preserve"> </w:t>
            </w:r>
            <w:hyperlink r:id="rId29">
              <w:r>
                <w:rPr>
                  <w:rStyle w:val="Hyperlink"/>
                  <w:color w:val="0645AD"/>
                  <w:u w:val="single"/>
                </w:rPr>
                <w:t xml:space="preserve">83 FR 61408</w:t>
              </w:r>
            </w:hyperlink>
            <w:r>
              <w:t xml:space="preserve">, 84 FR 59116 (§ 252.156(a)(1))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 Receive/review information confirming operation within and consistency with enterprise-wide tolerance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Semi-annually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252.156(a)(1)(ii)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 Approve combined-U.S.-operations contingency funding plan and material revisions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252.156(a)(1)(iii)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(FBO) Review significant business lines/products for unanticipated liquidity risk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252.156(b)(3)(ii)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Approve liquidity risk tolerance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 238.123(a)(1))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Receive/review information confirming operation within tolerance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Semi-annually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 238.123(a)(1))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Approve and periodically review liquidity risk-management strategies, policies, procedures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 238.123(a)(2))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Approve contingency funding plan and material revisions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 committee (or designated board subcommittee)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 238.123(b))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Maintain a risk committee overseeing global risk-management framework including liquidity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 238.122(a)(1))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(SLHC) Review liquidity stress testing results and independent review; approve liquidity buffer size/composition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Stress/buffer ≥ quarterly; independent review 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9">
              <w:r>
                <w:rPr>
                  <w:rStyle w:val="Hyperlink"/>
                  <w:color w:val="0645AD"/>
                  <w:u w:val="single"/>
                </w:rPr>
                <w:t xml:space="preserve">83 FR 61408</w:t>
              </w:r>
            </w:hyperlink>
            <w:r>
              <w:t xml:space="preserve"> </w:t>
            </w:r>
            <w:r>
              <w:t xml:space="preserve">(84 FR 59081)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At least annual board review and approval of correspondent-exposure policies and procedures (credit, liquidity, operational risks)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Rules Part 206 - Regulation F</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t xml:space="preserve">On the FBO duties, the U.S.-tolerance approval must be obtained</w:t>
      </w:r>
      <w:r>
        <w:t xml:space="preserve"> </w:t>
      </w:r>
      <w:r>
        <w:t xml:space="preserve">“</w:t>
      </w:r>
      <w:r>
        <w:t xml:space="preserve">with concurrence from the foreign banking organization’s board of directors or its enterprise-wide risk committee</w:t>
      </w:r>
      <w:r>
        <w:t xml:space="preserve">”</w:t>
      </w:r>
      <w:r>
        <w:t xml:space="preserve"> </w:t>
      </w:r>
      <w:r>
        <w:t xml:space="preserve">(FRS Rule 252.156(a)(1)(i)), and the semi-annual review must ensure consistency with the enterprise-wide tolerance (FRS Rule 252.156(a)(1)(ii)).</w:t>
      </w:r>
    </w:p>
    <w:p>
      <w:pPr>
        <w:pStyle w:val="BodyText"/>
      </w:pPr>
      <w:r>
        <w:rPr>
          <w:b/>
          <w:bCs/>
        </w:rPr>
        <w:t xml:space="preserve">Overlapping supervisory guidance (non-binding).</w:t>
      </w:r>
      <w:r>
        <w:t xml:space="preserve"> </w:t>
      </w:r>
      <w:r>
        <w:t xml:space="preserve">The Federal Reserve Commercial Bank Examination Manual (Section 3000), SR 12-17 (§ A.1.f), the Comptroller’s Handbook — Liquidity, and the OCC Directors’ Reference (OCC Director’s Book, p. 105, on the board-level asset-liability committee; supervisory expectation, non-binding) each restate the same board-accountability objectives. Note: 87 FR 60160 (Framework for the Supervision of Insurance Organizations, Oct. 4, 2022) addresses insurance-organization quantitative liquidity metrics and is</w:t>
      </w:r>
      <w:r>
        <w:t xml:space="preserve"> </w:t>
      </w:r>
      <w:r>
        <w:rPr>
          <w:b/>
          <w:bCs/>
        </w:rPr>
        <w:t xml:space="preserve">out-of-scope for a domestic Category I U.S. GSIB BHC or its IDI subsidiaries</w:t>
      </w:r>
      <w:r>
        <w:t xml:space="preserve">; it is not a source of board obligations for domestic bank holding companies. Note: OCC Bulletin 2011-12 was rescinded by OCC Bulletin 2026-13 on April 17, 2026 and is no longer an operative supervisory guidance document. The OCC also expects all banks to maintain a formal contingency funding plan (</w:t>
      </w:r>
      <w:hyperlink r:id="rId108">
        <w:r>
          <w:rPr>
            <w:rStyle w:val="Hyperlink"/>
            <w:color w:val="0645AD"/>
            <w:u w:val="single"/>
          </w:rPr>
          <w:t xml:space="preserve">Rescission of OCC Guidelines Establishing Standards for Recovery Planning</w:t>
        </w:r>
      </w:hyperlink>
      <w:r>
        <w:t xml:space="preserve">, Section IV).</w:t>
      </w:r>
    </w:p>
    <w:p>
      <w:pPr>
        <w:pStyle w:val="BodyText"/>
      </w:pPr>
      <w:r>
        <w:rPr>
          <w:b/>
          <w:bCs/>
        </w:rPr>
        <w:t xml:space="preserve">Status caution.</w:t>
      </w:r>
      <w:r>
        <w:t xml:space="preserve"> </w:t>
      </w:r>
      <w:r>
        <w:t xml:space="preserve">A separate draft FR notice would re-codify the SLHC duties at 12 CFR 238.123(a)(1)(i)–(ii), 238.123(b), and 238.123(c)(1)(i) and restate the BHC strategy-approval duty at 12 CFR 252.34(a); that draft is</w:t>
      </w:r>
      <w:r>
        <w:t xml:space="preserve"> </w:t>
      </w:r>
      <w:r>
        <w:rPr>
          <w:b/>
          <w:bCs/>
        </w:rPr>
        <w:t xml:space="preserve">proposed and not in force</w:t>
      </w:r>
      <w:r>
        <w:t xml:space="preserve">, and the operative SLHC text is the 2019 final rule (83 FR 61408).</w:t>
      </w:r>
    </w:p>
    <w:p>
      <w:pPr>
        <w:pStyle w:val="BodyText"/>
      </w:pPr>
      <w:r>
        <w:rPr>
          <w:b/>
          <w:bCs/>
        </w:rPr>
        <w:t xml:space="preserve">Cross-cutting diagnosis.</w:t>
      </w:r>
      <w:r>
        <w:t xml:space="preserve"> </w:t>
      </w:r>
      <w:r>
        <w:t xml:space="preserve">The annual liquidity-risk-tolerance approval, the semi-annual operating-within-tolerance review, the periodic strategy/policy approval, and the annual CFP approval each recur, virtually verbatim, across §§ 252.34, 252.156, and 238.123, so a Category I organization with a foreign parent or a savings-and-loan structure faces three substantively identical codifications of the same four duties — then a fourth restatement in supervisory guidance.</w:t>
      </w:r>
    </w:p>
    <w:bookmarkEnd w:id="109"/>
    <w:bookmarkStart w:id="133" w:name="Xeaa6f7cdc426ae4e089152a191338f7143f29a9"/>
    <w:p>
      <w:pPr>
        <w:pStyle w:val="Heading2"/>
      </w:pPr>
      <w:r>
        <w:t xml:space="preserve">Section 7: Credit Risk Oversight: Board-Level Obligations</w:t>
      </w:r>
    </w:p>
    <w:p>
      <w:pPr>
        <w:pStyle w:val="FirstParagraph"/>
      </w:pPr>
      <w:r>
        <w:t xml:space="preserve">The defining feature of this domain is dispersion: a single governance objective (independent credit review, real estate lending limits, insider credit approval) is frequently codified in materially identical terms by the Federal Reserve, OCC, and FDIC.</w:t>
      </w:r>
    </w:p>
    <w:bookmarkStart w:id="113" w:name="Xb274958fb2abd3eca039e92c866844f2a75f4af"/>
    <w:p>
      <w:pPr>
        <w:pStyle w:val="Heading3"/>
      </w:pPr>
      <w:r>
        <w:t xml:space="preserve">7.1 Independent Credit Risk Review and Communication to the Board</w:t>
      </w:r>
    </w:p>
    <w:p>
      <w:pPr>
        <w:pStyle w:val="FirstParagraph"/>
      </w:pPr>
      <w:r>
        <w:t xml:space="preserve">Section 39 of the FDI Act directs the agencies to require IDIs to establish a system of independent, ongoing credit review and appropriate communication to management and to the board, codified at 12 U.S.C. 1831p-1, App., § II.D.4 and at</w:t>
      </w:r>
      <w:r>
        <w:t xml:space="preserve"> </w:t>
      </w:r>
      <w:hyperlink r:id="rId110">
        <w:r>
          <w:rPr>
            <w:rStyle w:val="Hyperlink"/>
            <w:color w:val="0645AD"/>
            <w:u w:val="single"/>
          </w:rPr>
          <w:t xml:space="preserve">12 CFR Part 364, Appendix A(II)(D)(4)</w:t>
        </w:r>
      </w:hyperlink>
      <w:r>
        <w:t xml:space="preserve">, and to provide periodic asset reports adequate for the board to assess asset risk (</w:t>
      </w:r>
      <w:hyperlink r:id="rId110">
        <w:r>
          <w:rPr>
            <w:rStyle w:val="Hyperlink"/>
            <w:color w:val="0645AD"/>
            <w:u w:val="single"/>
          </w:rPr>
          <w:t xml:space="preserve">12 CFR Part 364, Appendix A(II)(G)(6)</w:t>
        </w:r>
      </w:hyperlink>
      <w:r>
        <w:t xml:space="preserve">). The operative content is set out in the 2020 Interagency Guidance on Credit Risk Review Systems (</w:t>
      </w:r>
      <w:hyperlink r:id="rId111">
        <w:r>
          <w:rPr>
            <w:rStyle w:val="Hyperlink"/>
            <w:color w:val="0645AD"/>
            <w:u w:val="single"/>
          </w:rPr>
          <w:t xml:space="preserve">85 FR 33278</w:t>
        </w:r>
      </w:hyperlink>
      <w:r>
        <w:t xml:space="preserve">), which supersedes the 2019 version (</w:t>
      </w:r>
      <w:hyperlink r:id="rId112">
        <w:r>
          <w:rPr>
            <w:rStyle w:val="Hyperlink"/>
            <w:color w:val="0645AD"/>
            <w:u w:val="single"/>
          </w:rPr>
          <w:t xml:space="preserve">84 FR 55679</w:t>
        </w:r>
      </w:hyperlink>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 a system for independent, ongoing credit risk review with appropriate board communication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and approve — typically ≥ annually — a written credit risk review policy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 scope of credit risk review (typically annually or on significant change)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Retain responsibility for a sound credit risk review system even where outsourced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findings reported regularly and directly to the board, including all deficiencies and weaknesses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Where reviewers sit within the loan function, have reasonable confidence in their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credit risk review results quarterly (typical)</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Be informed more frequently than quarterly when material adverse trends are noted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 Citation 14</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prompt report of deficiencies unresolved beyond scheduled correction timeframes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credit risk reviews conducted less frequently than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May consider non-lending credit activities when developing a risk-based review plan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1">
              <w:r>
                <w:rPr>
                  <w:rStyle w:val="Hyperlink"/>
                  <w:color w:val="0645AD"/>
                  <w:u w:val="single"/>
                </w:rPr>
                <w:t xml:space="preserve">85 FR 33278</w:t>
              </w:r>
            </w:hyperlink>
          </w:p>
        </w:tc>
      </w:tr>
    </w:tbl>
    <w:p>
      <w:pPr>
        <w:pStyle w:val="BodyText"/>
      </w:pPr>
      <w:r>
        <w:t xml:space="preserve">The OCC heightened-standards regime reinforces the same independence objective: the loan review function</w:t>
      </w:r>
      <w:r>
        <w:t xml:space="preserve"> </w:t>
      </w:r>
      <w:r>
        <w:t xml:space="preserve">“</w:t>
      </w:r>
      <w:r>
        <w:t xml:space="preserve">should not report to the executive officer who establishes and oversees front line unit credit policies</w:t>
      </w:r>
      <w:r>
        <w:t xml:space="preserve">”</w:t>
      </w:r>
      <w:r>
        <w:t xml:space="preserve"> </w:t>
      </w:r>
      <w:r>
        <w:t xml:space="preserve">(</w:t>
      </w:r>
      <w:hyperlink r:id="rId48">
        <w:r>
          <w:rPr>
            <w:rStyle w:val="Hyperlink"/>
            <w:color w:val="0645AD"/>
            <w:u w:val="single"/>
          </w:rPr>
          <w:t xml:space="preserve">79 FR 54529</w:t>
        </w:r>
      </w:hyperlink>
      <w:r>
        <w:t xml:space="preserve">), and the credit committee should receive periodic loan-review reports (</w:t>
      </w:r>
      <w:hyperlink r:id="rId27">
        <w:r>
          <w:rPr>
            <w:rStyle w:val="Hyperlink"/>
            <w:color w:val="0645AD"/>
            <w:u w:val="single"/>
          </w:rPr>
          <w:t xml:space="preserve">OCC Director’s Book, p.104</w:t>
        </w:r>
      </w:hyperlink>
      <w:r>
        <w:t xml:space="preserve">).</w:t>
      </w:r>
    </w:p>
    <w:bookmarkEnd w:id="113"/>
    <w:bookmarkStart w:id="115" w:name="Xacae68b50f8941c9af7e7cee1c58deee4b17e11"/>
    <w:p>
      <w:pPr>
        <w:pStyle w:val="Heading3"/>
      </w:pPr>
      <w:r>
        <w:t xml:space="preserve">7.2 Allowance for Credit Losses (ACL) Oversight</w:t>
      </w:r>
    </w:p>
    <w:p>
      <w:pPr>
        <w:pStyle w:val="FirstParagraph"/>
      </w:pPr>
      <w:r>
        <w:t xml:space="preserve">The 2023 Interagency Policy Statement on Allowances for Credit Losses (</w:t>
      </w:r>
      <w:hyperlink r:id="rId114">
        <w:r>
          <w:rPr>
            <w:rStyle w:val="Hyperlink"/>
            <w:color w:val="0645AD"/>
            <w:u w:val="single"/>
          </w:rPr>
          <w:t xml:space="preserve">88 FR 25479</w:t>
        </w:r>
      </w:hyperlink>
      <w:r>
        <w:t xml:space="preserve">) makes the board (or a committee) responsible for overseeing management’s significant ACL judgments — retaining qualified management; reviewing and approving written loss-estimation policies at least annually; reviewing management’s assessments and justifications each period; requiring periodic validation of loss-estimation methods; approving ACL audit plans; and reviewing audit findings. Neither the board nor management may adjust ACLs solely to report a peer-group median, target ratio, or budgeted amount, nor beyond what is appropriately measured under FASB ASC Topic 326 (</w:t>
      </w:r>
      <w:hyperlink r:id="rId114">
        <w:r>
          <w:rPr>
            <w:rStyle w:val="Hyperlink"/>
            <w:color w:val="0645AD"/>
            <w:u w:val="single"/>
          </w:rPr>
          <w:t xml:space="preserve">88 FR 25479</w:t>
        </w:r>
      </w:hyperlink>
      <w:r>
        <w:t xml:space="preserve">).</w:t>
      </w:r>
    </w:p>
    <w:bookmarkEnd w:id="115"/>
    <w:bookmarkStart w:id="119" w:name="Xecde88407a620629e5ab38f81384d53fc8c99c1"/>
    <w:p>
      <w:pPr>
        <w:pStyle w:val="Heading3"/>
      </w:pPr>
      <w:r>
        <w:t xml:space="preserve">7.3 Real Estate Lending Policies — Annual Board Review and Approval</w:t>
      </w:r>
    </w:p>
    <w:p>
      <w:pPr>
        <w:pStyle w:val="FirstParagraph"/>
      </w:pPr>
      <w:r>
        <w:t xml:space="preserve">This is the most heavily duplicated obligation in the credit domain. For FSAs, real estate lending policies must be reviewed and approved by the board at least annually (</w:t>
      </w:r>
      <w:hyperlink r:id="rId116">
        <w:r>
          <w:rPr>
            <w:rStyle w:val="Hyperlink"/>
            <w:color w:val="0645AD"/>
            <w:u w:val="single"/>
          </w:rPr>
          <w:t xml:space="preserve">OCC Rule 160.101(b)(1)</w:t>
        </w:r>
      </w:hyperlink>
      <w:r>
        <w:t xml:space="preserve">); the same rule fixes aggregate exposure limits (loans above supervisory LTV limits capped at 100% of total capital; commercial/multifamily/non-1-to-4-family within that aggregate capped at 30%). For national banks the parallel obligation runs through 12 CFR Part 34, subpart D, and Appendix A (</w:t>
      </w:r>
      <w:hyperlink r:id="rId117">
        <w:r>
          <w:rPr>
            <w:rStyle w:val="Hyperlink"/>
            <w:color w:val="0645AD"/>
            <w:u w:val="single"/>
          </w:rPr>
          <w:t xml:space="preserve">OCC Bulletin 2019-36</w:t>
        </w:r>
      </w:hyperlink>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Lending policies must reflect the board’s acceptable risk level and provide clear, measurable underwriting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6">
              <w:r>
                <w:rPr>
                  <w:rStyle w:val="Hyperlink"/>
                  <w:color w:val="0645AD"/>
                  <w:u w:val="single"/>
                </w:rPr>
                <w:t xml:space="preserve">Appendix to § 160.101</w:t>
              </w:r>
            </w:hyperlink>
            <w:r>
              <w:t xml:space="preserve">;</w:t>
            </w:r>
            <w:r>
              <w:t xml:space="preserve"> </w:t>
            </w:r>
            <w:hyperlink r:id="rId117">
              <w:r>
                <w:rPr>
                  <w:rStyle w:val="Hyperlink"/>
                  <w:color w:val="0645AD"/>
                  <w:u w:val="single"/>
                </w:rPr>
                <w:t xml:space="preserve">OCC Bulletin 2019-36</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Aggregate loans above supervisory LTV limits reported to the board ≥ quarterly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6">
              <w:r>
                <w:rPr>
                  <w:rStyle w:val="Hyperlink"/>
                  <w:color w:val="0645AD"/>
                  <w:u w:val="single"/>
                </w:rPr>
                <w:t xml:space="preserve">Appendix to § 160.101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establishes standards for review/approval of exception loans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6">
              <w:r>
                <w:rPr>
                  <w:rStyle w:val="Hyperlink"/>
                  <w:color w:val="0645AD"/>
                  <w:u w:val="single"/>
                </w:rPr>
                <w:t xml:space="preserve">OCC Rule 160.101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Exception loans of significant size individually reported to the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6">
              <w:r>
                <w:rPr>
                  <w:rStyle w:val="Hyperlink"/>
                  <w:color w:val="0645AD"/>
                  <w:u w:val="single"/>
                </w:rPr>
                <w:t xml:space="preserve">OCC Rule 160.101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 annually reviews/approves written policies for credit secured by real estate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7">
              <w:r>
                <w:rPr>
                  <w:rStyle w:val="Hyperlink"/>
                  <w:color w:val="0645AD"/>
                  <w:u w:val="single"/>
                </w:rPr>
                <w:t xml:space="preserve">OCC Director’s Book, p.101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approves CRE strategic objectives, risk appetite, governance, monitoring, underwriting, LTV/SLTV limits, exceptions, administration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18">
              <w:r>
                <w:rPr>
                  <w:rStyle w:val="Hyperlink"/>
                  <w:color w:val="0645AD"/>
                  <w:u w:val="single"/>
                </w:rPr>
                <w:t xml:space="preserve">Comptroller’s Handbook — Commercial Real Estate Lending</w:t>
              </w:r>
            </w:hyperlink>
          </w:p>
        </w:tc>
      </w:tr>
    </w:tbl>
    <w:bookmarkEnd w:id="119"/>
    <w:bookmarkStart w:id="120" w:name="X21b11ad6debab4c78478c7262bee1dc43cd0c5b"/>
    <w:p>
      <w:pPr>
        <w:pStyle w:val="Heading3"/>
      </w:pPr>
      <w:r>
        <w:t xml:space="preserve">7.4 Credit Committee Governance and Risk Appetite</w:t>
      </w:r>
    </w:p>
    <w:p>
      <w:pPr>
        <w:pStyle w:val="FirstParagraph"/>
      </w:pPr>
      <w:r>
        <w:t xml:space="preserve">The board and senior management are expected to establish an appropriate credit risk governance framework consistent with risk appetite (</w:t>
      </w:r>
      <w:hyperlink r:id="rId90">
        <w:r>
          <w:rPr>
            <w:rStyle w:val="Hyperlink"/>
            <w:color w:val="0645AD"/>
            <w:u w:val="single"/>
          </w:rPr>
          <w:t xml:space="preserve">12 CFR Part 30, App. D §II.G</w:t>
        </w:r>
      </w:hyperlink>
      <w:r>
        <w:t xml:space="preserve">;</w:t>
      </w:r>
      <w:r>
        <w:t xml:space="preserve"> </w:t>
      </w:r>
      <w:hyperlink r:id="rId118">
        <w:r>
          <w:rPr>
            <w:rStyle w:val="Hyperlink"/>
            <w:color w:val="0645AD"/>
            <w:u w:val="single"/>
          </w:rPr>
          <w:t xml:space="preserve">OCC Comptroller’s Handbook, Commercial Real Estate Lending</w:t>
        </w:r>
      </w:hyperlink>
      <w:r>
        <w:t xml:space="preserve">). (A separate proposal would carry an identically worded expectation into the Federal Reserve’s assessment process at</w:t>
      </w:r>
      <w:r>
        <w:t xml:space="preserve"> </w:t>
      </w:r>
      <w:hyperlink r:id="rId33">
        <w:r>
          <w:rPr>
            <w:rStyle w:val="Hyperlink"/>
            <w:color w:val="0645AD"/>
            <w:u w:val="single"/>
          </w:rPr>
          <w:t xml:space="preserve">90 FR 31641, p. 31660 (proposed)</w:t>
        </w:r>
      </w:hyperlink>
      <w:r>
        <w:t xml:space="preserve">; that language is</w:t>
      </w:r>
      <w:r>
        <w:t xml:space="preserve"> </w:t>
      </w:r>
      <w:r>
        <w:rPr>
          <w:b/>
          <w:bCs/>
        </w:rPr>
        <w:t xml:space="preserve">proposed only</w:t>
      </w:r>
      <w:r>
        <w:t xml:space="preserve">.) The OCC Director’s Book sets out the credit committee’s responsibilities as a supervisory expectation (non-binding plain-English publication): establish lending strategy, credit risk appetite, and limits; review/approve lending policies and underwriting standards; approve large loans; monitor portfolio performance, exceptions, and the allowance; oversee compliance; and receive loan-review reports (</w:t>
      </w:r>
      <w:hyperlink r:id="rId27">
        <w:r>
          <w:rPr>
            <w:rStyle w:val="Hyperlink"/>
            <w:color w:val="0645AD"/>
            <w:u w:val="single"/>
          </w:rPr>
          <w:t xml:space="preserve">OCC Director’s Book, p.104</w:t>
        </w:r>
      </w:hyperlink>
      <w:r>
        <w:t xml:space="preserve">). The Federal Reserve revised the board’s credit-rating responsibilities to conform to SR 21-3 and SR 16-11 (</w:t>
      </w:r>
      <w:hyperlink r:id="rId95">
        <w:r>
          <w:rPr>
            <w:rStyle w:val="Hyperlink"/>
            <w:color w:val="0645AD"/>
            <w:u w:val="single"/>
          </w:rPr>
          <w:t xml:space="preserve">SR 21-3, p.6 (SR 98-25)</w:t>
        </w:r>
      </w:hyperlink>
      <w:r>
        <w:t xml:space="preserve">).</w:t>
      </w:r>
    </w:p>
    <w:bookmarkEnd w:id="120"/>
    <w:bookmarkStart w:id="122" w:name="counterparty-credit-risk"/>
    <w:p>
      <w:pPr>
        <w:pStyle w:val="Heading3"/>
      </w:pPr>
      <w:r>
        <w:t xml:space="preserve">7.5 Counterparty Credit Risk</w:t>
      </w:r>
    </w:p>
    <w:p>
      <w:pPr>
        <w:pStyle w:val="FirstParagraph"/>
      </w:pPr>
      <w:r>
        <w:t xml:space="preserve">The board (or a designated committee) should clearly articulate the banking organization’s risk tolerance for CCR and delineate the roles of business lines versus risk management (</w:t>
      </w:r>
      <w:hyperlink r:id="rId121">
        <w:r>
          <w:rPr>
            <w:rStyle w:val="Hyperlink"/>
            <w:color w:val="0645AD"/>
            <w:u w:val="single"/>
          </w:rPr>
          <w:t xml:space="preserve">SR 11-10, Governance</w:t>
        </w:r>
      </w:hyperlink>
      <w:r>
        <w:t xml:space="preserve">). The 2023 Interagency Third-Party Risk Management Guidance reinforces</w:t>
      </w:r>
      <w:r>
        <w:t xml:space="preserve"> </w:t>
      </w:r>
      <w:r>
        <w:t xml:space="preserve">“</w:t>
      </w:r>
      <w:r>
        <w:t xml:space="preserve">prudent board and senior management oversight</w:t>
      </w:r>
      <w:r>
        <w:t xml:space="preserve">”</w:t>
      </w:r>
      <w:r>
        <w:t xml:space="preserve"> </w:t>
      </w:r>
      <w:r>
        <w:t xml:space="preserve">of CCR (</w:t>
      </w:r>
      <w:hyperlink r:id="rId22">
        <w:r>
          <w:rPr>
            <w:rStyle w:val="Hyperlink"/>
            <w:color w:val="0645AD"/>
            <w:u w:val="single"/>
          </w:rPr>
          <w:t xml:space="preserve">88 FR 37920</w:t>
        </w:r>
      </w:hyperlink>
      <w:r>
        <w:t xml:space="preserve">). Note: OCC Bulletin 2013-29 was rescinded by OCC Bulletin 2023-17 (June 6, 2023) and is no longer an operative source.</w:t>
      </w:r>
    </w:p>
    <w:bookmarkEnd w:id="122"/>
    <w:bookmarkStart w:id="124" w:name="X020bd732a4b7bcd93c7ef109e8ecddfb7a4640d"/>
    <w:p>
      <w:pPr>
        <w:pStyle w:val="Heading3"/>
      </w:pPr>
      <w:r>
        <w:t xml:space="preserve">7.6 Insider and Affiliate Credit Transactions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 / policy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Many lines of credit to an insider must be approved by the board every 14 months; each approval is a new extension of credit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23">
              <w:r>
                <w:rPr>
                  <w:rStyle w:val="Hyperlink"/>
                  <w:color w:val="0645AD"/>
                  <w:u w:val="single"/>
                </w:rPr>
                <w:t xml:space="preserve">Regulation O FAQs</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Renewals of loans originated by a nondepository affiliate must be approved by the entire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3">
              <w:r>
                <w:rPr>
                  <w:rStyle w:val="Hyperlink"/>
                  <w:color w:val="0645AD"/>
                  <w:u w:val="single"/>
                </w:rPr>
                <w:t xml:space="preserve">12 CFR Part 223, p.40</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management approvals of depository-institution-affiliate loan renewals, the board must establish, ensure consistency with, and periodically review policies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3">
              <w:r>
                <w:rPr>
                  <w:rStyle w:val="Hyperlink"/>
                  <w:color w:val="0645AD"/>
                  <w:u w:val="single"/>
                </w:rPr>
                <w:t xml:space="preserve">12 CFR Part 223, p.40</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policies/procedures to manage intraday credit exposure to affiliates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3">
              <w:r>
                <w:rPr>
                  <w:rStyle w:val="Hyperlink"/>
                  <w:color w:val="0645AD"/>
                  <w:u w:val="single"/>
                </w:rPr>
                <w:t xml:space="preserve">12 CFR Part 223, p.88</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policies/procedures to manage affiliate derivative credit exposure and ensure market-terms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3">
              <w:r>
                <w:rPr>
                  <w:rStyle w:val="Hyperlink"/>
                  <w:color w:val="0645AD"/>
                  <w:u w:val="single"/>
                </w:rPr>
                <w:t xml:space="preserve">12 CFR Part 223.33(b)</w:t>
              </w:r>
            </w:hyperlink>
          </w:p>
        </w:tc>
      </w:tr>
    </w:tbl>
    <w:bookmarkEnd w:id="124"/>
    <w:bookmarkStart w:id="126" w:name="X85ae5721b69b258dcf08268ebfc7b1022ff913f"/>
    <w:p>
      <w:pPr>
        <w:pStyle w:val="Heading3"/>
      </w:pPr>
      <w:r>
        <w:t xml:space="preserve">7.7 Correspondent Credit Exposure (Regulation F)</w:t>
      </w:r>
    </w:p>
    <w:p>
      <w:pPr>
        <w:pStyle w:val="FirstParagraph"/>
      </w:pPr>
      <w:r>
        <w:t xml:space="preserve">The board must, at least annually, review and approve written policies to prevent excessive exposure to any individual correspondent and to manage credit, liquidity, and operational risks (</w:t>
      </w:r>
      <w:hyperlink r:id="rId125">
        <w:r>
          <w:rPr>
            <w:rStyle w:val="Hyperlink"/>
            <w:color w:val="0645AD"/>
            <w:u w:val="single"/>
          </w:rPr>
          <w:t xml:space="preserve">FRS Rules Part 206 — Regulation F</w:t>
        </w:r>
      </w:hyperlink>
      <w:r>
        <w:t xml:space="preserve">); the OCC articulates a parallel supervisory expectation for national banks and FSAs in the OCC Director’s Book (a plain-English publication; supervisory expectation, not a binding rule) — one objective addressed through two agency rules.</w:t>
      </w:r>
    </w:p>
    <w:bookmarkEnd w:id="126"/>
    <w:bookmarkStart w:id="128" w:name="venture-lending"/>
    <w:p>
      <w:pPr>
        <w:pStyle w:val="Heading3"/>
      </w:pPr>
      <w:r>
        <w:t xml:space="preserve">7.8 Venture Lending</w:t>
      </w:r>
    </w:p>
    <w:p>
      <w:pPr>
        <w:pStyle w:val="FirstParagraph"/>
      </w:pPr>
      <w:r>
        <w:t xml:space="preserve">The board and management must ensure venture loans are consistent with risk appetite, within risk limits, appropriately documented and underwritten, accurately risk-rated, and sufficiently reserved, and must set risk limits ensuring volume appropriate to size and complexity (</w:t>
      </w:r>
      <w:hyperlink r:id="rId127">
        <w:r>
          <w:rPr>
            <w:rStyle w:val="Hyperlink"/>
            <w:color w:val="0645AD"/>
            <w:u w:val="single"/>
          </w:rPr>
          <w:t xml:space="preserve">OCC Bulletin 2025-45</w:t>
        </w:r>
      </w:hyperlink>
      <w:r>
        <w:t xml:space="preserve">).</w:t>
      </w:r>
    </w:p>
    <w:bookmarkEnd w:id="128"/>
    <w:bookmarkStart w:id="130" w:name="leveraged-lending-status"/>
    <w:p>
      <w:pPr>
        <w:pStyle w:val="Heading3"/>
      </w:pPr>
      <w:r>
        <w:t xml:space="preserve">7.9 Leveraged Lending — Status</w:t>
      </w:r>
    </w:p>
    <w:p>
      <w:pPr>
        <w:pStyle w:val="FirstParagraph"/>
      </w:pPr>
      <w:r>
        <w:t xml:space="preserve">The Interagency Guidance on Leveraged Lending had required at least quarterly board summaries of the leveraged-lending portfolio; that obligation is no longer in effect, as</w:t>
      </w:r>
      <w:r>
        <w:t xml:space="preserve"> </w:t>
      </w:r>
      <w:r>
        <w:rPr>
          <w:b/>
          <w:bCs/>
        </w:rPr>
        <w:t xml:space="preserve">SR 13-3 has been rescinded</w:t>
      </w:r>
      <w:r>
        <w:t xml:space="preserve"> </w:t>
      </w:r>
      <w:r>
        <w:t xml:space="preserve">(</w:t>
      </w:r>
      <w:hyperlink r:id="rId129">
        <w:r>
          <w:rPr>
            <w:rStyle w:val="Hyperlink"/>
            <w:color w:val="0645AD"/>
            <w:u w:val="single"/>
          </w:rPr>
          <w:t xml:space="preserve">SR 13-3</w:t>
        </w:r>
      </w:hyperlink>
      <w:r>
        <w:t xml:space="preserve">).</w:t>
      </w:r>
    </w:p>
    <w:bookmarkEnd w:id="130"/>
    <w:bookmarkStart w:id="132" w:name="Xc81744b4d792d26efeb71f01dcacbe9a7a006a0"/>
    <w:p>
      <w:pPr>
        <w:pStyle w:val="Heading3"/>
      </w:pPr>
      <w:r>
        <w:t xml:space="preserve">7.10 Credit Risk Reporting in Resolution Planning</w:t>
      </w:r>
    </w:p>
    <w:p>
      <w:pPr>
        <w:pStyle w:val="FirstParagraph"/>
      </w:pPr>
      <w:r>
        <w:t xml:space="preserve">Each full resolution plan must identify and describe the relevant risk measures used to report credit risk exposures internally to senior management and the board (</w:t>
      </w:r>
      <w:hyperlink r:id="rId131">
        <w:r>
          <w:rPr>
            <w:rStyle w:val="Hyperlink"/>
            <w:color w:val="0645AD"/>
            <w:u w:val="single"/>
          </w:rPr>
          <w:t xml:space="preserve">12 CFR Part 381(d)(3)</w:t>
        </w:r>
      </w:hyperlink>
      <w:r>
        <w:t xml:space="preserve">) — an overlap with the recovery-and-resolution domain (Section 14).</w:t>
      </w:r>
    </w:p>
    <w:p>
      <w:pPr>
        <w:pStyle w:val="BodyText"/>
      </w:pPr>
      <w:r>
        <w:rPr>
          <w:b/>
          <w:bCs/>
        </w:rPr>
        <w:t xml:space="preserve">Cross-cutting diagnosis.</w:t>
      </w:r>
      <w:r>
        <w:t xml:space="preserve"> </w:t>
      </w:r>
      <w:r>
        <w:t xml:space="preserve">Three convergence points: (1) the independent-credit-review/board-reporting objective is mandated by statute (12 U.S.C. 1831p-1), FDIC safety-and-soundness guidelines, 2020 interagency guidance, and the OCC heightened-standards rule and director materials; (2) annual board review/approval of real estate lending policies is independently codified for FSAs (OCC Rule 160.101), national banks (12 CFR Part 34, subpart D and Appendix A), and the CRE handbook; and (3) excessive-correspondent-exposure policy approval is duplicated across Regulation F and 12 CFR 163.33.</w:t>
      </w:r>
    </w:p>
    <w:bookmarkEnd w:id="132"/>
    <w:bookmarkEnd w:id="133"/>
    <w:bookmarkStart w:id="149" w:name="Xbcad1417ac31d7e8ff00d5b35096cbcf77bda01"/>
    <w:p>
      <w:pPr>
        <w:pStyle w:val="Heading2"/>
      </w:pPr>
      <w:r>
        <w:t xml:space="preserve">Section 8: Internal Audit: Board-Level Obligations</w:t>
      </w:r>
    </w:p>
    <w:p>
      <w:pPr>
        <w:pStyle w:val="FirstParagraph"/>
      </w:pPr>
      <w:r>
        <w:t xml:space="preserve">The obligations cluster around audit-committee existence and composition, audit-committee independence, oversight of the internal audit function and chief audit executive (CAE), oversight of the external auditor, and direct reporting/escalation to the board — but those objectives are pursued redundantly through FDIA §36 / SEA §10A (statute), FDIC Part 363 / Part 364, OCC Part 30 Appendix D / Parts 9 and 150, Federal Reserve SR letters, and NYSE listing rules.</w:t>
      </w:r>
    </w:p>
    <w:bookmarkStart w:id="136" w:name="Xf1bf334770efa4481dbf58927728dff7ee57610"/>
    <w:p>
      <w:pPr>
        <w:pStyle w:val="Heading3"/>
      </w:pPr>
      <w:r>
        <w:t xml:space="preserve">8.1 Audit Committee Existence and Composition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Trigger / Scope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audit committee, entirely outside directors independent of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IDIs subject to §36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Section 36(g)(1)(A)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Every IDI should establish committee of outside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IDIs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 A, Intro</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Minimum audit committee requirements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IDI &gt; $1B total assets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1">
              <w:r>
                <w:rPr>
                  <w:rStyle w:val="Hyperlink"/>
                  <w:color w:val="0645AD"/>
                  <w:u w:val="single"/>
                </w:rPr>
                <w:t xml:space="preserve">90 FR 55789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Additional audit committee requirements / composition (12 CFR 363.5(b))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IDI &gt; $5B total assets (raised from $3B; removes approximately 123 IDIs)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1">
              <w:r>
                <w:rPr>
                  <w:rStyle w:val="Hyperlink"/>
                  <w:color w:val="0645AD"/>
                  <w:u w:val="single"/>
                </w:rPr>
                <w:t xml:space="preserve">90 FR 55789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Individual-basis committee where holding-co. exception unmet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IDI not meeting § 363.1(b)(2)</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4">
              <w:r>
                <w:rPr>
                  <w:rStyle w:val="Hyperlink"/>
                  <w:color w:val="0645AD"/>
                  <w:u w:val="single"/>
                </w:rPr>
                <w:t xml:space="preserve">12 CFR Part 363, App. A, Guideline 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Holding-company committee may satisfy requirement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 363.1(b)(1)–(2) met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4">
              <w:r>
                <w:rPr>
                  <w:rStyle w:val="Hyperlink"/>
                  <w:color w:val="0645AD"/>
                  <w:u w:val="single"/>
                </w:rPr>
                <w:t xml:space="preserve">12 CFR Part 363, App. A, Guideline 30(a)</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Listed company must maintain internal audit function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NYSE-listed holding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LCM § 303A.07(c)</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t xml:space="preserve">For a Category I G-SIB IDI, all tiers are exceeded and the full set applies.</w:t>
      </w:r>
    </w:p>
    <w:bookmarkEnd w:id="136"/>
    <w:bookmarkStart w:id="139" w:name="X5d8206451bef8882198a94e49e6a2abd12fff3c"/>
    <w:p>
      <w:pPr>
        <w:pStyle w:val="Heading3"/>
      </w:pPr>
      <w:r>
        <w:t xml:space="preserve">8.2 Audit Committee Independence, Expertise, and</w:t>
      </w:r>
      <w:r>
        <w:t xml:space="preserve"> </w:t>
      </w:r>
      <w:r>
        <w:t xml:space="preserve">“</w:t>
      </w:r>
      <w:r>
        <w:t xml:space="preserve">Large Customer</w:t>
      </w:r>
      <w:r>
        <w:t xml:space="preserve">”</w:t>
      </w:r>
      <w:r>
        <w:t xml:space="preserve"> </w:t>
      </w:r>
      <w:r>
        <w:t xml:space="preserve">Constraints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Constraint</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Banking/financial expertise; own outside counsel; no large customers (large-IDI tier)</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§36(g)(1)(C);</w:t>
            </w:r>
            <w:r>
              <w:t xml:space="preserve"> </w:t>
            </w:r>
            <w:hyperlink r:id="rId134">
              <w:r>
                <w:rPr>
                  <w:rStyle w:val="Hyperlink"/>
                  <w:color w:val="0645AD"/>
                  <w:u w:val="single"/>
                </w:rPr>
                <w:t xml:space="preserve">12 CFR Part 363, App. A, Guideline 33</w:t>
              </w:r>
            </w:hyperlink>
            <w:r>
              <w:t xml:space="preserve">; OCC Director’s Book, p. 26 (explanatory)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determines</w:t>
            </w:r>
            <w:r>
              <w:t xml:space="preserve"> </w:t>
            </w:r>
            <w:r>
              <w:t xml:space="preserve">“</w:t>
            </w:r>
            <w:r>
              <w:t xml:space="preserve">large customer</w:t>
            </w:r>
            <w:r>
              <w:t xml:space="preserve">”</w:t>
            </w:r>
            <w:r>
              <w:t xml:space="preserve"> </w:t>
            </w:r>
            <w:r>
              <w:t xml:space="preserve">status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4">
              <w:r>
                <w:rPr>
                  <w:rStyle w:val="Hyperlink"/>
                  <w:color w:val="0645AD"/>
                  <w:u w:val="single"/>
                </w:rPr>
                <w:t xml:space="preserve">12 CFR Part 363, App. A, Guideline 33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determines committee expertise; SEC</w:t>
            </w:r>
            <w:r>
              <w:t xml:space="preserve"> </w:t>
            </w:r>
            <w:r>
              <w:t xml:space="preserve">“</w:t>
            </w:r>
            <w:r>
              <w:t xml:space="preserve">audit committee financial expert</w:t>
            </w:r>
            <w:r>
              <w:t xml:space="preserve">”</w:t>
            </w:r>
            <w:r>
              <w:t xml:space="preserve"> </w:t>
            </w:r>
            <w:r>
              <w:t xml:space="preserve">qualifies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4">
              <w:r>
                <w:rPr>
                  <w:rStyle w:val="Hyperlink"/>
                  <w:color w:val="0645AD"/>
                  <w:u w:val="single"/>
                </w:rPr>
                <w:t xml:space="preserve">12 CFR Part 363, App. A, Guideline 32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Independence determination uses Paragraph 28 criteria</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41">
              <w:r>
                <w:rPr>
                  <w:rStyle w:val="Hyperlink"/>
                  <w:color w:val="0645AD"/>
                  <w:u w:val="single"/>
                </w:rPr>
                <w:t xml:space="preserve">90 FR 55789</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Authority/funding to retain independent counsel and advisers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7">
              <w:r>
                <w:rPr>
                  <w:rStyle w:val="Hyperlink"/>
                  <w:color w:val="0645AD"/>
                  <w:u w:val="single"/>
                </w:rPr>
                <w:t xml:space="preserve">SEA Section 10A(m)(6)</w:t>
              </w:r>
            </w:hyperlink>
            <w:r>
              <w:t xml:space="preserve">;</w:t>
            </w:r>
            <w:r>
              <w:t xml:space="preserve"> </w:t>
            </w:r>
            <w:hyperlink r:id="rId138">
              <w:r>
                <w:rPr>
                  <w:rStyle w:val="Hyperlink"/>
                  <w:color w:val="0645AD"/>
                  <w:u w:val="single"/>
                </w:rPr>
                <w:t xml:space="preserve">SR 02-20</w:t>
              </w:r>
            </w:hyperlink>
            <w:r>
              <w:t xml:space="preserve">;</w:t>
            </w:r>
            <w:r>
              <w:t xml:space="preserve"> </w:t>
            </w:r>
            <w:hyperlink r:id="rId134">
              <w:r>
                <w:rPr>
                  <w:rStyle w:val="Hyperlink"/>
                  <w:color w:val="0645AD"/>
                  <w:u w:val="single"/>
                </w:rPr>
                <w:t xml:space="preserve">12 CFR Part 363, App. A, Guideline 34</w:t>
              </w:r>
            </w:hyperlink>
          </w:p>
        </w:tc>
      </w:tr>
    </w:tbl>
    <w:bookmarkEnd w:id="139"/>
    <w:bookmarkStart w:id="141" w:name="oversight-of-the-external-auditor"/>
    <w:p>
      <w:pPr>
        <w:pStyle w:val="Heading3"/>
      </w:pPr>
      <w:r>
        <w:t xml:space="preserve">8.3 Oversight of the External Auditor</w:t>
      </w:r>
    </w:p>
    <w:p>
      <w:pPr>
        <w:pStyle w:val="FirstParagraph"/>
      </w:pPr>
      <w:r>
        <w:t xml:space="preserve">The committee’s duties include the appointment, compensation, and oversight of the independent public accountant; reviewing the bases for management’s and the accountant’s reports under §§ 363.2–363.3; confirming the accountant’s independence; ensuring engagement letters comply with § 363.5(c); and ensuring required notices (</w:t>
      </w:r>
      <w:hyperlink r:id="rId134">
        <w:r>
          <w:rPr>
            <w:rStyle w:val="Hyperlink"/>
            <w:color w:val="0645AD"/>
            <w:u w:val="single"/>
          </w:rPr>
          <w:t xml:space="preserve">12 CFR Part 363, App. A, Guideline 31</w:t>
        </w:r>
      </w:hyperlink>
      <w:r>
        <w:t xml:space="preserve">;</w:t>
      </w:r>
      <w:r>
        <w:t xml:space="preserve"> </w:t>
      </w:r>
      <w:hyperlink r:id="rId140">
        <w:r>
          <w:rPr>
            <w:rStyle w:val="Hyperlink"/>
            <w:color w:val="0645AD"/>
            <w:u w:val="single"/>
          </w:rPr>
          <w:t xml:space="preserve">90 FR 35449 n.50</w:t>
        </w:r>
      </w:hyperlink>
      <w:r>
        <w:t xml:space="preserve">). The federal securities laws impose the same duty on the listed holding company: the audit committee must be directly responsible for the appointment and compensation of the outside auditor and for overseeing its work, and non-prohibited non-audit services require advance committee approval (</w:t>
      </w:r>
      <w:hyperlink r:id="rId138">
        <w:r>
          <w:rPr>
            <w:rStyle w:val="Hyperlink"/>
            <w:color w:val="0645AD"/>
            <w:u w:val="single"/>
          </w:rPr>
          <w:t xml:space="preserve">SR 02-20</w:t>
        </w:r>
      </w:hyperlink>
      <w:r>
        <w:t xml:space="preserve">), with delegated pre-approvals presented to the full committee (</w:t>
      </w:r>
      <w:hyperlink r:id="rId137">
        <w:r>
          <w:rPr>
            <w:rStyle w:val="Hyperlink"/>
            <w:color w:val="0645AD"/>
            <w:u w:val="single"/>
          </w:rPr>
          <w:t xml:space="preserve">SEA Section 10A(i)(3)</w:t>
        </w:r>
      </w:hyperlink>
      <w:r>
        <w:t xml:space="preserve">). NYSE rules add procedural overlay: the committee must meet separately with management, internal auditors, and the independent auditors; review audit difficulties and management’s response; and report regularly to the board (</w:t>
      </w:r>
      <w:hyperlink r:id="rId135">
        <w:r>
          <w:rPr>
            <w:rStyle w:val="Hyperlink"/>
            <w:color w:val="0645AD"/>
            <w:u w:val="single"/>
          </w:rPr>
          <w:t xml:space="preserve">NYSE LCM §§ 303A.07(b)(E), (F), (H)</w:t>
        </w:r>
      </w:hyperlink>
      <w:r>
        <w:t xml:space="preserve">). For large IDIs, if the FDIC requires accountant review of quarterly reports, the accountant furnishes them to the audit committee, which provides them to the FDIC, the appropriate federal banking agency, and any state supervisor (</w:t>
      </w:r>
      <w:hyperlink r:id="rId40">
        <w:r>
          <w:rPr>
            <w:rStyle w:val="Hyperlink"/>
            <w:color w:val="0645AD"/>
            <w:u w:val="single"/>
          </w:rPr>
          <w:t xml:space="preserve">FDIA Section 36(g)(2)(B)</w:t>
        </w:r>
      </w:hyperlink>
      <w:r>
        <w:t xml:space="preserve">).</w:t>
      </w:r>
    </w:p>
    <w:bookmarkEnd w:id="141"/>
    <w:bookmarkStart w:id="142" w:name="Xf50758f391bc3aab5f89be1f339f1124985812a"/>
    <w:p>
      <w:pPr>
        <w:pStyle w:val="Heading3"/>
      </w:pPr>
      <w:r>
        <w:t xml:space="preserve">8.4 Oversight of the Internal Audit Function and the CAE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Duty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OCC heightened standards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Federal Reserve LFI guidance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Exchange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internal audit charter and audit plans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§I.E.8(b)</w:t>
              </w:r>
            </w:hyperlink>
            <w:r>
              <w:t xml:space="preserve">;</w:t>
            </w:r>
            <w:r>
              <w:t xml:space="preserve"> </w:t>
            </w:r>
            <w:hyperlink r:id="rId48">
              <w:r>
                <w:rPr>
                  <w:rStyle w:val="Hyperlink"/>
                  <w:color w:val="0645AD"/>
                  <w:u w:val="single"/>
                </w:rPr>
                <w:t xml:space="preserve">79 FR 54518, p. 19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CAE appointment/removal/compensation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§I.E.8(c)</w:t>
              </w:r>
            </w:hyperlink>
            <w:r>
              <w:t xml:space="preserve">;</w:t>
            </w:r>
            <w:r>
              <w:t xml:space="preserve"> </w:t>
            </w:r>
            <w:hyperlink r:id="rId48">
              <w:r>
                <w:rPr>
                  <w:rStyle w:val="Hyperlink"/>
                  <w:color w:val="0645AD"/>
                  <w:u w:val="single"/>
                </w:rPr>
                <w:t xml:space="preserve">79 FR 54518, p. 19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CAE administrative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§I.E.8(d)</w:t>
              </w:r>
            </w:hyperlink>
            <w:r>
              <w:t xml:space="preserve">;</w:t>
            </w:r>
            <w:r>
              <w:t xml:space="preserve"> </w:t>
            </w:r>
            <w:hyperlink r:id="rId48">
              <w:r>
                <w:rPr>
                  <w:rStyle w:val="Hyperlink"/>
                  <w:color w:val="0645AD"/>
                  <w:u w:val="single"/>
                </w:rPr>
                <w:t xml:space="preserve">79 FR 54518, p. 19</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CAE/internal audit unrestricted board access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§I.E.7(b)</w:t>
              </w:r>
            </w:hyperlink>
            <w:r>
              <w:t xml:space="preserve">;</w:t>
            </w:r>
            <w:r>
              <w:t xml:space="preserve"> </w:t>
            </w:r>
            <w:hyperlink r:id="rId48">
              <w:r>
                <w:rPr>
                  <w:rStyle w:val="Hyperlink"/>
                  <w:color w:val="0645AD"/>
                  <w:u w:val="single"/>
                </w:rPr>
                <w:t xml:space="preserve">79 FR 54518, p. 12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 §4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 § 303A.07(b)(E)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Support stature/independence; resourcing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§I.E.8</w:t>
              </w:r>
            </w:hyperlink>
            <w:r>
              <w:t xml:space="preserve">;</w:t>
            </w:r>
            <w:r>
              <w:t xml:space="preserve"> </w:t>
            </w:r>
            <w:hyperlink r:id="rId48">
              <w:r>
                <w:rPr>
                  <w:rStyle w:val="Hyperlink"/>
                  <w:color w:val="0645AD"/>
                  <w:u w:val="single"/>
                </w:rPr>
                <w:t xml:space="preserve">79 FR 54532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SR 21-3 (Pages 7–8)</w:t>
              </w:r>
            </w:hyperlink>
            <w:r>
              <w:t xml:space="preserve">;</w:t>
            </w:r>
            <w:r>
              <w:t xml:space="preserve"> </w:t>
            </w:r>
            <w:hyperlink r:id="rId32">
              <w:r>
                <w:rPr>
                  <w:rStyle w:val="Hyperlink"/>
                  <w:color w:val="0645AD"/>
                  <w:u w:val="single"/>
                </w:rPr>
                <w:t xml:space="preserve">SR 12-17 §A.2.d</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Robust inquiry into risk-appetite breaches, remediation timeliness, audit-plan adequacy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5">
              <w:r>
                <w:rPr>
                  <w:rStyle w:val="Hyperlink"/>
                  <w:color w:val="0645AD"/>
                  <w:u w:val="single"/>
                </w:rPr>
                <w:t xml:space="preserve">12 CFR 238.122 (SR 21-3, Pages 7–8)</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Non-delegable board responsibility for audit/internal-control systems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§III.A</w:t>
              </w:r>
            </w:hyperlink>
            <w:r>
              <w:t xml:space="preserve">; OCC Director’s Book, p. 74 (explanatory)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bl>
    <w:p>
      <w:pPr>
        <w:pStyle w:val="BodyText"/>
      </w:pPr>
      <w:r>
        <w:t xml:space="preserve">Reporting and escalation run through the audit committee: it should receive CAE communications, be informed of significant audit-plan changes, and receive root-cause conclusions and reports of non-adherence to the framework (</w:t>
      </w:r>
      <w:hyperlink r:id="rId90">
        <w:r>
          <w:rPr>
            <w:rStyle w:val="Hyperlink"/>
            <w:color w:val="0645AD"/>
            <w:u w:val="single"/>
          </w:rPr>
          <w:t xml:space="preserve">12 CFR Part 30, App. D §I.E.8</w:t>
        </w:r>
      </w:hyperlink>
      <w:r>
        <w:t xml:space="preserve">;</w:t>
      </w:r>
      <w:r>
        <w:t xml:space="preserve"> </w:t>
      </w:r>
      <w:hyperlink r:id="rId48">
        <w:r>
          <w:rPr>
            <w:rStyle w:val="Hyperlink"/>
            <w:color w:val="0645AD"/>
            <w:u w:val="single"/>
          </w:rPr>
          <w:t xml:space="preserve">79 FR 54532</w:t>
        </w:r>
      </w:hyperlink>
      <w:r>
        <w:t xml:space="preserve">).</w:t>
      </w:r>
    </w:p>
    <w:bookmarkEnd w:id="142"/>
    <w:bookmarkStart w:id="144" w:name="Xbdf287aea126477a8cc6a5ca0aacff2697e5a04"/>
    <w:p>
      <w:pPr>
        <w:pStyle w:val="Heading3"/>
      </w:pPr>
      <w:r>
        <w:t xml:space="preserve">8.5 Review of Internal Audit Effectiveness; Escalation and Remediation</w:t>
      </w:r>
    </w:p>
    <w:p>
      <w:pPr>
        <w:pStyle w:val="FirstParagraph"/>
      </w:pPr>
      <w:r>
        <w:t xml:space="preserve">The institution’s audit committee or board must review the effectiveness of the internal audit systems — a duty imposed through statute, FDIC regulation, FDIC interagency standards, and Federal Reserve guidance:</w:t>
      </w:r>
      <w:r>
        <w:t xml:space="preserve"> </w:t>
      </w:r>
      <w:hyperlink r:id="rId38">
        <w:r>
          <w:rPr>
            <w:rStyle w:val="Hyperlink"/>
            <w:color w:val="0645AD"/>
            <w:u w:val="single"/>
          </w:rPr>
          <w:t xml:space="preserve">12 U.S.C. 1831p-1, Appendix, Section II.B.7</w:t>
        </w:r>
      </w:hyperlink>
      <w:r>
        <w:t xml:space="preserve">;</w:t>
      </w:r>
      <w:r>
        <w:t xml:space="preserve"> </w:t>
      </w:r>
      <w:hyperlink r:id="rId110">
        <w:r>
          <w:rPr>
            <w:rStyle w:val="Hyperlink"/>
            <w:color w:val="0645AD"/>
            <w:u w:val="single"/>
          </w:rPr>
          <w:t xml:space="preserve">12 CFR Part 364, Appendix A(II)(B)(7)</w:t>
        </w:r>
      </w:hyperlink>
      <w:r>
        <w:t xml:space="preserve">;</w:t>
      </w:r>
      <w:r>
        <w:t xml:space="preserve"> </w:t>
      </w:r>
      <w:hyperlink r:id="rId97">
        <w:r>
          <w:rPr>
            <w:rStyle w:val="Hyperlink"/>
            <w:color w:val="0645AD"/>
            <w:u w:val="single"/>
          </w:rPr>
          <w:t xml:space="preserve">SR 95-51 (Adequate Internal Controls)</w:t>
        </w:r>
      </w:hyperlink>
      <w:r>
        <w:t xml:space="preserve">. Communication channels must allow negative findings to be reported directly to the board (</w:t>
      </w:r>
      <w:hyperlink r:id="rId97">
        <w:r>
          <w:rPr>
            <w:rStyle w:val="Hyperlink"/>
            <w:color w:val="0645AD"/>
            <w:u w:val="single"/>
          </w:rPr>
          <w:t xml:space="preserve">SR 95-51</w:t>
        </w:r>
      </w:hyperlink>
      <w:r>
        <w:t xml:space="preserve">), and audit reports and remediation progress should be presented to the board or designated committee (</w:t>
      </w:r>
      <w:hyperlink r:id="rId143">
        <w:r>
          <w:rPr>
            <w:rStyle w:val="Hyperlink"/>
            <w:color w:val="0645AD"/>
            <w:u w:val="single"/>
          </w:rPr>
          <w:t xml:space="preserve">SR 26-2 (Fed, Apr. 17, 2026); OCC Bulletin 2026-13 (Apr. 17, 2026)</w:t>
        </w:r>
      </w:hyperlink>
      <w:r>
        <w:t xml:space="preserve">). The audit committee should oversee a robust audit program, establish whistle-blower procedures, and track resolution of deficiencies (</w:t>
      </w:r>
      <w:hyperlink r:id="rId90">
        <w:r>
          <w:rPr>
            <w:rStyle w:val="Hyperlink"/>
            <w:color w:val="0645AD"/>
            <w:u w:val="single"/>
          </w:rPr>
          <w:t xml:space="preserve">12 CFR Part 30, App. D §I.E.8</w:t>
        </w:r>
      </w:hyperlink>
      <w:r>
        <w:t xml:space="preserve">; OCC Director’s Book, p. 104 (explanatory)). The SEA whistle-blower analogue requires the audit committee to establish procedures for receipt and treatment of accounting/audit complaints and confidential, anonymous employee submissions (</w:t>
      </w:r>
      <w:hyperlink r:id="rId138">
        <w:r>
          <w:rPr>
            <w:rStyle w:val="Hyperlink"/>
            <w:color w:val="0645AD"/>
            <w:u w:val="single"/>
          </w:rPr>
          <w:t xml:space="preserve">SR 02-20</w:t>
        </w:r>
      </w:hyperlink>
      <w:r>
        <w:t xml:space="preserve">).</w:t>
      </w:r>
    </w:p>
    <w:bookmarkEnd w:id="144"/>
    <w:bookmarkStart w:id="146" w:name="specialized-internal-audit-mandates"/>
    <w:p>
      <w:pPr>
        <w:pStyle w:val="Heading3"/>
      </w:pPr>
      <w:r>
        <w:t xml:space="preserve">8.6 Specialized Internal-Audit Mandates</w:t>
      </w:r>
    </w:p>
    <w:p>
      <w:pPr>
        <w:pStyle w:val="FirstParagraph"/>
      </w:pPr>
      <w:r>
        <w:rPr>
          <w:b/>
          <w:bCs/>
        </w:rPr>
        <w:t xml:space="preserve">Advanced systems.</w:t>
      </w:r>
      <w:r>
        <w:t xml:space="preserve"> </w:t>
      </w:r>
      <w:r>
        <w:t xml:space="preserve">A national bank or FSA must have an independent internal audit function that at least annually reviews its advanced systems and reports findings to the board or a board committee (</w:t>
      </w:r>
      <w:hyperlink r:id="rId103">
        <w:r>
          <w:rPr>
            <w:rStyle w:val="Hyperlink"/>
            <w:color w:val="0645AD"/>
            <w:u w:val="single"/>
          </w:rPr>
          <w:t xml:space="preserve">OCC Rule 3.122(i)(5)</w:t>
        </w:r>
      </w:hyperlink>
      <w:r>
        <w:t xml:space="preserve">); the Federal Reserve imposes the identical duty (</w:t>
      </w:r>
      <w:hyperlink r:id="rId104">
        <w:r>
          <w:rPr>
            <w:rStyle w:val="Hyperlink"/>
            <w:color w:val="0645AD"/>
            <w:u w:val="single"/>
          </w:rPr>
          <w:t xml:space="preserve">FRS Rule 217.122(i)(5)(iii)</w:t>
        </w:r>
      </w:hyperlink>
      <w:r>
        <w:t xml:space="preserve">).</w:t>
      </w:r>
      <w:r>
        <w:t xml:space="preserve"> </w:t>
      </w:r>
      <w:r>
        <w:rPr>
          <w:b/>
          <w:bCs/>
        </w:rPr>
        <w:t xml:space="preserve">Market risk.</w:t>
      </w:r>
      <w:r>
        <w:t xml:space="preserve"> </w:t>
      </w:r>
      <w:r>
        <w:t xml:space="preserve">A separate annual internal-audit reporting duty for market-risk controls appears only in</w:t>
      </w:r>
      <w:r>
        <w:t xml:space="preserve"> </w:t>
      </w:r>
      <w:r>
        <w:rPr>
          <w:b/>
          <w:bCs/>
        </w:rPr>
        <w:t xml:space="preserve">proposed</w:t>
      </w:r>
      <w:r>
        <w:t xml:space="preserve"> </w:t>
      </w:r>
      <w:r>
        <w:t xml:space="preserve">form (</w:t>
      </w:r>
      <w:hyperlink r:id="rId73">
        <w:r>
          <w:rPr>
            <w:rStyle w:val="Hyperlink"/>
            <w:color w:val="0645AD"/>
            <w:u w:val="single"/>
          </w:rPr>
          <w:t xml:space="preserve">88 FR 64028</w:t>
        </w:r>
      </w:hyperlink>
      <w:r>
        <w:t xml:space="preserve">).</w:t>
      </w:r>
      <w:r>
        <w:t xml:space="preserve"> </w:t>
      </w:r>
      <w:r>
        <w:rPr>
          <w:b/>
          <w:bCs/>
        </w:rPr>
        <w:t xml:space="preserve">Information security.</w:t>
      </w:r>
      <w:r>
        <w:t xml:space="preserve"> </w:t>
      </w:r>
      <w:r>
        <w:t xml:space="preserve">The board should oversee an information security program supported by a risk-based audit program (</w:t>
      </w:r>
      <w:hyperlink r:id="rId145">
        <w:r>
          <w:rPr>
            <w:rStyle w:val="Hyperlink"/>
            <w:color w:val="0645AD"/>
            <w:u w:val="single"/>
          </w:rPr>
          <w:t xml:space="preserve">FFIEC IT Examination Handbook, Information Security, Page 5</w:t>
        </w:r>
      </w:hyperlink>
      <w:r>
        <w:t xml:space="preserve">).</w:t>
      </w:r>
      <w:r>
        <w:t xml:space="preserve"> </w:t>
      </w:r>
      <w:r>
        <w:rPr>
          <w:b/>
          <w:bCs/>
        </w:rPr>
        <w:t xml:space="preserve">Fiduciary audits.</w:t>
      </w:r>
      <w:r>
        <w:t xml:space="preserve"> </w:t>
      </w:r>
      <w:r>
        <w:t xml:space="preserve">For a national bank exercising fiduciary powers, a fiduciary audit must be conducted by persons responsible only to the board, at least annually (or on a continuous basis) (</w:t>
      </w:r>
      <w:hyperlink r:id="rId68">
        <w:r>
          <w:rPr>
            <w:rStyle w:val="Hyperlink"/>
            <w:color w:val="0645AD"/>
            <w:u w:val="single"/>
          </w:rPr>
          <w:t xml:space="preserve">12 CFR § 150.460</w:t>
        </w:r>
      </w:hyperlink>
      <w:r>
        <w:t xml:space="preserve">;</w:t>
      </w:r>
      <w:r>
        <w:t xml:space="preserve"> </w:t>
      </w:r>
      <w:hyperlink r:id="rId67">
        <w:r>
          <w:rPr>
            <w:rStyle w:val="Hyperlink"/>
            <w:color w:val="0645AD"/>
            <w:u w:val="single"/>
          </w:rPr>
          <w:t xml:space="preserve">12 CFR Part 9.9</w:t>
        </w:r>
      </w:hyperlink>
      <w:r>
        <w:t xml:space="preserve">); the fiduciary audit committee directs the audit and is subject to two member restrictions (</w:t>
      </w:r>
      <w:hyperlink r:id="rId68">
        <w:r>
          <w:rPr>
            <w:rStyle w:val="Hyperlink"/>
            <w:color w:val="0645AD"/>
            <w:u w:val="single"/>
          </w:rPr>
          <w:t xml:space="preserve">12 CFR § 150.470</w:t>
        </w:r>
      </w:hyperlink>
      <w:r>
        <w:t xml:space="preserve">); and results must be noted in the board minutes at least once each calendar year (</w:t>
      </w:r>
      <w:hyperlink r:id="rId67">
        <w:r>
          <w:rPr>
            <w:rStyle w:val="Hyperlink"/>
            <w:color w:val="0645AD"/>
            <w:u w:val="single"/>
          </w:rPr>
          <w:t xml:space="preserve">12 CFR § 9.9(a)–(b)</w:t>
        </w:r>
      </w:hyperlink>
      <w:r>
        <w:t xml:space="preserve">). A collective investment fund must be audited at least once per 12-month period by auditors responsible only to the board (</w:t>
      </w:r>
      <w:hyperlink r:id="rId67">
        <w:r>
          <w:rPr>
            <w:rStyle w:val="Hyperlink"/>
            <w:color w:val="0645AD"/>
            <w:u w:val="single"/>
          </w:rPr>
          <w:t xml:space="preserve">12 CFR § 9.18(b)(6)(i)</w:t>
        </w:r>
      </w:hyperlink>
      <w:r>
        <w:t xml:space="preserve">).</w:t>
      </w:r>
    </w:p>
    <w:bookmarkEnd w:id="146"/>
    <w:bookmarkStart w:id="148" w:name="instruments-not-in-force"/>
    <w:p>
      <w:pPr>
        <w:pStyle w:val="Heading3"/>
      </w:pPr>
      <w:r>
        <w:t xml:space="preserve">8.7 Instruments Not in Force</w:t>
      </w:r>
    </w:p>
    <w:p>
      <w:pPr>
        <w:pStyle w:val="FirstParagraph"/>
      </w:pPr>
      <w:r>
        <w:t xml:space="preserve">The following carry internal-audit board obligations but are not current law: the FDIC proposed Part 364 Appendix C governance guidelines (</w:t>
      </w:r>
      <w:hyperlink r:id="rId147">
        <w:r>
          <w:rPr>
            <w:rStyle w:val="Hyperlink"/>
            <w:color w:val="0645AD"/>
            <w:u w:val="single"/>
          </w:rPr>
          <w:t xml:space="preserve">FDIC Rules Part 364 Appendix C</w:t>
        </w:r>
      </w:hyperlink>
      <w:r>
        <w:t xml:space="preserve">) —</w:t>
      </w:r>
      <w:r>
        <w:t xml:space="preserve"> </w:t>
      </w:r>
      <w:r>
        <w:rPr>
          <w:b/>
          <w:bCs/>
        </w:rPr>
        <w:t xml:space="preserve">proposed</w:t>
      </w:r>
      <w:r>
        <w:t xml:space="preserve">; the FDIC 2023 corporate governance/risk management proposal (</w:t>
      </w:r>
      <w:hyperlink r:id="rId72">
        <w:r>
          <w:rPr>
            <w:rStyle w:val="Hyperlink"/>
            <w:color w:val="0645AD"/>
            <w:u w:val="single"/>
          </w:rPr>
          <w:t xml:space="preserve">88 FR 70391</w:t>
        </w:r>
      </w:hyperlink>
      <w:r>
        <w:t xml:space="preserve">) —</w:t>
      </w:r>
      <w:r>
        <w:t xml:space="preserve"> </w:t>
      </w:r>
      <w:r>
        <w:rPr>
          <w:b/>
          <w:bCs/>
        </w:rPr>
        <w:t xml:space="preserve">withdrawn</w:t>
      </w:r>
      <w:r>
        <w:t xml:space="preserve">; the permitted payment stablecoin issuer audit-effectiveness review (</w:t>
      </w:r>
      <w:hyperlink r:id="rId71">
        <w:r>
          <w:rPr>
            <w:rStyle w:val="Hyperlink"/>
            <w:color w:val="0645AD"/>
            <w:u w:val="single"/>
          </w:rPr>
          <w:t xml:space="preserve">91 FR 10202</w:t>
        </w:r>
      </w:hyperlink>
      <w:r>
        <w:t xml:space="preserve">) —</w:t>
      </w:r>
      <w:r>
        <w:t xml:space="preserve"> </w:t>
      </w:r>
      <w:r>
        <w:rPr>
          <w:b/>
          <w:bCs/>
        </w:rPr>
        <w:t xml:space="preserve">proposed</w:t>
      </w:r>
      <w:r>
        <w:t xml:space="preserve">; the talent-management/succession-planning review (</w:t>
      </w:r>
      <w:hyperlink r:id="rId75">
        <w:r>
          <w:rPr>
            <w:rStyle w:val="Hyperlink"/>
            <w:color w:val="0645AD"/>
            <w:u w:val="single"/>
          </w:rPr>
          <w:t xml:space="preserve">90 FR 61084 (Question 30)</w:t>
        </w:r>
      </w:hyperlink>
      <w:r>
        <w:t xml:space="preserve">) —</w:t>
      </w:r>
      <w:r>
        <w:t xml:space="preserve"> </w:t>
      </w:r>
      <w:r>
        <w:rPr>
          <w:b/>
          <w:bCs/>
        </w:rPr>
        <w:t xml:space="preserve">proposed</w:t>
      </w:r>
      <w:r>
        <w:t xml:space="preserve">; the interagency climate-related financial risk principles (</w:t>
      </w:r>
      <w:hyperlink r:id="rId98">
        <w:r>
          <w:rPr>
            <w:rStyle w:val="Hyperlink"/>
            <w:color w:val="0645AD"/>
            <w:u w:val="single"/>
          </w:rPr>
          <w:t xml:space="preserve">88 FR 74183 (Governance)</w:t>
        </w:r>
      </w:hyperlink>
      <w:r>
        <w:t xml:space="preserve">) —</w:t>
      </w:r>
      <w:r>
        <w:t xml:space="preserve"> </w:t>
      </w:r>
      <w:r>
        <w:rPr>
          <w:b/>
          <w:bCs/>
        </w:rPr>
        <w:t xml:space="preserve">rescinded</w:t>
      </w:r>
      <w:r>
        <w:t xml:space="preserve">; and the Federal Reserve LFI rating revision proposal (</w:t>
      </w:r>
      <w:hyperlink r:id="rId33">
        <w:r>
          <w:rPr>
            <w:rStyle w:val="Hyperlink"/>
            <w:color w:val="0645AD"/>
            <w:u w:val="single"/>
          </w:rPr>
          <w:t xml:space="preserve">90 FR 31641 (proposed)</w:t>
        </w:r>
      </w:hyperlink>
      <w:r>
        <w:t xml:space="preserve">) —</w:t>
      </w:r>
      <w:r>
        <w:t xml:space="preserve"> </w:t>
      </w:r>
      <w:r>
        <w:rPr>
          <w:b/>
          <w:bCs/>
        </w:rPr>
        <w:t xml:space="preserve">proposed</w:t>
      </w:r>
      <w:r>
        <w:t xml:space="preserve">. The OCC heightened-standards charter-approval and CAE-appointment duties (Part 30, Appendix D) carry an</w:t>
      </w:r>
      <w:r>
        <w:t xml:space="preserve"> </w:t>
      </w:r>
      <w:r>
        <w:rPr>
          <w:b/>
          <w:bCs/>
        </w:rPr>
        <w:t xml:space="preserve">effective-amendment-proposed</w:t>
      </w:r>
      <w:r>
        <w:t xml:space="preserve"> </w:t>
      </w:r>
      <w:r>
        <w:t xml:space="preserve">status (</w:t>
      </w:r>
      <w:hyperlink r:id="rId90">
        <w:r>
          <w:rPr>
            <w:rStyle w:val="Hyperlink"/>
            <w:color w:val="0645AD"/>
            <w:u w:val="single"/>
          </w:rPr>
          <w:t xml:space="preserve">Caffrey node 77871</w:t>
        </w:r>
      </w:hyperlink>
      <w:r>
        <w:t xml:space="preserve">).</w:t>
      </w:r>
    </w:p>
    <w:p>
      <w:pPr>
        <w:pStyle w:val="BodyText"/>
      </w:pPr>
      <w:r>
        <w:rPr>
          <w:b/>
          <w:bCs/>
        </w:rPr>
        <w:t xml:space="preserve">Cross-cutting diagnosis.</w:t>
      </w:r>
      <w:r>
        <w:t xml:space="preserve"> </w:t>
      </w:r>
      <w:r>
        <w:t xml:space="preserve">A small set of governance objectives is reached redundantly: audit-committee existence/independence (FDIA §36 + Part 363 + OCC + NYSE + SEA §10A); external-auditor appointment, compensation, and oversight (Part 363 Guideline 31 + SR 02-20 / SEA §10A(m)(6)); internal-audit charter and audit-plan approval and CAE appointment (OCC App. D + SR 21-3 + NYSE § 303A.07); review of internal-audit effectiveness and direct escalation (12 U.S.C. 1831p-1 App. II.B.7 + Part 364 App. A(II)(B)(7) + SR 95-51); and whistle-blower procedures (SR 02-20 + 12 CFR 163.33).</w:t>
      </w:r>
    </w:p>
    <w:bookmarkEnd w:id="148"/>
    <w:bookmarkEnd w:id="149"/>
    <w:bookmarkStart w:id="161" w:name="X527b32a398a6d30f21df969da4742e447cbd5a9"/>
    <w:p>
      <w:pPr>
        <w:pStyle w:val="Heading2"/>
      </w:pPr>
      <w:r>
        <w:t xml:space="preserve">Section 9: BSA/AML Compliance: Board-Level Obligations</w:t>
      </w:r>
    </w:p>
    <w:p>
      <w:pPr>
        <w:pStyle w:val="FirstParagraph"/>
      </w:pPr>
      <w:r>
        <w:t xml:space="preserve">A single core duty — board approval and oversight of a written BSA/AML compliance program — is codified in materially identical terms by the OCC, FDIC, and Federal Reserve, restated in interagency supervisory guidance, and reinforced by overlapping statutory provisions. A significant regulatory transition is underway: FinCEN and the federal banking agencies have issued, but not finalized, 2024 and 2026 proposals that would restructure program-approval and oversight requirements.</w:t>
      </w:r>
    </w:p>
    <w:bookmarkStart w:id="152" w:name="Xff53f3e7e5b1f06e97ba7159cfaad0d7e2d1e83"/>
    <w:p>
      <w:pPr>
        <w:pStyle w:val="Heading3"/>
      </w:pPr>
      <w:r>
        <w:t xml:space="preserve">9.1 The Core Duty: Board Approval and Oversight</w:t>
      </w:r>
    </w:p>
    <w:p>
      <w:pPr>
        <w:pStyle w:val="FirstParagraph"/>
      </w:pPr>
      <w:r>
        <w:t xml:space="preserve">Every financial institution must establish an AML/CFT program with internal controls, a designated compliance officer, ongoing training, and an independent audit function (31 U.S.C. 5318(h)(1)); for IDIs the duty is reinforced by</w:t>
      </w:r>
      <w:r>
        <w:t xml:space="preserve"> </w:t>
      </w:r>
      <w:hyperlink r:id="rId44">
        <w:r>
          <w:rPr>
            <w:rStyle w:val="Hyperlink"/>
            <w:color w:val="0645AD"/>
            <w:u w:val="single"/>
          </w:rPr>
          <w:t xml:space="preserve">FDIA § 8(s)(1)</w:t>
        </w:r>
      </w:hyperlink>
      <w:r>
        <w:t xml:space="preserve">. The current rules of all three banking agencies require the written program to be board-approved and noted in the minutes: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Charter</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National banks and FSAs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50">
              <w:r>
                <w:rPr>
                  <w:rStyle w:val="Hyperlink"/>
                  <w:color w:val="0645AD"/>
                  <w:u w:val="single"/>
                </w:rPr>
                <w:t xml:space="preserve">12 CFR 21.21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FDIC-supervised institutions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326.8(b)(1) (</w:t>
            </w:r>
            <w:hyperlink r:id="rId151">
              <w:r>
                <w:rPr>
                  <w:rStyle w:val="Hyperlink"/>
                  <w:color w:val="0645AD"/>
                  <w:u w:val="single"/>
                </w:rPr>
                <w:t xml:space="preserve">85 FR 3246</w:t>
              </w:r>
            </w:hyperlink>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Edge and agreement corporations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211.5(m)(1)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 branches/agencies/representative offices of foreign banks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FRS Rule 211.5(m)(1)</w:t>
            </w:r>
          </w:p>
        </w:tc>
      </w:tr>
    </w:tbl>
    <w:p>
      <w:pPr>
        <w:pStyle w:val="BodyText"/>
      </w:pPr>
      <w:r>
        <w:t xml:space="preserve">The FFIEC BSA/AML Examination Manual restates the program duty (written, board-approved, memorialized in minutes, risk-commensurate, with the five core elements and a CIP), assigns the board ultimate accountability, and treats board</w:t>
      </w:r>
      <w:r>
        <w:t xml:space="preserve"> </w:t>
      </w:r>
      <w:r>
        <w:rPr>
          <w:i/>
          <w:iCs/>
        </w:rPr>
        <w:t xml:space="preserve">oversight</w:t>
      </w:r>
      <w:r>
        <w:t xml:space="preserve"> </w:t>
      </w:r>
      <w:r>
        <w:t xml:space="preserve">as distinct from approval — with regular reporting (including SAR-filing notification) and direct independent-testing reporting to the board (BSA/AML Examination Manual (2020)). The OCC Director’s Book and Comptroller’s Licensing Manual repeat that the board approves and oversees the program (OCC Director’s Book (supervisory expectation; plain-English publication; non-binding as a standalone rule);</w:t>
      </w:r>
      <w:r>
        <w:t xml:space="preserve"> </w:t>
      </w:r>
      <w:hyperlink r:id="rId25">
        <w:r>
          <w:rPr>
            <w:rStyle w:val="Hyperlink"/>
            <w:color w:val="0645AD"/>
            <w:u w:val="single"/>
          </w:rPr>
          <w:t xml:space="preserve">OCC Comptroller’s Licensing Manual</w:t>
        </w:r>
      </w:hyperlink>
      <w:r>
        <w:t xml:space="preserve">). Directors and senior management must receive foundational training, and OCC new-director orientation must cover BSA/AML requirements and risk (OCC Director’s Book (supervisory expectation; non-binding as a standalone rule); the binding training obligation derives from 31 U.S.C. 5318(h)(1) and 12 CFR 21.21). The board must approve a written, risk-based CIP (BSA/AML Examination Manual (2021)).</w:t>
      </w:r>
    </w:p>
    <w:bookmarkEnd w:id="152"/>
    <w:bookmarkStart w:id="153" w:name="X2773ec99971f5d2f8628a798b62ae3dfbbe967d"/>
    <w:p>
      <w:pPr>
        <w:pStyle w:val="Heading3"/>
      </w:pPr>
      <w:r>
        <w:t xml:space="preserve">9.2 SAR Notification, Confidentiality, and Non-Disclosure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Promptly notify the board, or a designated committee, whenever a SAR is filed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Rule 21.11(h)(1); OCC Rule 163.180(d)(9)(i); FRS Rule 208.62(h)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Suspect-director carve-out: may not notify a suspect director/officer but must notify all non-suspect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Rule 21.11(h)(2); OCC Rule 163.180(d)(9)(ii)</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director may disclose a SAR or its existence; subpoenaed director must decline and notify the OCC/FDIC and FinCEN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Rule 21.11(k)(1)(i); OCC Rule 163.180(d)(12)(i); 31 U.S.C. 5318(g)(2)(A)(i)</w:t>
            </w:r>
          </w:p>
        </w:tc>
      </w:tr>
    </w:tbl>
    <w:bookmarkEnd w:id="153"/>
    <w:bookmarkStart w:id="154" w:name="X2601481a26d65d7649eb4bd9a0fdec7027acc87"/>
    <w:p>
      <w:pPr>
        <w:pStyle w:val="Heading3"/>
      </w:pPr>
      <w:r>
        <w:t xml:space="preserve">9.3 Statutory Due-Diligence Duties (Content the Board Must Approve and Oversee)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 appropriate, specific, and where necessary enhanced due diligence for private banking and foreign correspondent accounts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5318(i)(1)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Enhanced scrutiny of correspondent accounts of offshore/noncooperative-jurisdiction foreign banks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5318(i)(2)(B)</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Identify owners/source of funds and conduct enhanced scrutiny of senior foreign political figures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5318(i)(3)</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Prohibition on correspondent accounts for foreign shell banks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5318(j)(1)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Reasonable steps to prevent indirect shell-bank services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5318(j)(2)</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Written procedures documenting concentration-account transactions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31 U.S.C. 5318(h)(3)(C)</w:t>
            </w:r>
          </w:p>
        </w:tc>
      </w:tr>
    </w:tbl>
    <w:bookmarkEnd w:id="154"/>
    <w:bookmarkStart w:id="155" w:name="X0890d726445a0aa234d7a7cf34fa5c6e5cbb10e"/>
    <w:p>
      <w:pPr>
        <w:pStyle w:val="Heading3"/>
      </w:pPr>
      <w:r>
        <w:t xml:space="preserve">9.4 Individual Director Liability and Clawback</w:t>
      </w:r>
    </w:p>
    <w:p>
      <w:pPr>
        <w:pStyle w:val="FirstParagraph"/>
      </w:pPr>
      <w:r>
        <w:t xml:space="preserve">An officer or director with knowledge of a BSA/AML violation by an IAP must take appropriate action to stop or prevent recurrence; the agency considers whether the officer/director did so in a removal determination (</w:t>
      </w:r>
      <w:hyperlink r:id="rId44">
        <w:r>
          <w:rPr>
            <w:rStyle w:val="Hyperlink"/>
            <w:color w:val="0645AD"/>
            <w:u w:val="single"/>
          </w:rPr>
          <w:t xml:space="preserve">12 U.S.C. 1818(e)(2)(B)</w:t>
        </w:r>
      </w:hyperlink>
      <w:r>
        <w:t xml:space="preserve">). An individual who was a director at the time of a BSA violation and is convicted of it must repay any bonus paid during, or in the year after, the violation (31 U.S.C. 5322(e)(2)).</w:t>
      </w:r>
    </w:p>
    <w:bookmarkEnd w:id="155"/>
    <w:bookmarkStart w:id="157" w:name="enforcement-driven-board-governance"/>
    <w:p>
      <w:pPr>
        <w:pStyle w:val="Heading3"/>
      </w:pPr>
      <w:r>
        <w:t xml:space="preserve">9.5 Enforcement-Driven Board Governance</w:t>
      </w:r>
    </w:p>
    <w:p>
      <w:pPr>
        <w:pStyle w:val="FirstParagraph"/>
      </w:pPr>
      <w:r>
        <w:t xml:space="preserve">OCC consent orders frequently mandate a board compliance committee staffed by independent directors — e.g., a Compliance Committee composed of a majority of unaffiliated directors (</w:t>
      </w:r>
      <w:hyperlink r:id="rId156">
        <w:r>
          <w:rPr>
            <w:rStyle w:val="Hyperlink"/>
            <w:color w:val="0645AD"/>
            <w:u w:val="single"/>
          </w:rPr>
          <w:t xml:space="preserve">Bank Settles OCC Charges for AML Violations</w:t>
        </w:r>
      </w:hyperlink>
      <w:r>
        <w:t xml:space="preserve">) — illustrating board-committee structures imposed as remedial conditions.</w:t>
      </w:r>
    </w:p>
    <w:bookmarkEnd w:id="157"/>
    <w:bookmarkStart w:id="160" w:name="X532b15df4c6d43b166828e799e34bad0274d7ab"/>
    <w:p>
      <w:pPr>
        <w:pStyle w:val="Heading3"/>
      </w:pPr>
      <w:r>
        <w:t xml:space="preserve">9.6 Proposed and Pending Changes — Not Current Obligations</w:t>
      </w:r>
    </w:p>
    <w:p>
      <w:pPr>
        <w:pStyle w:val="FirstParagraph"/>
      </w:pPr>
      <w:r>
        <w:t xml:space="preserve">A substantial restructuring has been proposed but not finalized. The</w:t>
      </w:r>
      <w:r>
        <w:t xml:space="preserve"> </w:t>
      </w:r>
      <w:r>
        <w:rPr>
          <w:b/>
          <w:bCs/>
        </w:rPr>
        <w:t xml:space="preserve">2024</w:t>
      </w:r>
      <w:r>
        <w:t xml:space="preserve"> </w:t>
      </w:r>
      <w:r>
        <w:t xml:space="preserve">FinCEN/banking-agency proposals (</w:t>
      </w:r>
      <w:hyperlink r:id="rId158">
        <w:r>
          <w:rPr>
            <w:rStyle w:val="Hyperlink"/>
            <w:color w:val="0645AD"/>
            <w:u w:val="single"/>
          </w:rPr>
          <w:t xml:space="preserve">89 FR 55428</w:t>
        </w:r>
      </w:hyperlink>
      <w:r>
        <w:t xml:space="preserve">;</w:t>
      </w:r>
      <w:r>
        <w:t xml:space="preserve"> </w:t>
      </w:r>
      <w:hyperlink r:id="rId158">
        <w:r>
          <w:rPr>
            <w:rStyle w:val="Hyperlink"/>
            <w:color w:val="0645AD"/>
            <w:u w:val="single"/>
          </w:rPr>
          <w:t xml:space="preserve">89 FR 65242</w:t>
        </w:r>
      </w:hyperlink>
      <w:r>
        <w:t xml:space="preserve">) would require board approval of each program component, add a freestanding board-oversight standard distinct from approval, and contemplate annual board ratification. The</w:t>
      </w:r>
      <w:r>
        <w:t xml:space="preserve"> </w:t>
      </w:r>
      <w:r>
        <w:rPr>
          <w:b/>
          <w:bCs/>
        </w:rPr>
        <w:t xml:space="preserve">2026</w:t>
      </w:r>
      <w:r>
        <w:t xml:space="preserve"> </w:t>
      </w:r>
      <w:r>
        <w:t xml:space="preserve">proposals (</w:t>
      </w:r>
      <w:hyperlink r:id="rId159">
        <w:r>
          <w:rPr>
            <w:rStyle w:val="Hyperlink"/>
            <w:color w:val="0645AD"/>
            <w:u w:val="single"/>
          </w:rPr>
          <w:t xml:space="preserve">91 FR 18304</w:t>
        </w:r>
      </w:hyperlink>
      <w:r>
        <w:t xml:space="preserve">;</w:t>
      </w:r>
      <w:r>
        <w:t xml:space="preserve"> </w:t>
      </w:r>
      <w:hyperlink r:id="rId159">
        <w:r>
          <w:rPr>
            <w:rStyle w:val="Hyperlink"/>
            <w:color w:val="0645AD"/>
            <w:u w:val="single"/>
          </w:rPr>
          <w:t xml:space="preserve">91 FR 18704</w:t>
        </w:r>
      </w:hyperlink>
      <w:r>
        <w:t xml:space="preserve">) would instead permit approval by the board, an equivalent governing body,</w:t>
      </w:r>
      <w:r>
        <w:t xml:space="preserve"> </w:t>
      </w:r>
      <w:r>
        <w:rPr>
          <w:i/>
          <w:iCs/>
        </w:rPr>
        <w:t xml:space="preserve">or appropriate senior management</w:t>
      </w:r>
      <w:r>
        <w:t xml:space="preserve">. The two packages are in tension and neither is in force; the current baseline remains the single board-approval-and-minutes duty plus FFIEC oversight expectations. A separate OCC proposal would require a board AML/sanctions certification for permitted payment stablecoin issuers (</w:t>
      </w:r>
      <w:hyperlink r:id="rId71">
        <w:r>
          <w:rPr>
            <w:rStyle w:val="Hyperlink"/>
            <w:color w:val="0645AD"/>
            <w:u w:val="single"/>
          </w:rPr>
          <w:t xml:space="preserve">91 FR 10202</w:t>
        </w:r>
      </w:hyperlink>
      <w:r>
        <w:t xml:space="preserve">) —</w:t>
      </w:r>
      <w:r>
        <w:t xml:space="preserve"> </w:t>
      </w:r>
      <w:r>
        <w:rPr>
          <w:b/>
          <w:bCs/>
        </w:rPr>
        <w:t xml:space="preserve">proposed</w:t>
      </w:r>
      <w:r>
        <w:t xml:space="preserve">.</w:t>
      </w:r>
    </w:p>
    <w:p>
      <w:pPr>
        <w:pStyle w:val="BodyText"/>
      </w:pPr>
      <w:r>
        <w:rPr>
          <w:b/>
          <w:bCs/>
        </w:rPr>
        <w:t xml:space="preserve">Cross-cutting diagnosis.</w:t>
      </w:r>
      <w:r>
        <w:t xml:space="preserve"> </w:t>
      </w:r>
      <w:r>
        <w:t xml:space="preserve">The principal redundancy is the threefold regulatory codification of the program-approval duty (12 CFR 21.21; 12 CFR 326.8(b)(1); FRS Rule 211.5(m)(1)), each re-expressed in agency handbooks and the FFIEC Manual, now layered with two unreconciled pending rewrites.</w:t>
      </w:r>
    </w:p>
    <w:bookmarkEnd w:id="160"/>
    <w:bookmarkEnd w:id="161"/>
    <w:bookmarkStart w:id="171" w:name="X4050f93ece85bd4330b49651d22ed85faaec297"/>
    <w:p>
      <w:pPr>
        <w:pStyle w:val="Heading2"/>
      </w:pPr>
      <w:r>
        <w:t xml:space="preserve">Section 10: Information Technology and Cybersecurity: Board-Level Obligations</w:t>
      </w:r>
    </w:p>
    <w:p>
      <w:pPr>
        <w:pStyle w:val="FirstParagraph"/>
      </w:pPr>
      <w:r>
        <w:t xml:space="preserve">The same core governance objective — board approval and oversight of a written information security program, capped by an at-least-annual board reporting cycle — is codified separately by all three federal banking agencies through the Interagency Guidelines Establishing Information Security Standards (the Section 501(b) Guidelines) and restated as supervisory expectation in the FFIEC IT Examination Handbook.</w:t>
      </w:r>
    </w:p>
    <w:bookmarkStart w:id="162" w:name="X13a213e12783fdc057d9929ce469c59fc3780d9"/>
    <w:p>
      <w:pPr>
        <w:pStyle w:val="Heading3"/>
      </w:pPr>
      <w:r>
        <w:t xml:space="preserve">10.1 Board Approval and Oversight of the Written Information Security Program</w:t>
      </w:r>
    </w:p>
    <w:p>
      <w:pPr>
        <w:pStyle w:val="FirstParagraph"/>
      </w:pPr>
      <w:r>
        <w:t xml:space="preserve">The board, or an appropriate committee, must approve the institution’s written information security program and oversee its development, implementation, and maintenance, including assigning specific responsibility and reviewing management reports. This single duty is codified 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Entity in the G-SIB structure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Codification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 holding company / SLHC (Board)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225, Appendix F, Section III.A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State member bank (Board)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208, Appendix D-2, Section III.A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National bank / FSA (OCC)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Appendix B, Section III.A.1 and III.A.2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Insured depository institution (FDIC)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364, Appendix B, Section III.A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 (amendment proposed)</w:t>
            </w:r>
          </w:p>
        </w:tc>
      </w:tr>
    </w:tbl>
    <w:bookmarkEnd w:id="162"/>
    <w:bookmarkStart w:id="163" w:name="the-annual-board-reporting-cycle"/>
    <w:p>
      <w:pPr>
        <w:pStyle w:val="Heading3"/>
      </w:pPr>
      <w:r>
        <w:t xml:space="preserve">10.2 The Annual Board Reporting Cycle</w:t>
      </w:r>
    </w:p>
    <w:p>
      <w:pPr>
        <w:pStyle w:val="FirstParagraph"/>
      </w:pPr>
      <w:r>
        <w:t xml:space="preserve">Each agency’s Guidelines pair the approval-and-oversight duty with an at-least-annual report to the board describing the overall program status and compliance, and discussing risk assessment, risk management and control decisions, service-provider arrangements, testing results, security breaches and responses, and recommended changes: 12 CFR Part 225, Appendix F, Section III.F; 12 CFR Part 208, Appendix D-2, Section III.F; 12 CFR Part 30, Appendix B, Section III.F; and 12 CFR Part 364, Appendix B, Section III.F.</w:t>
      </w:r>
    </w:p>
    <w:bookmarkEnd w:id="163"/>
    <w:bookmarkStart w:id="165" w:name="Xa0aa49138655bb705292d1e571207db58c3bee0"/>
    <w:p>
      <w:pPr>
        <w:pStyle w:val="Heading3"/>
      </w:pPr>
      <w:r>
        <w:t xml:space="preserve">10.3 Security-Officer Reporting (FDIC-Supervised IDIs)</w:t>
      </w:r>
    </w:p>
    <w:p>
      <w:pPr>
        <w:pStyle w:val="FirstParagraph"/>
      </w:pPr>
      <w:r>
        <w:t xml:space="preserve">The security officer must report at least annually to the board on the implementation, administration, and effectiveness of the security program (</w:t>
      </w:r>
      <w:hyperlink r:id="rId164">
        <w:r>
          <w:rPr>
            <w:rStyle w:val="Hyperlink"/>
            <w:color w:val="0645AD"/>
            <w:u w:val="single"/>
          </w:rPr>
          <w:t xml:space="preserve">12 CFR 326.4</w:t>
        </w:r>
      </w:hyperlink>
      <w:r>
        <w:t xml:space="preserve">). The OCC analogue requires the board to designate a security officer reporting at least annually and to approve and oversee a written security program for main and branch offices; the binding OCC rule is 12 CFR Part 30, Appendix B, with the OCC Director’s Book, p. 102 serving as an explanatory reference.</w:t>
      </w:r>
    </w:p>
    <w:bookmarkEnd w:id="165"/>
    <w:bookmarkStart w:id="166" w:name="occ-supervisory-articulations"/>
    <w:p>
      <w:pPr>
        <w:pStyle w:val="Heading3"/>
      </w:pPr>
      <w:r>
        <w:t xml:space="preserve">10.4 OCC Supervisory Articulations</w:t>
      </w:r>
    </w:p>
    <w:p>
      <w:pPr>
        <w:pStyle w:val="FirstParagraph"/>
      </w:pPr>
      <w:r>
        <w:t xml:space="preserve">The OCC director materials elaborate on the binding obligations in 12 CFR Part 30, Appendix B: the board must approve the written information security program at least annually (OCC Director’s Book, p. 58, explanatory; binding rule: 12 CFR Part 30, App. B §III.A); confirm internal controls and demonstrate IT understanding (OCC Director’s Book, p. 79, explanatory; binding rule: 12 CFR Part 30, App. B §III.C); and review and approve disaster recovery and business continuity plans at least annually, overseeing testing (OCC Director’s Book, p. 57, explanatory; binding rule: 12 CFR Part 30, App. B §III.B).</w:t>
      </w:r>
    </w:p>
    <w:bookmarkEnd w:id="166"/>
    <w:bookmarkStart w:id="167" w:name="X7fe8b0ec0cd0e05f7c906bcc9c716a04b4d3ca2"/>
    <w:p>
      <w:pPr>
        <w:pStyle w:val="Heading3"/>
      </w:pPr>
      <w:r>
        <w:t xml:space="preserve">10.5 Federal Reserve and FFIEC Supervisory Guidance</w:t>
      </w:r>
    </w:p>
    <w:p>
      <w:pPr>
        <w:pStyle w:val="FirstParagraph"/>
      </w:pPr>
      <w:r>
        <w:t xml:space="preserve">For state member banks, BHCs, and FBOs, SR 21-3 (revising SR 98-9) updated the board’s IT-assessment responsibilities to conform to the board-effectiveness guidance and SR 16-11 (</w:t>
      </w:r>
      <w:hyperlink r:id="rId95">
        <w:r>
          <w:rPr>
            <w:rStyle w:val="Hyperlink"/>
            <w:color w:val="0645AD"/>
            <w:u w:val="single"/>
          </w:rPr>
          <w:t xml:space="preserve">SR 21-3, Page 6 (SR 98-9)</w:t>
        </w:r>
      </w:hyperlink>
      <w:r>
        <w:t xml:space="preserve">). The FFIEC IT Examination Handbook restates the board’s role as the interagency examination standard: the board, or a designated committee, must approve the written program, affirm responsibilities, and review an at-least-annual status report; annually review and approve information security policies; and provide adequate funding (</w:t>
      </w:r>
      <w:hyperlink r:id="rId145">
        <w:r>
          <w:rPr>
            <w:rStyle w:val="Hyperlink"/>
            <w:color w:val="0645AD"/>
            <w:u w:val="single"/>
          </w:rPr>
          <w:t xml:space="preserve">FFIEC IT Examination Handbook, Information Security</w:t>
        </w:r>
      </w:hyperlink>
      <w:r>
        <w:t xml:space="preserve">).</w:t>
      </w:r>
    </w:p>
    <w:bookmarkEnd w:id="167"/>
    <w:bookmarkStart w:id="169" w:name="X36249ae0d5c7cfdda976203f8a590c2d21cacb8"/>
    <w:p>
      <w:pPr>
        <w:pStyle w:val="Heading3"/>
      </w:pPr>
      <w:r>
        <w:t xml:space="preserve">10.6 The 36-Hour Computer-Security Incident Notification Rule</w:t>
      </w:r>
    </w:p>
    <w:p>
      <w:pPr>
        <w:pStyle w:val="FirstParagraph"/>
      </w:pPr>
      <w:r>
        <w:t xml:space="preserve">A banking organization must notify its primary Federal regulator of a notification incident</w:t>
      </w:r>
      <w:r>
        <w:t xml:space="preserve"> </w:t>
      </w:r>
      <w:r>
        <w:t xml:space="preserve">“</w:t>
      </w:r>
      <w:r>
        <w:t xml:space="preserve">as soon as possible and no later than 36 hours after the banking organization determines that a notification incident has occurred</w:t>
      </w:r>
      <w:r>
        <w:t xml:space="preserve">”</w:t>
      </w:r>
      <w:r>
        <w:t xml:space="preserve"> </w:t>
      </w:r>
      <w:r>
        <w:t xml:space="preserve">(</w:t>
      </w:r>
      <w:hyperlink r:id="rId168">
        <w:r>
          <w:rPr>
            <w:rStyle w:val="Hyperlink"/>
            <w:color w:val="0645AD"/>
            <w:u w:val="single"/>
          </w:rPr>
          <w:t xml:space="preserve">86 FR 66424</w:t>
        </w:r>
      </w:hyperlink>
      <w:r>
        <w:t xml:space="preserve">). The duty runs to the banking organization; board-approved escalation and notification governance operationalizes compliance.</w:t>
      </w:r>
    </w:p>
    <w:bookmarkEnd w:id="169"/>
    <w:bookmarkStart w:id="170" w:name="proposed-not-in-force"/>
    <w:p>
      <w:pPr>
        <w:pStyle w:val="Heading3"/>
      </w:pPr>
      <w:r>
        <w:t xml:space="preserve">10.7 Proposed (Not in Force)</w:t>
      </w:r>
    </w:p>
    <w:p>
      <w:pPr>
        <w:pStyle w:val="FirstParagraph"/>
      </w:pPr>
      <w:r>
        <w:t xml:space="preserve">A pending proposal would require the board (or committee) of a permitted payment stablecoin issuer to approve the IT and security program and appoint a qualified Information Technology and Security Officer (</w:t>
      </w:r>
      <w:hyperlink r:id="rId71">
        <w:r>
          <w:rPr>
            <w:rStyle w:val="Hyperlink"/>
            <w:color w:val="0645AD"/>
            <w:u w:val="single"/>
          </w:rPr>
          <w:t xml:space="preserve">91 FR 10202 (§ 15.13(b)(2))</w:t>
        </w:r>
      </w:hyperlink>
      <w:r>
        <w:t xml:space="preserve">) —</w:t>
      </w:r>
      <w:r>
        <w:t xml:space="preserve"> </w:t>
      </w:r>
      <w:r>
        <w:rPr>
          <w:b/>
          <w:bCs/>
        </w:rPr>
        <w:t xml:space="preserve">proposed only</w:t>
      </w:r>
      <w:r>
        <w:t xml:space="preserve">.</w:t>
      </w:r>
    </w:p>
    <w:p>
      <w:pPr>
        <w:pStyle w:val="BodyText"/>
      </w:pPr>
      <w:r>
        <w:rPr>
          <w:b/>
          <w:bCs/>
        </w:rPr>
        <w:t xml:space="preserve">Cross-cutting diagnosis.</w:t>
      </w:r>
      <w:r>
        <w:t xml:space="preserve"> </w:t>
      </w:r>
      <w:r>
        <w:t xml:space="preserve">The</w:t>
      </w:r>
      <w:r>
        <w:t xml:space="preserve"> </w:t>
      </w:r>
      <w:r>
        <w:t xml:space="preserve">“</w:t>
      </w:r>
      <w:r>
        <w:t xml:space="preserve">board approves and oversees a written information security program and receives an at-least-annual status report</w:t>
      </w:r>
      <w:r>
        <w:t xml:space="preserve">”</w:t>
      </w:r>
      <w:r>
        <w:t xml:space="preserve"> </w:t>
      </w:r>
      <w:r>
        <w:t xml:space="preserve">duty exists in substantively identical form in four CFR codifications (Parts 225, 208, 30, and 364), is restated as the FFIEC examination standard, and is supplemented by a separate annual security-officer report (12 CFR 326.4; OCC 12 CFR 163.33). Two codifications (Part 30 and Part 364) carry pending amendments.</w:t>
      </w:r>
    </w:p>
    <w:bookmarkEnd w:id="170"/>
    <w:bookmarkEnd w:id="171"/>
    <w:bookmarkStart w:id="175" w:name="Xa74a988cb5b2ee04fc39d7110d2595bd83064ca"/>
    <w:p>
      <w:pPr>
        <w:pStyle w:val="Heading2"/>
      </w:pPr>
      <w:r>
        <w:t xml:space="preserve">Section 11: Third-Party Risk Management: Board-Level Obligations</w:t>
      </w:r>
    </w:p>
    <w:p>
      <w:pPr>
        <w:pStyle w:val="FirstParagraph"/>
      </w:pPr>
      <w:r>
        <w:t xml:space="preserve">The controlling federal standard is the Interagency Guidance on Third-Party Relationships: Risk Management, jointly issued by the Federal Reserve, OCC, and FDIC (</w:t>
      </w:r>
      <w:hyperlink r:id="rId22">
        <w:r>
          <w:rPr>
            <w:rStyle w:val="Hyperlink"/>
            <w:color w:val="0645AD"/>
            <w:u w:val="single"/>
          </w:rPr>
          <w:t xml:space="preserve">88 FR 37920</w:t>
        </w:r>
      </w:hyperlink>
      <w:r>
        <w:t xml:space="preserve">), which supersedes the 2021 proposed guidance (</w:t>
      </w:r>
      <w:hyperlink r:id="rId172">
        <w:r>
          <w:rPr>
            <w:rStyle w:val="Hyperlink"/>
            <w:color w:val="0645AD"/>
            <w:u w:val="single"/>
          </w:rPr>
          <w:t xml:space="preserve">86 FR 38182</w:t>
        </w:r>
      </w:hyperlink>
      <w:r>
        <w:t xml:space="preserve">) and OCC Bulletin 2020-10 (rescinded).</w:t>
      </w:r>
      <w:r>
        <w:t xml:space="preserve"> </w:t>
      </w:r>
      <w:r>
        <w:rPr>
          <w:b/>
          <w:bCs/>
        </w:rPr>
        <w:t xml:space="preserve">OCC Bulletin 2013-29 was rescinded by OCC Bulletin 2023-17 (June 6, 2023) and is no longer operative as a standalone source of board obligations.</w:t>
      </w:r>
      <w:r>
        <w:t xml:space="preserve"> </w:t>
      </w:r>
      <w:r>
        <w:t xml:space="preserve">The 2023 Interagency Guidance (88 FR 37920) is the operative instrument and substantially incorporates the prior framework. OCC Bulletin 2017-43 (fintech) and OCC Bulletin 2002-16 (foreign-based providers) remain in force as supplemental guidance for national banks and FSAs. This entire domain is delivered through supervisory guidance, not legislative rule — the lowest-friction reform target in the heightened-standards landscape.</w:t>
      </w:r>
    </w:p>
    <w:p>
      <w:pPr>
        <w:pStyle w:val="BodyText"/>
      </w:pPr>
      <w:r>
        <w:t xml:space="preserve">The foundational obligation is non-diminishable: the board</w:t>
      </w:r>
      <w:r>
        <w:t xml:space="preserve"> </w:t>
      </w:r>
      <w:r>
        <w:t xml:space="preserve">“</w:t>
      </w:r>
      <w:r>
        <w:t xml:space="preserve">has ultimate responsibility for providing oversight for third-party risk management and holding management accountable,</w:t>
      </w:r>
      <w:r>
        <w:t xml:space="preserve">”</w:t>
      </w:r>
      <w:r>
        <w:t xml:space="preserve"> </w:t>
      </w:r>
      <w:r>
        <w:t xml:space="preserve">provides clear guidance on acceptable risk appetite, approves appropriate policies, and ensures appropriate procedures (</w:t>
      </w:r>
      <w:hyperlink r:id="rId22">
        <w:r>
          <w:rPr>
            <w:rStyle w:val="Hyperlink"/>
            <w:color w:val="0645AD"/>
            <w:u w:val="single"/>
          </w:rPr>
          <w:t xml:space="preserve">88 FR 37920</w:t>
        </w:r>
      </w:hyperlink>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Discrete board-level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Trigger / scope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Current source(s)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 note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Ultimate responsibility to oversee third-party risk management; provide clear guidance on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relationships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appropriate policies and ensure procedures/practices established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relationships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development of an effective third-party risk-management process commensurate with risk/complexity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Enterprise-wide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an effective process consistent with strategic goals and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Enterprise-wide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policies/procedures that address how critical activities are identified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Critical-activity framework</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management plans for critical-activity third parties before entering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Planning;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summaries of due-diligence results and recommendations for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Due diligence;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contracts involving critical activities before execution (delegable)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Contract;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sufficient information to knowingly approve critical-activity contracts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Contract;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results of ongoing monitoring of critical-activity relationships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 monitoring;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Confirm management remedies significant deterioration or material issues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 monitoring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 results of periodic independent reviews of the process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review</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regular reports on internal-control testing, ongoing monitoring, and independent reviews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Reporting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escalation of significant issues approaching risk-appetite limits; receive independent-review results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Escalation;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Periodically receive reporting on third-party relationships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 reporting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Adopt alternative methods, controls, and documented selection decisions where complete information unavailable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Information gaps; critical service providers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understanding of risks and effective oversight of foreign-based service providers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Foreign outsourcing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3">
              <w:r>
                <w:rPr>
                  <w:rStyle w:val="Hyperlink"/>
                  <w:color w:val="0645AD"/>
                  <w:u w:val="single"/>
                </w:rPr>
                <w:t xml:space="preserve">OCC Bulletin 2002-16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Determine whether fintech activities are critical activities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Fintech</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4">
              <w:r>
                <w:rPr>
                  <w:rStyle w:val="Hyperlink"/>
                  <w:color w:val="0645AD"/>
                  <w:u w:val="single"/>
                </w:rPr>
                <w:t xml:space="preserve">OCC Bulletin 2017-43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marketplace lending: understand relationships/risks, evaluate compliance, adopt policies before commencing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Marketplace lending</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Provide risk management and board oversight of nondeposit-investment-product vendors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Nondeposit investment product vendors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Retain non-diminishable responsibility for safe-and-sound, law-compliant third-party activities (including consumer protection)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All relationships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2">
              <w:r>
                <w:rPr>
                  <w:rStyle w:val="Hyperlink"/>
                  <w:color w:val="0645AD"/>
                  <w:u w:val="single"/>
                </w:rPr>
                <w:t xml:space="preserve">88 FR 37920</w:t>
              </w:r>
            </w:hyperlink>
            <w:r>
              <w:t xml:space="preserve">; OCC Director’s Book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p>
      <w:pPr>
        <w:pStyle w:val="BodyText"/>
      </w:pPr>
      <w:r>
        <w:rPr>
          <w:b/>
          <w:bCs/>
        </w:rPr>
        <w:t xml:space="preserve">Cross-cutting diagnosis.</w:t>
      </w:r>
      <w:r>
        <w:t xml:space="preserve"> </w:t>
      </w:r>
      <w:r>
        <w:t xml:space="preserve">The most prescriptive board obligations (items 6–10) attach only where</w:t>
      </w:r>
      <w:r>
        <w:t xml:space="preserve"> </w:t>
      </w:r>
      <w:r>
        <w:t xml:space="preserve">“</w:t>
      </w:r>
      <w:r>
        <w:t xml:space="preserve">critical activities</w:t>
      </w:r>
      <w:r>
        <w:t xml:space="preserve">”</w:t>
      </w:r>
      <w:r>
        <w:t xml:space="preserve"> </w:t>
      </w:r>
      <w:r>
        <w:t xml:space="preserve">are involved, and the reach of each turns on the institution’s own board-approved definition (item 5). The non-diminishment principle (item 21) folds consumer-protection compliance into the board’s third-party oversight duty, addressing through this guidance the same governance objective the CFPB pursues separately. Because the entire framework is interpretive guidance, the cumulative board burden can be recalibrated through the guidance process rather than rulemaking.</w:t>
      </w:r>
    </w:p>
    <w:bookmarkEnd w:id="175"/>
    <w:bookmarkStart w:id="189" w:name="Xa3e1aecdd4aac5df9910df885bdd7ac9747b81e"/>
    <w:p>
      <w:pPr>
        <w:pStyle w:val="Heading2"/>
      </w:pPr>
      <w:r>
        <w:t xml:space="preserve">Section 12: Executive and Incentive Compensation: Board-Level Obligations</w:t>
      </w:r>
    </w:p>
    <w:p>
      <w:pPr>
        <w:pStyle w:val="FirstParagraph"/>
      </w:pPr>
      <w:r>
        <w:t xml:space="preserve">Board-level compensation obligations arise from four vehicles: (1) federal banking agency safety-and-soundness mandates and supervisory guidance; (2) the FDIC golden-parachute regime under 12 CFR Part 359; (3) SEC disclosure and clawback requirements; and (4) NYSE listing standards. A critical feature is that the Dodd-Frank §956 interagency incentive-compensation rule remains a</w:t>
      </w:r>
      <w:r>
        <w:t xml:space="preserve"> </w:t>
      </w:r>
      <w:r>
        <w:rPr>
          <w:b/>
          <w:bCs/>
        </w:rPr>
        <w:t xml:space="preserve">proposal</w:t>
      </w:r>
      <w:r>
        <w:t xml:space="preserve"> </w:t>
      </w:r>
      <w:r>
        <w:t xml:space="preserve">and is not in force; the FDIC’s 2023 corporate-governance guidelines are</w:t>
      </w:r>
      <w:r>
        <w:t xml:space="preserve"> </w:t>
      </w:r>
      <w:r>
        <w:rPr>
          <w:b/>
          <w:bCs/>
        </w:rPr>
        <w:t xml:space="preserve">withdrawn</w:t>
      </w:r>
      <w:r>
        <w:t xml:space="preserve">.</w:t>
      </w:r>
    </w:p>
    <w:bookmarkStart w:id="178" w:name="X3a02285cd00d0ac08f3fa148301e7fb9447bada"/>
    <w:p>
      <w:pPr>
        <w:pStyle w:val="Heading3"/>
      </w:pPr>
      <w:r>
        <w:t xml:space="preserve">12.1 In-Force Safety-and-Soundness and Supervisory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Board-Level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 Citation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senior management development, recruiting, succession planning, and 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Oversight responsibility for compensation, benefits, and employment contracts for executive officers and employees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If the OCC determines compensation has become excessive, take corrective action and seek restitution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Refer to the Internal Revenue Code on shareholder approval and disclosure of compensation packages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5">
              <w:r>
                <w:rPr>
                  <w:rStyle w:val="Hyperlink"/>
                  <w:color w:val="0645AD"/>
                  <w:u w:val="single"/>
                </w:rPr>
                <w:t xml:space="preserve">OCC Comptroller’s Licensing Manual</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Determine that compensation practices are safe, sound, prudent, and law-compliant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25">
              <w:r>
                <w:rPr>
                  <w:rStyle w:val="Hyperlink"/>
                  <w:color w:val="0645AD"/>
                  <w:u w:val="single"/>
                </w:rPr>
                <w:t xml:space="preserve">OCC Comptroller’s Licensing Manual</w:t>
              </w:r>
            </w:hyperlink>
            <w:r>
              <w:t xml:space="preserve"> </w:t>
            </w:r>
            <w:r>
              <w:t xml:space="preserve">(explanatory)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Design compensation to attract/retain talent, align with strategy, and balance risk and reward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25">
              <w:r>
                <w:rPr>
                  <w:rStyle w:val="Hyperlink"/>
                  <w:color w:val="0645AD"/>
                  <w:u w:val="single"/>
                </w:rPr>
                <w:t xml:space="preserve">OCC Comptroller’s Licensing Manual</w:t>
              </w:r>
            </w:hyperlink>
            <w:r>
              <w:t xml:space="preserve"> </w:t>
            </w:r>
            <w:r>
              <w:t xml:space="preserve">(explanatory)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Assign senior managers responsibility for compensation/incentives consistent with culture and risk appetite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2">
              <w:r>
                <w:rPr>
                  <w:rStyle w:val="Hyperlink"/>
                  <w:color w:val="0645AD"/>
                  <w:u w:val="single"/>
                </w:rPr>
                <w:t xml:space="preserve">SR 12-17 Section A.2.e</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incentive compensation is supported by strong governance and active board oversight, balancing risk and reward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6">
              <w:r>
                <w:rPr>
                  <w:rStyle w:val="Hyperlink"/>
                  <w:color w:val="0645AD"/>
                  <w:u w:val="single"/>
                </w:rPr>
                <w:t xml:space="preserve">OCC Bulletin 2010-24</w:t>
              </w:r>
            </w:hyperlink>
            <w:r>
              <w:t xml:space="preserve"> </w:t>
            </w:r>
            <w:r>
              <w:t xml:space="preserve">(OCC Bulletin 2011-12, previously cited for this obligation, was rescinded by OCC Bulletin 2026-13, Apr. 17, 2026 and is no longer operative)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Set and periodically reevaluate director compensation; safeguard against excessive 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27">
              <w:r>
                <w:rPr>
                  <w:rStyle w:val="Hyperlink"/>
                  <w:color w:val="0645AD"/>
                  <w:u w:val="single"/>
                </w:rPr>
                <w:t xml:space="preserve">OCC Director’s Book, p. 39</w:t>
              </w:r>
            </w:hyperlink>
            <w:r>
              <w:t xml:space="preserve"> </w:t>
            </w:r>
            <w:r>
              <w:t xml:space="preserve">(explanatory)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Oversee executive officer compensation: evaluate/approve employment contracts; set CEO/executive compensation; assess reasonableness; confirm safe-and-sound incentive processes; evaluate performance; consider shareholder concerns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48">
              <w:r>
                <w:rPr>
                  <w:rStyle w:val="Hyperlink"/>
                  <w:color w:val="0645AD"/>
                  <w:u w:val="single"/>
                </w:rPr>
                <w:t xml:space="preserve">79 FR 54518, p. 19</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Ultimate responsibility for balanced incentive compensation that does not jeopardize safety and soundness; active independent-director involvement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91">
              <w:r>
                <w:rPr>
                  <w:rStyle w:val="Hyperlink"/>
                  <w:color w:val="0645AD"/>
                  <w:u w:val="single"/>
                </w:rPr>
                <w:t xml:space="preserve">Comptroller’s Handbook, Corporate and Risk Governance</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executive incentive arrangements; approve/document material exceptions; monitor effects and risk-sensitivity; review clawback execution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48">
              <w:r>
                <w:rPr>
                  <w:rStyle w:val="Hyperlink"/>
                  <w:color w:val="0645AD"/>
                  <w:u w:val="single"/>
                </w:rPr>
                <w:t xml:space="preserve">79 FR 54518, p. 19</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Review/approve compensation programs designed by HR; may request independent-risk-management input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0">
              <w:r>
                <w:rPr>
                  <w:rStyle w:val="Hyperlink"/>
                  <w:color w:val="0645AD"/>
                  <w:u w:val="single"/>
                </w:rPr>
                <w:t xml:space="preserve">12 CFR Part 30, App. D §II.L</w:t>
              </w:r>
            </w:hyperlink>
            <w:r>
              <w:t xml:space="preserve">;</w:t>
            </w:r>
            <w:r>
              <w:t xml:space="preserve"> </w:t>
            </w:r>
            <w:hyperlink r:id="rId48">
              <w:r>
                <w:rPr>
                  <w:rStyle w:val="Hyperlink"/>
                  <w:color w:val="0645AD"/>
                  <w:u w:val="single"/>
                </w:rPr>
                <w:t xml:space="preserve">79 FR 54518, p. 19</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clear financial/nonfinancial objectives for CEO/business-line executives; nonfinancial objectives for CRO/CAE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82">
              <w:r>
                <w:rPr>
                  <w:rStyle w:val="Hyperlink"/>
                  <w:color w:val="0645AD"/>
                  <w:u w:val="single"/>
                </w:rPr>
                <w:t xml:space="preserve">84 FR 4309, Page 2</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Hold senior management accountable for performance-management/compensation programs promoting sound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6">
              <w:r>
                <w:rPr>
                  <w:rStyle w:val="Hyperlink"/>
                  <w:color w:val="0645AD"/>
                  <w:u w:val="single"/>
                </w:rPr>
                <w:t xml:space="preserve">SR 21-3, Attachment Section 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CRO compensation/incentives are consistent with an objective risk assessment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7">
              <w:r>
                <w:rPr>
                  <w:rStyle w:val="Hyperlink"/>
                  <w:color w:val="0645AD"/>
                  <w:u w:val="single"/>
                </w:rPr>
                <w:t xml:space="preserve">79 FR 17317 (b)(3)(i)</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Statutory prohibition on excessive compensation (unreasonable or disproportionate to services)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8">
              <w:r>
                <w:rPr>
                  <w:rStyle w:val="Hyperlink"/>
                  <w:color w:val="0645AD"/>
                  <w:u w:val="single"/>
                </w:rPr>
                <w:t xml:space="preserve">12 U.S.C. 1831p-1 (Section III.D)</w:t>
              </w:r>
            </w:hyperlink>
          </w:p>
        </w:tc>
      </w:tr>
    </w:tbl>
    <w:bookmarkEnd w:id="178"/>
    <w:bookmarkStart w:id="180" w:name="X0daf38199a25a5f30e41189973f54051095294d"/>
    <w:p>
      <w:pPr>
        <w:pStyle w:val="Heading3"/>
      </w:pPr>
      <w:r>
        <w:t xml:space="preserve">12.2 FDIC Golden Parachute and Severance Regime (12 CFR Part 359)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Citation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Consent / Threshold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IDI or holding company shall make or agree to make any golden parachute payment except as permitted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62">
              <w:r>
                <w:rPr>
                  <w:rStyle w:val="Hyperlink"/>
                  <w:color w:val="0645AD"/>
                  <w:u w:val="single"/>
                </w:rPr>
                <w:t xml:space="preserve">61 FR 5933, Sec. 359.2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General prohibition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Golden parachute permitted only with agency determination and FDIC written concurrence, or for hiring an IAP when the institution is/imminently troubled, with dual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62">
              <w:r>
                <w:rPr>
                  <w:rStyle w:val="Hyperlink"/>
                  <w:color w:val="0645AD"/>
                  <w:u w:val="single"/>
                </w:rPr>
                <w:t xml:space="preserve">61 FR 5933, Sec. 359.4(a)</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Dual consent</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Nondiscriminatory severance plan must not be adopted/modified to increase benefits when troubled without prior agency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62">
              <w:r>
                <w:rPr>
                  <w:rStyle w:val="Hyperlink"/>
                  <w:color w:val="0645AD"/>
                  <w:u w:val="single"/>
                </w:rPr>
                <w:t xml:space="preserve">61 FR 5932, Sec. 359.1(f)(2)(v)</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Agency consent</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Nondiscriminatory severance over 12 months’ base compensation requires FDIC approval</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9, Footnote 5</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approval</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IAP requires a certification by an individual with sufficient responsibility and access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 a combined application, applicant must conclude each listed IAP is unlikely to have caused the troubled condition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Use reasonable criteria to avoid commingling significant-responsibility and lower-level employees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If a senior executive on a board committee endorsed a high-risk strategy substantially responsible for the troubled condition, the application must explain non-responsibility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Board-committee voting members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r>
              <w:t xml:space="preserve">Change in control</w:t>
            </w:r>
            <w:r>
              <w:t xml:space="preserve">”</w:t>
            </w:r>
            <w:r>
              <w:t xml:space="preserve"> </w:t>
            </w:r>
            <w:r>
              <w:t xml:space="preserve">exception requires actual change, ≤ 12 months’ salary, no assisted transaction, and primary-regulator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 359.4(a)(3)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Primary-regulator consent</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r>
              <w:t xml:space="preserve">White knight</w:t>
            </w:r>
            <w:r>
              <w:t xml:space="preserve">”</w:t>
            </w:r>
            <w:r>
              <w:t xml:space="preserve"> </w:t>
            </w:r>
            <w:r>
              <w:t xml:space="preserve">golden parachute requires dual FDIC + primary-regulator consent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 359.4(a)(2)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Dual consent</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De minimis exception (≤ $5,000) requires records and a signed certification; significantly/critically undercapitalized institutions may not rely on it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 359.4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Salary</w:t>
            </w:r>
            <w:r>
              <w:t xml:space="preserve"> </w:t>
            </w:r>
            <w:r>
              <w:t xml:space="preserve">“</w:t>
            </w:r>
            <w:r>
              <w:t xml:space="preserve">gross-ups</w:t>
            </w:r>
            <w:r>
              <w:t xml:space="preserve">”</w:t>
            </w:r>
            <w:r>
              <w:t xml:space="preserve"> </w:t>
            </w:r>
            <w:r>
              <w:t xml:space="preserve">for tax liability on golden parachutes will not be approved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11)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Prohibited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unlikely to approve golden parachutes for institutions in precarious financial position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79">
              <w:r>
                <w:rPr>
                  <w:rStyle w:val="Hyperlink"/>
                  <w:color w:val="0645AD"/>
                  <w:u w:val="single"/>
                </w:rPr>
                <w:t xml:space="preserve">12 CFR Part 359 (page 11)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bl>
    <w:p>
      <w:pPr>
        <w:pStyle w:val="BodyText"/>
      </w:pPr>
      <w:r>
        <w:t xml:space="preserve">As best practice, all institutions should condition severance benefits on compliance with applicable law, including Part 359 (</w:t>
      </w:r>
      <w:hyperlink r:id="rId179">
        <w:r>
          <w:rPr>
            <w:rStyle w:val="Hyperlink"/>
            <w:color w:val="0645AD"/>
            <w:u w:val="single"/>
          </w:rPr>
          <w:t xml:space="preserve">12 CFR Part 359, Page 9, Footnote 4</w:t>
        </w:r>
      </w:hyperlink>
      <w:r>
        <w:t xml:space="preserve">).</w:t>
      </w:r>
    </w:p>
    <w:bookmarkEnd w:id="180"/>
    <w:bookmarkStart w:id="182" w:name="X232a05362439f4d0c42398a253076f026a8d1f0"/>
    <w:p>
      <w:pPr>
        <w:pStyle w:val="Heading3"/>
      </w:pPr>
      <w:r>
        <w:t xml:space="preserve">12.3 Proposed Section 956 Interagency Rule (NOT IN FORCE)</w:t>
      </w:r>
    </w:p>
    <w:p>
      <w:pPr>
        <w:pStyle w:val="FirstParagraph"/>
      </w:pPr>
      <w:r>
        <w:t xml:space="preserve">The 2016 re-proposal at</w:t>
      </w:r>
      <w:r>
        <w:t xml:space="preserve"> </w:t>
      </w:r>
      <w:r>
        <w:rPr>
          <w:b/>
          <w:bCs/>
        </w:rPr>
        <w:t xml:space="preserve">81 FR 37669</w:t>
      </w:r>
      <w:r>
        <w:t xml:space="preserve"> </w:t>
      </w:r>
      <w:r>
        <w:t xml:space="preserve">would, if finalized, impose comprehensive board-level compensation governance on Level 1 institutions (over $250 billion).</w:t>
      </w:r>
      <w:r>
        <w:t xml:space="preserve"> </w:t>
      </w:r>
      <w:r>
        <w:rPr>
          <w:b/>
          <w:bCs/>
        </w:rPr>
        <w:t xml:space="preserve">Every obligation below is proposed and imposes no current legal duty.</w:t>
      </w:r>
      <w:r>
        <w:t xml:space="preserve"> </w:t>
      </w:r>
      <w:r>
        <w:t xml:space="preserve">Because the proposal was issued jointly, the same operative text appears in parallel codifications across the agencies.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Proposed 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Citation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oversight and approval of the incentive-based compensation program, including SEO arrangements and material exceptions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 § 42.4(e)</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Mandatory compensation committee composed solely of non-SEO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 § 42.10(a)</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Committee must obtain risk/audit committee input, an annual management written assessment, and an annual independent written assessment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 § 42.10(b)</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Prohibition on incentive arrangements encouraging inappropriate risk (excessive compensation or material loss), via a multi-factor</w:t>
            </w:r>
            <w:r>
              <w:t xml:space="preserve"> </w:t>
            </w:r>
            <w:r>
              <w:t xml:space="preserve">“</w:t>
            </w:r>
            <w:r>
              <w:t xml:space="preserve">excessive</w:t>
            </w:r>
            <w:r>
              <w:t xml:space="preserve">”</w:t>
            </w:r>
            <w:r>
              <w:t xml:space="preserve"> </w:t>
            </w:r>
            <w:r>
              <w:t xml:space="preserve">test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 § 372.4(a)</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Deferral mandates (≥ 60% SEO / ≥ 50% SRT; 4-yr / 2-yr periods); monitoring-group reporting independence; subsidiary and affiliate-exposure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w:t>
              </w:r>
            </w:hyperlink>
          </w:p>
        </w:tc>
      </w:tr>
    </w:tbl>
    <w:bookmarkEnd w:id="182"/>
    <w:bookmarkStart w:id="187" w:name="X2128b4ef568716caa1256b08971f314561fda7a"/>
    <w:p>
      <w:pPr>
        <w:pStyle w:val="Heading3"/>
      </w:pPr>
      <w:r>
        <w:t xml:space="preserve">12.4 SEC and NYSE Obligations for Publicly Listed BHCs</w:t>
      </w:r>
    </w:p>
    <w:p>
      <w:pPr>
        <w:pStyle w:val="Compact"/>
        <w:numPr>
          <w:ilvl w:val="0"/>
          <w:numId w:val="1003"/>
        </w:numPr>
      </w:pPr>
      <w:r>
        <w:rPr>
          <w:b/>
          <w:bCs/>
        </w:rPr>
        <w:t xml:space="preserve">Compensation Committee Report (Item 407(e)(5)):</w:t>
      </w:r>
      <w:r>
        <w:t xml:space="preserve"> </w:t>
      </w:r>
      <w:r>
        <w:t xml:space="preserve">the committee (or equivalent) must state whether it reviewed and discussed the CD&amp;A and recommended its inclusion (</w:t>
      </w:r>
      <w:hyperlink r:id="rId183">
        <w:r>
          <w:rPr>
            <w:rStyle w:val="Hyperlink"/>
            <w:color w:val="0645AD"/>
            <w:u w:val="single"/>
          </w:rPr>
          <w:t xml:space="preserve">Reg S-K Rule 229.407(e)(5)(i)</w:t>
        </w:r>
      </w:hyperlink>
      <w:r>
        <w:t xml:space="preserve">) — in effect with a proposed amendment; where multiple committees share responsibility, each has a disclosure obligation and the Report must be separately captioned (</w:t>
      </w:r>
      <w:hyperlink r:id="rId184">
        <w:r>
          <w:rPr>
            <w:rStyle w:val="Hyperlink"/>
            <w:color w:val="0645AD"/>
            <w:u w:val="single"/>
          </w:rPr>
          <w:t xml:space="preserve">Regulation S-K, Section 233.03</w:t>
        </w:r>
      </w:hyperlink>
      <w:r>
        <w:t xml:space="preserve">).</w:t>
      </w:r>
    </w:p>
    <w:p>
      <w:pPr>
        <w:pStyle w:val="Compact"/>
        <w:numPr>
          <w:ilvl w:val="0"/>
          <w:numId w:val="1003"/>
        </w:numPr>
      </w:pPr>
      <w:r>
        <w:t xml:space="preserve">Disclose whether the committee/board approved additional compensation-consultant services exceeding $120,000 (</w:t>
      </w:r>
      <w:hyperlink r:id="rId183">
        <w:r>
          <w:rPr>
            <w:rStyle w:val="Hyperlink"/>
            <w:color w:val="0645AD"/>
            <w:u w:val="single"/>
          </w:rPr>
          <w:t xml:space="preserve">Reg S-K Rule 229.407(e)(3)(iii)(A)</w:t>
        </w:r>
      </w:hyperlink>
      <w:r>
        <w:t xml:space="preserve">) — in effect with proposed amendment.</w:t>
      </w:r>
    </w:p>
    <w:p>
      <w:pPr>
        <w:pStyle w:val="Compact"/>
        <w:numPr>
          <w:ilvl w:val="0"/>
          <w:numId w:val="1003"/>
        </w:numPr>
      </w:pPr>
      <w:r>
        <w:rPr>
          <w:b/>
          <w:bCs/>
        </w:rPr>
        <w:t xml:space="preserve">Pay-versus-performance disclosure</w:t>
      </w:r>
      <w:r>
        <w:t xml:space="preserve"> </w:t>
      </w:r>
      <w:r>
        <w:t xml:space="preserve">required by</w:t>
      </w:r>
      <w:r>
        <w:t xml:space="preserve"> </w:t>
      </w:r>
      <w:hyperlink r:id="rId185">
        <w:r>
          <w:rPr>
            <w:rStyle w:val="Hyperlink"/>
            <w:color w:val="0645AD"/>
            <w:u w:val="single"/>
          </w:rPr>
          <w:t xml:space="preserve">SEA Section 14(i)</w:t>
        </w:r>
      </w:hyperlink>
      <w:r>
        <w:t xml:space="preserve">.</w:t>
      </w:r>
    </w:p>
    <w:p>
      <w:pPr>
        <w:pStyle w:val="Compact"/>
        <w:numPr>
          <w:ilvl w:val="0"/>
          <w:numId w:val="1003"/>
        </w:numPr>
      </w:pPr>
      <w:r>
        <w:rPr>
          <w:b/>
          <w:bCs/>
        </w:rPr>
        <w:t xml:space="preserve">NYSE compensation committee charter (Section 303A.05(b)):</w:t>
      </w:r>
      <w:r>
        <w:t xml:space="preserve"> </w:t>
      </w:r>
      <w:r>
        <w:t xml:space="preserve">the committee must review/approve CEO goals, evaluate CEO performance, determine CEO compensation, recommend non-CEO executive compensation, prepare the Item 407(e)(5) disclosure, and conduct an annual self-evaluation (</w:t>
      </w:r>
      <w:hyperlink r:id="rId135">
        <w:r>
          <w:rPr>
            <w:rStyle w:val="Hyperlink"/>
            <w:color w:val="0645AD"/>
            <w:u w:val="single"/>
          </w:rPr>
          <w:t xml:space="preserve">NYSE Listed Company Manual Section 303A.05(b)</w:t>
        </w:r>
      </w:hyperlink>
      <w:r>
        <w:t xml:space="preserve">); the committee must be directly responsible for compensation-consultant appointment, compensation, and oversight, with a prescribed independence assessment (</w:t>
      </w:r>
      <w:hyperlink r:id="rId135">
        <w:r>
          <w:rPr>
            <w:rStyle w:val="Hyperlink"/>
            <w:color w:val="0645AD"/>
            <w:u w:val="single"/>
          </w:rPr>
          <w:t xml:space="preserve">NYSE Section 303A.05(c)</w:t>
        </w:r>
      </w:hyperlink>
      <w:r>
        <w:t xml:space="preserve">).</w:t>
      </w:r>
    </w:p>
    <w:p>
      <w:pPr>
        <w:pStyle w:val="Compact"/>
        <w:numPr>
          <w:ilvl w:val="0"/>
          <w:numId w:val="1003"/>
        </w:numPr>
      </w:pPr>
      <w:r>
        <w:rPr>
          <w:b/>
          <w:bCs/>
        </w:rPr>
        <w:t xml:space="preserve">Equity-compensation plan approval</w:t>
      </w:r>
      <w:r>
        <w:t xml:space="preserve"> </w:t>
      </w:r>
      <w:r>
        <w:t xml:space="preserve">may be made under exemptions only with independent-committee or majority-independent-director approval (</w:t>
      </w:r>
      <w:hyperlink r:id="rId135">
        <w:r>
          <w:rPr>
            <w:rStyle w:val="Hyperlink"/>
            <w:color w:val="0645AD"/>
            <w:u w:val="single"/>
          </w:rPr>
          <w:t xml:space="preserve">NYSE Listed Company Manual - Exemptions</w:t>
        </w:r>
      </w:hyperlink>
      <w:r>
        <w:t xml:space="preserve">).</w:t>
      </w:r>
    </w:p>
    <w:p>
      <w:pPr>
        <w:pStyle w:val="Compact"/>
        <w:numPr>
          <w:ilvl w:val="0"/>
          <w:numId w:val="1003"/>
        </w:numPr>
      </w:pPr>
      <w:r>
        <w:rPr>
          <w:b/>
          <w:bCs/>
        </w:rPr>
        <w:t xml:space="preserve">Clawback (Section 303A.14):</w:t>
      </w:r>
      <w:r>
        <w:t xml:space="preserve"> </w:t>
      </w:r>
      <w:r>
        <w:t xml:space="preserve">the impracticability exemption requires a determination by the independent compensation committee or a majority of independent directors (</w:t>
      </w:r>
      <w:hyperlink r:id="rId135">
        <w:r>
          <w:rPr>
            <w:rStyle w:val="Hyperlink"/>
            <w:color w:val="0645AD"/>
            <w:u w:val="single"/>
          </w:rPr>
          <w:t xml:space="preserve">NYSE Section 303A.14(c)(1)(vi)</w:t>
        </w:r>
      </w:hyperlink>
      <w:r>
        <w:t xml:space="preserve">).</w:t>
      </w:r>
    </w:p>
    <w:p>
      <w:pPr>
        <w:pStyle w:val="Compact"/>
        <w:numPr>
          <w:ilvl w:val="0"/>
          <w:numId w:val="1003"/>
        </w:numPr>
      </w:pPr>
      <w:r>
        <w:rPr>
          <w:b/>
          <w:bCs/>
        </w:rPr>
        <w:t xml:space="preserve">Volcker Rule:</w:t>
      </w:r>
      <w:r>
        <w:t xml:space="preserve"> </w:t>
      </w:r>
      <w:r>
        <w:t xml:space="preserve">the board or similar body must ensure senior management establishes appropriate incentives and resources to support Part 75 compliance, including embedding compliance into management goals and compensation structures (</w:t>
      </w:r>
      <w:hyperlink r:id="rId186">
        <w:r>
          <w:rPr>
            <w:rStyle w:val="Hyperlink"/>
            <w:color w:val="0645AD"/>
            <w:u w:val="single"/>
          </w:rPr>
          <w:t xml:space="preserve">17 CFR Part 75, Appendix Z(III)(a)(4)</w:t>
        </w:r>
      </w:hyperlink>
      <w:r>
        <w:t xml:space="preserve">).</w:t>
      </w:r>
    </w:p>
    <w:bookmarkEnd w:id="187"/>
    <w:bookmarkStart w:id="188" w:name="withdrawn-authority"/>
    <w:p>
      <w:pPr>
        <w:pStyle w:val="Heading3"/>
      </w:pPr>
      <w:r>
        <w:t xml:space="preserve">12.5 Withdrawn Authority</w:t>
      </w:r>
    </w:p>
    <w:p>
      <w:pPr>
        <w:pStyle w:val="FirstParagraph"/>
      </w:pPr>
      <w:r>
        <w:t xml:space="preserve">The FDIC’s 2023 proposed Guidelines (</w:t>
      </w:r>
      <w:hyperlink r:id="rId72">
        <w:r>
          <w:rPr>
            <w:rStyle w:val="Hyperlink"/>
            <w:color w:val="0645AD"/>
            <w:u w:val="single"/>
          </w:rPr>
          <w:t xml:space="preserve">88 FR 70391</w:t>
        </w:r>
      </w:hyperlink>
      <w:r>
        <w:t xml:space="preserve">) — which would have required a board-established, annually reviewed Compensation and Performance Management Program and a Compensation Committee — are</w:t>
      </w:r>
      <w:r>
        <w:t xml:space="preserve"> </w:t>
      </w:r>
      <w:r>
        <w:rPr>
          <w:b/>
          <w:bCs/>
        </w:rPr>
        <w:t xml:space="preserve">withdrawn</w:t>
      </w:r>
      <w:r>
        <w:t xml:space="preserve">; the substantively identical board duty at</w:t>
      </w:r>
      <w:r>
        <w:t xml:space="preserve"> </w:t>
      </w:r>
      <w:hyperlink r:id="rId147">
        <w:r>
          <w:rPr>
            <w:rStyle w:val="Hyperlink"/>
            <w:color w:val="0645AD"/>
            <w:u w:val="single"/>
          </w:rPr>
          <w:t xml:space="preserve">FDIC Rules Part 364 Appendix C(C)(10)</w:t>
        </w:r>
      </w:hyperlink>
      <w:r>
        <w:t xml:space="preserve"> </w:t>
      </w:r>
      <w:r>
        <w:t xml:space="preserve">is itself</w:t>
      </w:r>
      <w:r>
        <w:t xml:space="preserve"> </w:t>
      </w:r>
      <w:r>
        <w:rPr>
          <w:b/>
          <w:bCs/>
        </w:rPr>
        <w:t xml:space="preserve">proposed</w:t>
      </w:r>
      <w:r>
        <w:t xml:space="preserve"> </w:t>
      </w:r>
      <w:r>
        <w:t xml:space="preserve">and imposes no current obligation.</w:t>
      </w:r>
    </w:p>
    <w:p>
      <w:pPr>
        <w:pStyle w:val="BodyText"/>
      </w:pPr>
      <w:r>
        <w:rPr>
          <w:b/>
          <w:bCs/>
        </w:rPr>
        <w:t xml:space="preserve">Cross-cutting diagnosis.</w:t>
      </w:r>
      <w:r>
        <w:t xml:space="preserve"> </w:t>
      </w:r>
      <w:r>
        <w:t xml:space="preserve">Three structural redundancies: (1) the</w:t>
      </w:r>
      <w:r>
        <w:t xml:space="preserve"> </w:t>
      </w:r>
      <w:r>
        <w:t xml:space="preserve">“</w:t>
      </w:r>
      <w:r>
        <w:t xml:space="preserve">safe, sound, prudent, and compliant</w:t>
      </w:r>
      <w:r>
        <w:t xml:space="preserve">”</w:t>
      </w:r>
      <w:r>
        <w:t xml:space="preserve"> </w:t>
      </w:r>
      <w:r>
        <w:t xml:space="preserve">compensation determination is imposed by the OCC licensing manual and the Director’s Book; (2) the</w:t>
      </w:r>
      <w:r>
        <w:t xml:space="preserve"> </w:t>
      </w:r>
      <w:r>
        <w:t xml:space="preserve">“</w:t>
      </w:r>
      <w:r>
        <w:t xml:space="preserve">excessive compensation</w:t>
      </w:r>
      <w:r>
        <w:t xml:space="preserve">”</w:t>
      </w:r>
      <w:r>
        <w:t xml:space="preserve"> </w:t>
      </w:r>
      <w:r>
        <w:t xml:space="preserve">prohibition appears as a binding statutory standard (12 U.S.C. 1831p-1), a Director’s Book safeguard, and a proposed §956 multi-factor test; and (3) the CRO-independence/compensation objective is pursued through Regulation YY, SR 21-3, and the proposed §956 mechanisms. The single largest source of prospective incremental burden — the mandatory non-executive committee, dual annual written assessments, deferral mandates, and inappropriate-risk prohibition — remains contained in the unfinalized §956 proposal.</w:t>
      </w:r>
    </w:p>
    <w:bookmarkEnd w:id="188"/>
    <w:bookmarkEnd w:id="189"/>
    <w:bookmarkStart w:id="200" w:name="X298e72ad0a4cb35ed095359221161ac069e5fa8"/>
    <w:p>
      <w:pPr>
        <w:pStyle w:val="Heading2"/>
      </w:pPr>
      <w:r>
        <w:t xml:space="preserve">Section 13: Consumer Protection and Compliance Management: Board-Level Obligations</w:t>
      </w:r>
    </w:p>
    <w:p>
      <w:pPr>
        <w:pStyle w:val="FirstParagraph"/>
      </w:pPr>
      <w:r>
        <w:t xml:space="preserve">A single governance objective — board oversight of an effective compliance management system (CMS) — is imposed through multiple overlapping vehicles, supplemented by discrete statutory and regulatory approval duties tied to specific consumer products.</w:t>
      </w:r>
    </w:p>
    <w:bookmarkStart w:id="190" w:name="X59611b6b826b29eb5fe3d97eefa7cbecc914d52"/>
    <w:p>
      <w:pPr>
        <w:pStyle w:val="Heading3"/>
      </w:pPr>
      <w:r>
        <w:t xml:space="preserve">13.1 Core CMS Oversight and Compliance-Culture Duties</w:t>
      </w:r>
    </w:p>
    <w:p>
      <w:pPr>
        <w:pStyle w:val="FirstParagraph"/>
      </w:pPr>
      <w:r>
        <w:t xml:space="preserve">The board must direct and oversee an effective CMS, set a compliance-oriented culture, receive sufficient MIS, risk assessments, and monitoring/audit reports, and maintain documented minutes (</w:t>
      </w:r>
      <w:hyperlink r:id="rId91">
        <w:r>
          <w:rPr>
            <w:rStyle w:val="Hyperlink"/>
            <w:color w:val="0645AD"/>
            <w:u w:val="single"/>
          </w:rPr>
          <w:t xml:space="preserve">Comptroller’s Handbook — Consumer Compliance: Compliance Management Systems</w:t>
        </w:r>
      </w:hyperlink>
      <w:r>
        <w:t xml:space="preserve">). The OCC Director’s Reference Guide (a plain-English supervisory publication; non-binding) restates this oversight duty and the culture-of-compliance expectation at p. 71. The Federal Reserve imposes the analogous duty to maintain a culture emphasizing compliance and consumer protection (</w:t>
      </w:r>
      <w:hyperlink r:id="rId32">
        <w:r>
          <w:rPr>
            <w:rStyle w:val="Hyperlink"/>
            <w:color w:val="0645AD"/>
            <w:u w:val="single"/>
          </w:rPr>
          <w:t xml:space="preserve">SR 12-17 Section A.2.c</w:t>
        </w:r>
      </w:hyperlink>
      <w:r>
        <w:t xml:space="preserve">).</w:t>
      </w:r>
    </w:p>
    <w:bookmarkEnd w:id="190"/>
    <w:bookmarkStart w:id="192" w:name="X87fd83ad97c51e41fb7cf3a18be7b238ce6f92f"/>
    <w:p>
      <w:pPr>
        <w:pStyle w:val="Heading3"/>
      </w:pPr>
      <w:r>
        <w:t xml:space="preserve">13.2 Product- and Statute-Specific Approval and Policy Duties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 Citation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the initial written identity theft prevention program</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7">
              <w:r>
                <w:rPr>
                  <w:rStyle w:val="Hyperlink"/>
                  <w:color w:val="0645AD"/>
                  <w:u w:val="single"/>
                </w:rPr>
                <w:t xml:space="preserve">12 CFR 41.90(d)</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Establish/maintain written policies for mortgage loan originator compensation, steering, qualification, and identification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91">
              <w:r>
                <w:rPr>
                  <w:rStyle w:val="Hyperlink"/>
                  <w:color w:val="0645AD"/>
                  <w:u w:val="single"/>
                </w:rPr>
                <w:t xml:space="preserve">12 CFR 1026.36(j)(1)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Adopt/follow written fiduciary policies adequate for legal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7">
              <w:r>
                <w:rPr>
                  <w:rStyle w:val="Hyperlink"/>
                  <w:color w:val="0645AD"/>
                  <w:u w:val="single"/>
                </w:rPr>
                <w:t xml:space="preserve">12 CFR 9.5</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policies/procedures for the bank’s RNDIP program</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1">
              <w:r>
                <w:rPr>
                  <w:rStyle w:val="Hyperlink"/>
                  <w:color w:val="0645AD"/>
                  <w:u w:val="single"/>
                </w:rPr>
                <w:t xml:space="preserve">Comptroller’s Handbook — Retail Nondeposit Investment Products</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adequate staffing, oversight of dual employees/referrals, and timely remediation in the RNDIP program</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91">
              <w:r>
                <w:rPr>
                  <w:rStyle w:val="Hyperlink"/>
                  <w:color w:val="0645AD"/>
                  <w:u w:val="single"/>
                </w:rPr>
                <w:t xml:space="preserve">Comptroller’s Handbook — Retail Nondeposit Investment Products</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bl>
    <w:bookmarkEnd w:id="192"/>
    <w:bookmarkStart w:id="194" w:name="Xe5b16526446ddb63e9d59cbc070b2165d3c4db4"/>
    <w:p>
      <w:pPr>
        <w:pStyle w:val="Heading3"/>
      </w:pPr>
      <w:r>
        <w:t xml:space="preserve">13.3 Deposit-Insurance Representation Compliance (FDIC Part 328)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Establish/maintain written policies to achieve Part 328 compliance, including monitoring service providers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93">
              <w:r>
                <w:rPr>
                  <w:rStyle w:val="Hyperlink"/>
                  <w:color w:val="0645AD"/>
                  <w:u w:val="single"/>
                </w:rPr>
                <w:t xml:space="preserve">89 FR 3504 (§ 328.8(a))</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Exclude the official advertising statement from advertisements solely for non-deposit/hybrid products; clearly segregate in mixed advertisements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93">
              <w:r>
                <w:rPr>
                  <w:rStyle w:val="Hyperlink"/>
                  <w:color w:val="0645AD"/>
                  <w:u w:val="single"/>
                </w:rPr>
                <w:t xml:space="preserve">89 FR 3504 (§ 328.6(e))</w:t>
              </w:r>
            </w:hyperlink>
          </w:p>
        </w:tc>
      </w:tr>
    </w:tbl>
    <w:bookmarkEnd w:id="194"/>
    <w:bookmarkStart w:id="195" w:name="Xfd5e05da1b37798d3486fc9decbc25520c27866"/>
    <w:p>
      <w:pPr>
        <w:pStyle w:val="Heading3"/>
      </w:pPr>
      <w:r>
        <w:t xml:space="preserve">13.4 Volcker Rule Compliance-Program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Adopt a written compliance program approved by the board (or committee) and senior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6">
              <w:r>
                <w:rPr>
                  <w:rStyle w:val="Hyperlink"/>
                  <w:color w:val="0645AD"/>
                  <w:u w:val="single"/>
                </w:rPr>
                <w:t xml:space="preserve">17 CFR Part 75, Appendix Z(III)(a)(1)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and CEO review the effectiveness of the compliance program</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6">
              <w:r>
                <w:rPr>
                  <w:rStyle w:val="Hyperlink"/>
                  <w:color w:val="0645AD"/>
                  <w:u w:val="single"/>
                </w:rPr>
                <w:t xml:space="preserve">17 CFR Part 75, Appendix Z, Section I.a.4</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Prompt notification to board/senior management of material weaknesses or significant deficiencies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6">
              <w:r>
                <w:rPr>
                  <w:rStyle w:val="Hyperlink"/>
                  <w:color w:val="0645AD"/>
                  <w:u w:val="single"/>
                </w:rPr>
                <w:t xml:space="preserve">17 CFR Part 75, Appendix Z(a)(7)</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Set and communicate an appropriate culture of compliance with section 13 and Part 75</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6">
              <w:r>
                <w:rPr>
                  <w:rStyle w:val="Hyperlink"/>
                  <w:color w:val="0645AD"/>
                  <w:u w:val="single"/>
                </w:rPr>
                <w:t xml:space="preserve">17 CFR Part 75, Appendix Z(III)(a)(4)</w:t>
              </w:r>
            </w:hyperlink>
          </w:p>
        </w:tc>
      </w:tr>
    </w:tbl>
    <w:p>
      <w:pPr>
        <w:pStyle w:val="BodyText"/>
      </w:pPr>
      <w:r>
        <w:t xml:space="preserve">The CFPB independently examines large banks (over $10 billion in assets) for compliance with federal consumer financial laws and assesses the board’s oversight of the CMS, including whether the board receives adequate compliance-risk information and holds management accountable.</w:t>
      </w:r>
    </w:p>
    <w:bookmarkEnd w:id="195"/>
    <w:bookmarkStart w:id="196" w:name="cra-and-community-credit-needs-oversight"/>
    <w:p>
      <w:pPr>
        <w:pStyle w:val="Heading3"/>
      </w:pPr>
      <w:r>
        <w:t xml:space="preserve">13.5 CRA and Community-Credit-Needs Oversight</w:t>
      </w:r>
    </w:p>
    <w:p>
      <w:pPr>
        <w:pStyle w:val="FirstParagraph"/>
      </w:pPr>
      <w:r>
        <w:t xml:space="preserve">The board should understand management’s community involvement and CRA-qualifying activities to ensure strategic plans consider community credit needs (OCC Director’s Reference Guide, p. 47; supervisory expectation, non-binding).</w:t>
      </w:r>
    </w:p>
    <w:bookmarkEnd w:id="196"/>
    <w:bookmarkStart w:id="198" w:name="X59f828cadec07f6ee85ece79e9f1d7c07c2369f"/>
    <w:p>
      <w:pPr>
        <w:pStyle w:val="Heading3"/>
      </w:pPr>
      <w:r>
        <w:t xml:space="preserve">13.6 Foreign-Exchange Settlement Compliance Oversight</w:t>
      </w:r>
    </w:p>
    <w:p>
      <w:pPr>
        <w:pStyle w:val="FirstParagraph"/>
      </w:pPr>
      <w:r>
        <w:t xml:space="preserve">For covered institutions engaged in significant foreign exchange activities, the board should oversee the compliance function for settling foreign exchange transactions (</w:t>
      </w:r>
      <w:hyperlink r:id="rId197">
        <w:r>
          <w:rPr>
            <w:rStyle w:val="Hyperlink"/>
            <w:color w:val="0645AD"/>
            <w:u w:val="single"/>
          </w:rPr>
          <w:t xml:space="preserve">SR 13-24 (Guideline 1)</w:t>
        </w:r>
      </w:hyperlink>
      <w:r>
        <w:t xml:space="preserve">).</w:t>
      </w:r>
    </w:p>
    <w:bookmarkEnd w:id="198"/>
    <w:bookmarkStart w:id="199" w:name="authorities-not-in-force-1"/>
    <w:p>
      <w:pPr>
        <w:pStyle w:val="Heading3"/>
      </w:pPr>
      <w:r>
        <w:t xml:space="preserve">13.7 Authorities Not in Force</w:t>
      </w:r>
    </w:p>
    <w:p>
      <w:pPr>
        <w:pStyle w:val="FirstParagraph"/>
      </w:pPr>
      <w:r>
        <w:t xml:space="preserve">The interagency climate-related financial risk principles (</w:t>
      </w:r>
      <w:hyperlink r:id="rId98">
        <w:r>
          <w:rPr>
            <w:rStyle w:val="Hyperlink"/>
            <w:color w:val="0645AD"/>
            <w:u w:val="single"/>
          </w:rPr>
          <w:t xml:space="preserve">88 FR 74183 (Strategic Planning)</w:t>
        </w:r>
      </w:hyperlink>
      <w:r>
        <w:t xml:space="preserve">) are</w:t>
      </w:r>
      <w:r>
        <w:t xml:space="preserve"> </w:t>
      </w:r>
      <w:r>
        <w:rPr>
          <w:b/>
          <w:bCs/>
        </w:rPr>
        <w:t xml:space="preserve">rescinded</w:t>
      </w:r>
      <w:r>
        <w:t xml:space="preserve">; the proposed OCC heightened-standards code-of-ethics and consumer-protection provisions (</w:t>
      </w:r>
      <w:hyperlink r:id="rId72">
        <w:r>
          <w:rPr>
            <w:rStyle w:val="Hyperlink"/>
            <w:color w:val="0645AD"/>
            <w:u w:val="single"/>
          </w:rPr>
          <w:t xml:space="preserve">88 FR 70391</w:t>
        </w:r>
      </w:hyperlink>
      <w:r>
        <w:t xml:space="preserve">) are</w:t>
      </w:r>
      <w:r>
        <w:t xml:space="preserve"> </w:t>
      </w:r>
      <w:r>
        <w:rPr>
          <w:b/>
          <w:bCs/>
        </w:rPr>
        <w:t xml:space="preserve">withdrawn</w:t>
      </w:r>
      <w:r>
        <w:t xml:space="preserve">; and FinCEN’s AML/CFT program proposal framing a culture of compliance (</w:t>
      </w:r>
      <w:hyperlink r:id="rId158">
        <w:r>
          <w:rPr>
            <w:rStyle w:val="Hyperlink"/>
            <w:color w:val="0645AD"/>
            <w:u w:val="single"/>
          </w:rPr>
          <w:t xml:space="preserve">89 FR 55428</w:t>
        </w:r>
      </w:hyperlink>
      <w:r>
        <w:t xml:space="preserve">) is</w:t>
      </w:r>
      <w:r>
        <w:t xml:space="preserve"> </w:t>
      </w:r>
      <w:r>
        <w:rPr>
          <w:b/>
          <w:bCs/>
        </w:rPr>
        <w:t xml:space="preserve">proposed</w:t>
      </w:r>
      <w:r>
        <w:t xml:space="preserve">.</w:t>
      </w:r>
    </w:p>
    <w:p>
      <w:pPr>
        <w:pStyle w:val="BodyText"/>
      </w:pPr>
      <w:r>
        <w:rPr>
          <w:b/>
          <w:bCs/>
        </w:rPr>
        <w:t xml:space="preserve">Cross-cutting diagnosis.</w:t>
      </w:r>
      <w:r>
        <w:t xml:space="preserve"> </w:t>
      </w:r>
      <w:r>
        <w:t xml:space="preserve">Compliance-culture/CMS oversight is mandated with near-identical language by OCC Comptroller’s Handbook guidance, the OCC Director’s Reference Guide, Federal Reserve consolidated-supervision guidance, the CFPB’s supervisory expectations, and the SEC’s Volcker Rule program. Product-confusion/disclosure integrity is addressed by both the FDIC’s Part 328 regime and the OCC’s RNDIP expectations.</w:t>
      </w:r>
    </w:p>
    <w:bookmarkEnd w:id="199"/>
    <w:bookmarkEnd w:id="200"/>
    <w:bookmarkStart w:id="209" w:name="X50f541d72c423d2e5dadc2ea8840aef201c25af"/>
    <w:p>
      <w:pPr>
        <w:pStyle w:val="Heading2"/>
      </w:pPr>
      <w:r>
        <w:t xml:space="preserve">Section 14: Recovery and Resolution Planning: Board-Level Obligations</w:t>
      </w:r>
    </w:p>
    <w:p>
      <w:pPr>
        <w:pStyle w:val="FirstParagraph"/>
      </w:pPr>
      <w:r>
        <w:t xml:space="preserve">This domain illustrates the cumulative-burden concern with unusual clarity: a single governance objective (the directorate owning the firm’s plans to survive or wind down under severe stress) is pursued through three vehicles — Federal Reserve recovery-planning guidance (SR 14-8, SR 12-17), the Federal Reserve/FDIC Title I</w:t>
      </w:r>
      <w:r>
        <w:t xml:space="preserve"> </w:t>
      </w:r>
      <w:r>
        <w:t xml:space="preserve">“</w:t>
      </w:r>
      <w:r>
        <w:t xml:space="preserve">living will</w:t>
      </w:r>
      <w:r>
        <w:t xml:space="preserve">”</w:t>
      </w:r>
      <w:r>
        <w:t xml:space="preserve"> </w:t>
      </w:r>
      <w:r>
        <w:t xml:space="preserve">rule (Part 252 / Part 381), and the OCC’s bank-level Recovery Planning Guidelines (Part 30, Appendix E), which have been rescinded.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 Citation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Vehicle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committee) oversees the recovery planning process; focuses on identifying/implementing options and remediating weaknesses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1">
              <w:r>
                <w:rPr>
                  <w:rStyle w:val="Hyperlink"/>
                  <w:color w:val="0645AD"/>
                  <w:u w:val="single"/>
                </w:rPr>
                <w:t xml:space="preserve">SR 14-8 (Role of the Board of Directors)</w:t>
              </w:r>
            </w:hyperlink>
            <w:r>
              <w:t xml:space="preserve">;</w:t>
            </w:r>
            <w:r>
              <w:t xml:space="preserve"> </w:t>
            </w:r>
            <w:hyperlink r:id="rId202">
              <w:r>
                <w:rPr>
                  <w:rStyle w:val="Hyperlink"/>
                  <w:color w:val="0645AD"/>
                  <w:u w:val="single"/>
                </w:rPr>
                <w:t xml:space="preserve">SR 14-8, Page 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Recovery planning integrated into governance, independently validated, supported by MIS reporting to board/committees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2">
              <w:r>
                <w:rPr>
                  <w:rStyle w:val="Hyperlink"/>
                  <w:color w:val="0645AD"/>
                  <w:u w:val="single"/>
                </w:rPr>
                <w:t xml:space="preserve">SR 12-17, § A.3.f</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Resolution planning integrated into governance, independently validated, supported by MIS reporting to board/committees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2">
              <w:r>
                <w:rPr>
                  <w:rStyle w:val="Hyperlink"/>
                  <w:color w:val="0645AD"/>
                  <w:u w:val="single"/>
                </w:rPr>
                <w:t xml:space="preserve">SR 12-17, § B.3.g</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approval of resolution plan before each submission (biennial filers, including domestic GSIBs, submit every two years, alternating full and targeted plans; board approval required before each submission)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3">
              <w:r>
                <w:rPr>
                  <w:rStyle w:val="Hyperlink"/>
                  <w:color w:val="0645AD"/>
                  <w:u w:val="single"/>
                </w:rPr>
                <w:t xml:space="preserve">76 FR 67323</w:t>
              </w:r>
            </w:hyperlink>
            <w:r>
              <w:t xml:space="preserve">;</w:t>
            </w:r>
            <w:r>
              <w:t xml:space="preserve"> </w:t>
            </w:r>
            <w:hyperlink r:id="rId204">
              <w:r>
                <w:rPr>
                  <w:rStyle w:val="Hyperlink"/>
                  <w:color w:val="0645AD"/>
                  <w:u w:val="single"/>
                </w:rPr>
                <w:t xml:space="preserve">12 CFR 243.4(f)</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approval before submission, noted in minutes (or delegee for foreign company)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5">
              <w:r>
                <w:rPr>
                  <w:rStyle w:val="Hyperlink"/>
                  <w:color w:val="0645AD"/>
                  <w:u w:val="single"/>
                </w:rPr>
                <w:t xml:space="preserve">12 CFR 381.4(f)</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Plan describes governance integration, preparation/approval controls, responsible official, and reporting to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1">
              <w:r>
                <w:rPr>
                  <w:rStyle w:val="Hyperlink"/>
                  <w:color w:val="0645AD"/>
                  <w:u w:val="single"/>
                </w:rPr>
                <w:t xml:space="preserve">12 CFR Part 381(d)(1)</w:t>
              </w:r>
            </w:hyperlink>
            <w:r>
              <w:t xml:space="preserve">;</w:t>
            </w:r>
            <w:r>
              <w:t xml:space="preserve"> </w:t>
            </w:r>
            <w:hyperlink r:id="rId203">
              <w:r>
                <w:rPr>
                  <w:rStyle w:val="Hyperlink"/>
                  <w:color w:val="0645AD"/>
                  <w:u w:val="single"/>
                </w:rPr>
                <w:t xml:space="preserve">76 FR 67323(d)(1)</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Plan identifies risk measures used to report credit risk internally to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1">
              <w:r>
                <w:rPr>
                  <w:rStyle w:val="Hyperlink"/>
                  <w:color w:val="0645AD"/>
                  <w:u w:val="single"/>
                </w:rPr>
                <w:t xml:space="preserve">12 CFR Part 381(d)(3)</w:t>
              </w:r>
            </w:hyperlink>
            <w:r>
              <w:t xml:space="preserve">;</w:t>
            </w:r>
            <w:r>
              <w:t xml:space="preserve"> </w:t>
            </w:r>
            <w:hyperlink r:id="rId203">
              <w:r>
                <w:rPr>
                  <w:rStyle w:val="Hyperlink"/>
                  <w:color w:val="0645AD"/>
                  <w:u w:val="single"/>
                </w:rPr>
                <w:t xml:space="preserve">76 FR 67323(d)(3)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Central-planning official may report to CRO/CEO and periodically report on resolution planning to board</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3">
              <w:r>
                <w:rPr>
                  <w:rStyle w:val="Hyperlink"/>
                  <w:color w:val="0645AD"/>
                  <w:u w:val="single"/>
                </w:rPr>
                <w:t xml:space="preserve">76 FR 67323</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Critical-operations identification process described as part of resolution-planning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1">
              <w:r>
                <w:rPr>
                  <w:rStyle w:val="Hyperlink"/>
                  <w:color w:val="0645AD"/>
                  <w:u w:val="single"/>
                </w:rPr>
                <w:t xml:space="preserve">12 CFR § 381.3(a)(1)(i)</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and management consider stress-test results in recovery/resolution plan development or implementation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34">
              <w:r>
                <w:rPr>
                  <w:rStyle w:val="Hyperlink"/>
                  <w:color w:val="0645AD"/>
                  <w:u w:val="single"/>
                </w:rPr>
                <w:t xml:space="preserve">79 FR 17317</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Fed stress-test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 force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committee) review/approval of recovery plan; at least annual revision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6">
              <w:r>
                <w:rPr>
                  <w:rStyle w:val="Hyperlink"/>
                  <w:color w:val="0645AD"/>
                  <w:u w:val="single"/>
                </w:rPr>
                <w:t xml:space="preserve">83 FR 66605</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Guidelines</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Rescinded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 recovery plan escalation to board on trigger breach; identify responsible departments/persons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7">
              <w:r>
                <w:rPr>
                  <w:rStyle w:val="Hyperlink"/>
                  <w:color w:val="0645AD"/>
                  <w:u w:val="single"/>
                </w:rPr>
                <w:t xml:space="preserve">12 CFR Part 30, App. E, II.B.5</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Guidelines</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Rescinded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 recovery plan reports to board with sufficient data for timely trigger response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7">
              <w:r>
                <w:rPr>
                  <w:rStyle w:val="Hyperlink"/>
                  <w:color w:val="0645AD"/>
                  <w:u w:val="single"/>
                </w:rPr>
                <w:t xml:space="preserve">12 CFR Part 30, App. E, II.B.6</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Guidelines</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Rescinded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responsibilities for recovery plan; escalation procedures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08">
              <w:r>
                <w:rPr>
                  <w:rStyle w:val="Hyperlink"/>
                  <w:color w:val="0645AD"/>
                  <w:u w:val="single"/>
                </w:rPr>
                <w:t xml:space="preserve">91 FR 16156</w:t>
              </w:r>
            </w:hyperlink>
            <w:r>
              <w:t xml:space="preserve"> </w:t>
            </w:r>
            <w:r>
              <w:t xml:space="preserve">(document 2026-06281, effective May 1, 2026);</w:t>
            </w:r>
            <w:r>
              <w:t xml:space="preserve"> </w:t>
            </w:r>
            <w:hyperlink r:id="rId206">
              <w:r>
                <w:rPr>
                  <w:rStyle w:val="Hyperlink"/>
                  <w:color w:val="0645AD"/>
                  <w:u w:val="single"/>
                </w:rPr>
                <w:t xml:space="preserve">83 FR 66604</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Guidelines</w:t>
            </w: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Rescinded</w:t>
            </w:r>
          </w:p>
        </w:tc>
      </w:tr>
    </w:tbl>
    <w:p>
      <w:pPr>
        <w:pStyle w:val="BodyText"/>
      </w:pPr>
      <w:r>
        <w:t xml:space="preserve">The OCC’s enforceable bank-level recovery-planning standards at 12 CFR Part 30, Appendix E</w:t>
      </w:r>
      <w:r>
        <w:t xml:space="preserve"> </w:t>
      </w:r>
      <w:r>
        <w:rPr>
          <w:b/>
          <w:bCs/>
        </w:rPr>
        <w:t xml:space="preserve">are rescinded</w:t>
      </w:r>
      <w:r>
        <w:t xml:space="preserve"> </w:t>
      </w:r>
      <w:r>
        <w:t xml:space="preserve">(</w:t>
      </w:r>
      <w:hyperlink r:id="rId108">
        <w:r>
          <w:rPr>
            <w:rStyle w:val="Hyperlink"/>
            <w:color w:val="0645AD"/>
            <w:u w:val="single"/>
          </w:rPr>
          <w:t xml:space="preserve">Rescission of OCC Guidelines Establishing Standards for Recovery Planning</w:t>
        </w:r>
      </w:hyperlink>
      <w:r>
        <w:t xml:space="preserve">;</w:t>
      </w:r>
      <w:r>
        <w:t xml:space="preserve"> </w:t>
      </w:r>
      <w:hyperlink r:id="rId208">
        <w:r>
          <w:rPr>
            <w:rStyle w:val="Hyperlink"/>
            <w:color w:val="0645AD"/>
            <w:u w:val="single"/>
          </w:rPr>
          <w:t xml:space="preserve">91 FR 16156</w:t>
        </w:r>
      </w:hyperlink>
      <w:r>
        <w:t xml:space="preserve"> </w:t>
      </w:r>
      <w:r>
        <w:t xml:space="preserve">(document 2026-06281, effective May 1, 2026)); the OCC stated that covered banks</w:t>
      </w:r>
      <w:r>
        <w:t xml:space="preserve"> </w:t>
      </w:r>
      <w:r>
        <w:t xml:space="preserve">“</w:t>
      </w:r>
      <w:r>
        <w:t xml:space="preserve">remain responsible for managing the risks to their business models.</w:t>
      </w:r>
      <w:r>
        <w:t xml:space="preserve">”</w:t>
      </w:r>
      <w:r>
        <w:t xml:space="preserve"> </w:t>
      </w:r>
      <w:r>
        <w:t xml:space="preserve">Because these were the only bank-level recovery-planning mandate, their rescission removes an entire layer of duplication with the Federal Reserve’s holding-company-level recovery-planning guidance.</w:t>
      </w:r>
    </w:p>
    <w:p>
      <w:pPr>
        <w:pStyle w:val="BodyText"/>
      </w:pPr>
      <w:r>
        <w:t xml:space="preserve">At the holding-company level, the cornerstone is SR 14-8: the board is responsible for oversight of the recovery planning process, focusing on the firm’s ability to identify and implement recovery options and on overseeing remediation (</w:t>
      </w:r>
      <w:hyperlink r:id="rId201">
        <w:r>
          <w:rPr>
            <w:rStyle w:val="Hyperlink"/>
            <w:color w:val="0645AD"/>
            <w:u w:val="single"/>
          </w:rPr>
          <w:t xml:space="preserve">SR 14-8</w:t>
        </w:r>
      </w:hyperlink>
      <w:r>
        <w:t xml:space="preserve">). The Title I resolution-planning core is the board approval duty: before submission, the plan must be approved by the board and noted in the minutes (</w:t>
      </w:r>
      <w:hyperlink r:id="rId204">
        <w:r>
          <w:rPr>
            <w:rStyle w:val="Hyperlink"/>
            <w:color w:val="0645AD"/>
            <w:u w:val="single"/>
          </w:rPr>
          <w:t xml:space="preserve">12 CFR 243.4(f)</w:t>
        </w:r>
      </w:hyperlink>
      <w:r>
        <w:t xml:space="preserve">;</w:t>
      </w:r>
      <w:r>
        <w:t xml:space="preserve"> </w:t>
      </w:r>
      <w:hyperlink r:id="rId205">
        <w:r>
          <w:rPr>
            <w:rStyle w:val="Hyperlink"/>
            <w:color w:val="0645AD"/>
            <w:u w:val="single"/>
          </w:rPr>
          <w:t xml:space="preserve">12 CFR 381.4(f)</w:t>
        </w:r>
      </w:hyperlink>
      <w:r>
        <w:t xml:space="preserve">).</w:t>
      </w:r>
    </w:p>
    <w:p>
      <w:pPr>
        <w:pStyle w:val="BodyText"/>
      </w:pPr>
      <w:r>
        <w:rPr>
          <w:b/>
          <w:bCs/>
        </w:rPr>
        <w:t xml:space="preserve">Cross-cutting diagnosis.</w:t>
      </w:r>
      <w:r>
        <w:t xml:space="preserve"> </w:t>
      </w:r>
      <w:r>
        <w:t xml:space="preserve">After rescission, the residual overlap is conceptual rather than directly duplicative: SR 12-17 imposes parallel governance-integration, independent-validation, and board-MIS expectations for both recovery (§ A.3.f) and resolution (§ B.3.g) planning, and the Title I rule independently requires the same governance-integration disclosure and board reporting.</w:t>
      </w:r>
    </w:p>
    <w:bookmarkEnd w:id="209"/>
    <w:bookmarkStart w:id="218" w:name="X57ce17381894bc4d3e843b9e4a50c65673673aa"/>
    <w:p>
      <w:pPr>
        <w:pStyle w:val="Heading2"/>
      </w:pPr>
      <w:r>
        <w:t xml:space="preserve">Section 15: Board Committee Structure: Mandatory and Supervisory-Expected Committees</w:t>
      </w:r>
    </w:p>
    <w:p>
      <w:pPr>
        <w:pStyle w:val="FirstParagraph"/>
      </w:pPr>
      <w:r>
        <w:t xml:space="preserve">The committee-structure domain exhibits the densest concentration of duplicative mandates. A threshold principle frames every entry: designation of a committee and delegation to it does not relieve the board or any director of any responsibility imposed by law or regulation (</w:t>
      </w:r>
      <w:hyperlink r:id="rId26">
        <w:r>
          <w:rPr>
            <w:rStyle w:val="Hyperlink"/>
            <w:color w:val="0645AD"/>
            <w:u w:val="single"/>
          </w:rPr>
          <w:t xml:space="preserve">OCC Rule 5.22(l)(7)</w:t>
        </w:r>
      </w:hyperlink>
      <w:r>
        <w:t xml:space="preserve">).</w:t>
      </w:r>
    </w:p>
    <w:bookmarkStart w:id="211" w:name="risk-committee"/>
    <w:p>
      <w:pPr>
        <w:pStyle w:val="Heading3"/>
      </w:pPr>
      <w:r>
        <w:t xml:space="preserve">15.1 Risk Committee</w:t>
      </w:r>
    </w:p>
    <w:p>
      <w:pPr>
        <w:pStyle w:val="FirstParagraph"/>
      </w:pPr>
      <w:r>
        <w:t xml:space="preserve">Every publicly traded BHC with total consolidated assets of $50 billion or more must establish a risk committee responsible for oversight of enterprise-wide risk management, including independent directors and at least one risk-management expert (</w:t>
      </w:r>
      <w:hyperlink r:id="rId137">
        <w:r>
          <w:rPr>
            <w:rStyle w:val="Hyperlink"/>
            <w:color w:val="0645AD"/>
            <w:u w:val="single"/>
          </w:rPr>
          <w:t xml:space="preserve">12 USC 5365(h)(2)-(3)</w:t>
        </w:r>
      </w:hyperlink>
      <w:r>
        <w:t xml:space="preserve">). Regulation YY operationalizes this: the committee must have a board-approved formal written charter (79 FR 17316(a)(3)(i)); meet at least quarterly and document its proceedings (79 FR 17316(a)(3)(v)); and include at least one large-complex-firm risk expert and be chaired by an independent director (79 FR 17317(a)(4)).</w:t>
      </w:r>
    </w:p>
    <w:p>
      <w:pPr>
        <w:pStyle w:val="BodyText"/>
      </w:pPr>
      <w:r>
        <w:rPr>
          <w:b/>
          <w:bCs/>
        </w:rPr>
        <w:t xml:space="preserve">Scope note on FBO/IHC content.</w:t>
      </w:r>
      <w:r>
        <w:t xml:space="preserve"> </w:t>
      </w:r>
      <w:r>
        <w:t xml:space="preserve">The following FBO and IHC risk-committee requirements are included for completeness but are</w:t>
      </w:r>
      <w:r>
        <w:t xml:space="preserve"> </w:t>
      </w:r>
      <w:r>
        <w:rPr>
          <w:b/>
          <w:bCs/>
        </w:rPr>
        <w:t xml:space="preserve">not obligations of a domestic Category I U.S. GSIB BHC or its IDI subsidiaries</w:t>
      </w:r>
      <w:r>
        <w:t xml:space="preserve">. For an FBO with combined U.S. assets of $100 billion or more, a U.S. risk committee is required ([</w:t>
      </w:r>
      <w:hyperlink r:id="rId29">
        <w:r>
          <w:rPr>
            <w:rStyle w:val="Hyperlink"/>
            <w:color w:val="0645AD"/>
            <w:u w:val="single"/>
          </w:rPr>
          <w:t xml:space="preserve">83 FR 61408</w:t>
        </w:r>
      </w:hyperlink>
      <w:r>
        <w:t xml:space="preserve">,</w:t>
      </w:r>
      <w:r>
        <w:t xml:space="preserve"> </w:t>
      </w:r>
      <w:hyperlink r:id="rId30">
        <w:r>
          <w:rPr>
            <w:rStyle w:val="Hyperlink"/>
            <w:color w:val="0645AD"/>
            <w:u w:val="single"/>
          </w:rPr>
          <w:t xml:space="preserve">84 FR 59116 (§ 252.155(a)(1))</w:t>
        </w:r>
      </w:hyperlink>
      <w:r>
        <w:t xml:space="preserve">]), meeting at least quarterly (</w:t>
      </w:r>
      <w:hyperlink r:id="rId34">
        <w:r>
          <w:rPr>
            <w:rStyle w:val="Hyperlink"/>
            <w:color w:val="0645AD"/>
            <w:u w:val="single"/>
          </w:rPr>
          <w:t xml:space="preserve">79 FR 17326(a)(4)</w:t>
        </w:r>
      </w:hyperlink>
      <w:r>
        <w:t xml:space="preserve">); IHC risk-committee provisions appear at</w:t>
      </w:r>
      <w:r>
        <w:t xml:space="preserve"> </w:t>
      </w:r>
      <w:hyperlink r:id="rId35">
        <w:r>
          <w:rPr>
            <w:rStyle w:val="Hyperlink"/>
            <w:color w:val="0645AD"/>
            <w:u w:val="single"/>
          </w:rPr>
          <w:t xml:space="preserve">FRS Rule 252.147(e)(2)(iv)</w:t>
        </w:r>
      </w:hyperlink>
      <w:r>
        <w:t xml:space="preserve"> </w:t>
      </w:r>
      <w:r>
        <w:t xml:space="preserve">and</w:t>
      </w:r>
      <w:r>
        <w:t xml:space="preserve"> </w:t>
      </w:r>
      <w:hyperlink r:id="rId210">
        <w:r>
          <w:rPr>
            <w:rStyle w:val="Hyperlink"/>
            <w:color w:val="0645AD"/>
            <w:u w:val="single"/>
          </w:rPr>
          <w:t xml:space="preserve">FRS Rule 252.153(e)(3)(iv)</w:t>
        </w:r>
      </w:hyperlink>
      <w:r>
        <w:t xml:space="preserve"> </w:t>
      </w:r>
      <w:r>
        <w:t xml:space="preserve">(in force; amendment proposed). Certain operational liquidity documents (e.g., cash-flow projection methodologies) are routed to the risk committee rather than the full board (</w:t>
      </w:r>
      <w:hyperlink r:id="rId30">
        <w:r>
          <w:rPr>
            <w:rStyle w:val="Hyperlink"/>
            <w:color w:val="0645AD"/>
            <w:u w:val="single"/>
          </w:rPr>
          <w:t xml:space="preserve">83 FR 61408</w:t>
        </w:r>
      </w:hyperlink>
      <w:r>
        <w:t xml:space="preserve">). Supervisory expectations layer on through SR 21-3 (</w:t>
      </w:r>
      <w:hyperlink r:id="rId96">
        <w:r>
          <w:rPr>
            <w:rStyle w:val="Hyperlink"/>
            <w:color w:val="0645AD"/>
            <w:u w:val="single"/>
          </w:rPr>
          <w:t xml:space="preserve">SR 21-3, Attachment Section 4</w:t>
        </w:r>
      </w:hyperlink>
      <w:r>
        <w:t xml:space="preserve">) and the OCC Director’s Book, p. 106 (a plain-English supervisory publication; non-binding). The October 2018 draft Regulation YY tailoring rule (</w:t>
      </w:r>
      <w:hyperlink r:id="rId105">
        <w:r>
          <w:rPr>
            <w:rStyle w:val="Hyperlink"/>
            <w:color w:val="0645AD"/>
            <w:u w:val="single"/>
          </w:rPr>
          <w:t xml:space="preserve">12 CFR 252.34; 12 CFR 252.22(a)(3)-(4)</w:t>
        </w:r>
      </w:hyperlink>
      <w:r>
        <w:t xml:space="preserve">) is a</w:t>
      </w:r>
      <w:r>
        <w:t xml:space="preserve"> </w:t>
      </w:r>
      <w:r>
        <w:rPr>
          <w:b/>
          <w:bCs/>
        </w:rPr>
        <w:t xml:space="preserve">proposal</w:t>
      </w:r>
      <w:r>
        <w:t xml:space="preserve"> </w:t>
      </w:r>
      <w:r>
        <w:t xml:space="preserve">and not operative.</w:t>
      </w:r>
    </w:p>
    <w:bookmarkEnd w:id="211"/>
    <w:bookmarkStart w:id="212" w:name="audit-committee"/>
    <w:p>
      <w:pPr>
        <w:pStyle w:val="Heading3"/>
      </w:pPr>
      <w:r>
        <w:t xml:space="preserve">15.2 Audit Committee</w:t>
      </w:r>
    </w:p>
    <w:p>
      <w:pPr>
        <w:pStyle w:val="FirstParagraph"/>
      </w:pPr>
      <w:r>
        <w:t xml:space="preserve">The audit committee is governed by the most layered set of overlapping mandates: FDIA §36 (statute), FDIC Part 363 (rule), Sarbanes-Oxley / SEA §10A (securities statute), SR 02-20 (supervisory letter), NYSE listing standards, and OCC fiduciary rules. Each IDI subject to §36 must have an audit committee composed entirely of outside directors independent of management (</w:t>
      </w:r>
      <w:hyperlink r:id="rId40">
        <w:r>
          <w:rPr>
            <w:rStyle w:val="Hyperlink"/>
            <w:color w:val="0645AD"/>
            <w:u w:val="single"/>
          </w:rPr>
          <w:t xml:space="preserve">FDIA Section 36(g)(1)(A)</w:t>
        </w:r>
      </w:hyperlink>
      <w:r>
        <w:t xml:space="preserve">); large institutions additionally require banking/financial expertise, own outside counsel, and no large customers (</w:t>
      </w:r>
      <w:hyperlink r:id="rId40">
        <w:r>
          <w:rPr>
            <w:rStyle w:val="Hyperlink"/>
            <w:color w:val="0645AD"/>
            <w:u w:val="single"/>
          </w:rPr>
          <w:t xml:space="preserve">FDIA Section 36(g)(1)(C)</w:t>
        </w:r>
      </w:hyperlink>
      <w:r>
        <w:t xml:space="preserve">). Part 363 requires the board to maintain written independence criteria and, at least annually, determine and document the independence status of each member (</w:t>
      </w:r>
      <w:hyperlink r:id="rId134">
        <w:r>
          <w:rPr>
            <w:rStyle w:val="Hyperlink"/>
            <w:color w:val="0645AD"/>
            <w:u w:val="single"/>
          </w:rPr>
          <w:t xml:space="preserve">12 CFR Part 363, Appendix A, Guideline 27</w:t>
        </w:r>
      </w:hyperlink>
      <w:r>
        <w:t xml:space="preserve">), and to determine banking/financial expertise (</w:t>
      </w:r>
      <w:hyperlink r:id="rId134">
        <w:r>
          <w:rPr>
            <w:rStyle w:val="Hyperlink"/>
            <w:color w:val="0645AD"/>
            <w:u w:val="single"/>
          </w:rPr>
          <w:t xml:space="preserve">Guideline 32</w:t>
        </w:r>
      </w:hyperlink>
      <w:r>
        <w:t xml:space="preserve">) and</w:t>
      </w:r>
      <w:r>
        <w:t xml:space="preserve"> </w:t>
      </w:r>
      <w:r>
        <w:t xml:space="preserve">“</w:t>
      </w:r>
      <w:r>
        <w:t xml:space="preserve">large customer</w:t>
      </w:r>
      <w:r>
        <w:t xml:space="preserve">”</w:t>
      </w:r>
      <w:r>
        <w:t xml:space="preserve"> </w:t>
      </w:r>
      <w:r>
        <w:t xml:space="preserve">status (</w:t>
      </w:r>
      <w:hyperlink r:id="rId134">
        <w:r>
          <w:rPr>
            <w:rStyle w:val="Hyperlink"/>
            <w:color w:val="0645AD"/>
            <w:u w:val="single"/>
          </w:rPr>
          <w:t xml:space="preserve">Guideline 33</w:t>
        </w:r>
      </w:hyperlink>
      <w:r>
        <w:t xml:space="preserve">). SEA §10A imposes a structurally identical independent-committee requirement (</w:t>
      </w:r>
      <w:hyperlink r:id="rId137">
        <w:r>
          <w:rPr>
            <w:rStyle w:val="Hyperlink"/>
            <w:color w:val="0645AD"/>
            <w:u w:val="single"/>
          </w:rPr>
          <w:t xml:space="preserve">SEA Section 10A(m)(3)(A)-(B)</w:t>
        </w:r>
      </w:hyperlink>
      <w:r>
        <w:t xml:space="preserve">;</w:t>
      </w:r>
      <w:r>
        <w:t xml:space="preserve"> </w:t>
      </w:r>
      <w:hyperlink r:id="rId138">
        <w:r>
          <w:rPr>
            <w:rStyle w:val="Hyperlink"/>
            <w:color w:val="0645AD"/>
            <w:u w:val="single"/>
          </w:rPr>
          <w:t xml:space="preserve">SR 02-20</w:t>
        </w:r>
      </w:hyperlink>
      <w:r>
        <w:t xml:space="preserve">). NYSE Section 303A.07 requires a minimum of three independent members, financial-literacy determinations, an over-three-committee disclosure, and a written charter with substantive risk-oversight and auditor-oversight duties (</w:t>
      </w:r>
      <w:hyperlink r:id="rId135">
        <w:r>
          <w:rPr>
            <w:rStyle w:val="Hyperlink"/>
            <w:color w:val="0645AD"/>
            <w:u w:val="single"/>
          </w:rPr>
          <w:t xml:space="preserve">NYSE Listed Company Manual Section 303A.07</w:t>
        </w:r>
      </w:hyperlink>
      <w:r>
        <w:t xml:space="preserve">).</w:t>
      </w:r>
    </w:p>
    <w:bookmarkEnd w:id="212"/>
    <w:bookmarkStart w:id="213" w:name="compensation-committee"/>
    <w:p>
      <w:pPr>
        <w:pStyle w:val="Heading3"/>
      </w:pPr>
      <w:r>
        <w:t xml:space="preserve">15.3 Compensation Committee</w:t>
      </w:r>
    </w:p>
    <w:p>
      <w:pPr>
        <w:pStyle w:val="FirstParagraph"/>
      </w:pPr>
      <w:r>
        <w:t xml:space="preserve">For NYSE-listed G-SIBs, the compensation committee charter must address CEO-compensation review/approval, non-CEO executive recommendations, the Item 407(e)(5) disclosure, and an annual self-evaluation (</w:t>
      </w:r>
      <w:hyperlink r:id="rId135">
        <w:r>
          <w:rPr>
            <w:rStyle w:val="Hyperlink"/>
            <w:color w:val="0645AD"/>
            <w:u w:val="single"/>
          </w:rPr>
          <w:t xml:space="preserve">NYSE Listed Company Manual Section 303A.05(b)</w:t>
        </w:r>
      </w:hyperlink>
      <w:r>
        <w:t xml:space="preserve">). No final, in-force federal banking rule mandates a board compensation committee for covered institutions; the §956 rule that would require a non-SEO committee remains a</w:t>
      </w:r>
      <w:r>
        <w:t xml:space="preserve"> </w:t>
      </w:r>
      <w:r>
        <w:rPr>
          <w:b/>
          <w:bCs/>
        </w:rPr>
        <w:t xml:space="preserve">proposal only</w:t>
      </w:r>
      <w:r>
        <w:t xml:space="preserve"> </w:t>
      </w:r>
      <w:r>
        <w:t xml:space="preserve">(</w:t>
      </w:r>
      <w:hyperlink r:id="rId181">
        <w:r>
          <w:rPr>
            <w:rStyle w:val="Hyperlink"/>
            <w:color w:val="0645AD"/>
            <w:u w:val="single"/>
          </w:rPr>
          <w:t xml:space="preserve">81 FR 37669</w:t>
        </w:r>
      </w:hyperlink>
      <w:r>
        <w:t xml:space="preserve">).</w:t>
      </w:r>
    </w:p>
    <w:bookmarkEnd w:id="213"/>
    <w:bookmarkStart w:id="214" w:name="trust-fiduciary-audit-committee"/>
    <w:p>
      <w:pPr>
        <w:pStyle w:val="Heading3"/>
      </w:pPr>
      <w:r>
        <w:t xml:space="preserve">15.4 Trust / Fiduciary Audit Committee</w:t>
      </w:r>
    </w:p>
    <w:p>
      <w:pPr>
        <w:pStyle w:val="FirstParagraph"/>
      </w:pPr>
      <w:r>
        <w:t xml:space="preserve">For a national bank exercising fiduciary powers, the fiduciary audit committee must consist of bank directors (or an affiliate’s audit committee), exclude officers significantly involved in fiduciary administration, and consist of a majority not on any committee managing fiduciary activities (</w:t>
      </w:r>
      <w:hyperlink r:id="rId67">
        <w:r>
          <w:rPr>
            <w:rStyle w:val="Hyperlink"/>
            <w:color w:val="0645AD"/>
            <w:u w:val="single"/>
          </w:rPr>
          <w:t xml:space="preserve">12 CFR § 9.9(c)</w:t>
        </w:r>
      </w:hyperlink>
      <w:r>
        <w:t xml:space="preserve">). A proposed FDIC trust-committee requirement (</w:t>
      </w:r>
      <w:hyperlink r:id="rId147">
        <w:r>
          <w:rPr>
            <w:rStyle w:val="Hyperlink"/>
            <w:color w:val="0645AD"/>
            <w:u w:val="single"/>
          </w:rPr>
          <w:t xml:space="preserve">FDIC Rules Part 364 Appendix C II.3</w:t>
        </w:r>
      </w:hyperlink>
      <w:r>
        <w:t xml:space="preserve">) is</w:t>
      </w:r>
      <w:r>
        <w:t xml:space="preserve"> </w:t>
      </w:r>
      <w:r>
        <w:rPr>
          <w:b/>
          <w:bCs/>
        </w:rPr>
        <w:t xml:space="preserve">proposed</w:t>
      </w:r>
      <w:r>
        <w:t xml:space="preserve">.</w:t>
      </w:r>
    </w:p>
    <w:bookmarkEnd w:id="214"/>
    <w:bookmarkStart w:id="215" w:name="compliance-committee-enforcement-imposed"/>
    <w:p>
      <w:pPr>
        <w:pStyle w:val="Heading3"/>
      </w:pPr>
      <w:r>
        <w:t xml:space="preserve">15.5 Compliance Committee (Enforcement-Imposed)</w:t>
      </w:r>
    </w:p>
    <w:p>
      <w:pPr>
        <w:pStyle w:val="FirstParagraph"/>
      </w:pPr>
      <w:r>
        <w:t xml:space="preserve">Compliance committees are not generally mandated by rule but are routinely imposed through BSA/AML enforcement — e.g., a Compliance Committee of the Board composed of a majority of unaffiliated directors, or a committee of at least three independent directors to oversee remediation (</w:t>
      </w:r>
      <w:hyperlink r:id="rId156">
        <w:r>
          <w:rPr>
            <w:rStyle w:val="Hyperlink"/>
            <w:color w:val="0645AD"/>
            <w:u w:val="single"/>
          </w:rPr>
          <w:t xml:space="preserve">Bank Settles OCC Charges for AML Violations</w:t>
        </w:r>
      </w:hyperlink>
      <w:r>
        <w:t xml:space="preserve">).</w:t>
      </w:r>
    </w:p>
    <w:bookmarkEnd w:id="215"/>
    <w:bookmarkStart w:id="216" w:name="X9918676cb394cc49ea1c8002354ec57382ea53c"/>
    <w:p>
      <w:pPr>
        <w:pStyle w:val="Heading3"/>
      </w:pPr>
      <w:r>
        <w:t xml:space="preserve">15.6 General Chartering, Review, and</w:t>
      </w:r>
      <w:r>
        <w:t xml:space="preserve"> </w:t>
      </w:r>
      <w:r>
        <w:t xml:space="preserve">“</w:t>
      </w:r>
      <w:r>
        <w:t xml:space="preserve">Other Committees</w:t>
      </w:r>
      <w:r>
        <w:t xml:space="preserve">”</w:t>
      </w:r>
      <w:r>
        <w:t xml:space="preserve"> </w:t>
      </w:r>
      <w:r>
        <w:t xml:space="preserve">Obligations</w:t>
      </w:r>
    </w:p>
    <w:p>
      <w:pPr>
        <w:pStyle w:val="FirstParagraph"/>
      </w:pPr>
      <w:r>
        <w:t xml:space="preserve">The board should establish committees overseeing significant functions (</w:t>
      </w:r>
      <w:hyperlink r:id="rId25">
        <w:r>
          <w:rPr>
            <w:rStyle w:val="Hyperlink"/>
            <w:color w:val="0645AD"/>
            <w:u w:val="single"/>
          </w:rPr>
          <w:t xml:space="preserve">OCC Comptroller’s Licensing Manual</w:t>
        </w:r>
      </w:hyperlink>
      <w:r>
        <w:t xml:space="preserve">) and approve key committees (</w:t>
      </w:r>
      <w:hyperlink r:id="rId24">
        <w:r>
          <w:rPr>
            <w:rStyle w:val="Hyperlink"/>
            <w:color w:val="0645AD"/>
            <w:u w:val="single"/>
          </w:rPr>
          <w:t xml:space="preserve">Federal Reserve Commercial Bank Examination Manual 4000</w:t>
        </w:r>
      </w:hyperlink>
      <w:r>
        <w:t xml:space="preserve">); each committee should have a written charter outlining responsibilities, qualifications, authorities, independence, reporting, and meeting requirements, with an annual performance evaluation (</w:t>
      </w:r>
      <w:hyperlink r:id="rId90">
        <w:r>
          <w:rPr>
            <w:rStyle w:val="Hyperlink"/>
            <w:color w:val="0645AD"/>
            <w:u w:val="single"/>
          </w:rPr>
          <w:t xml:space="preserve">12 CFR Part 30, App. D §III</w:t>
        </w:r>
      </w:hyperlink>
      <w:r>
        <w:t xml:space="preserve">;</w:t>
      </w:r>
      <w:r>
        <w:t xml:space="preserve"> </w:t>
      </w:r>
      <w:hyperlink r:id="rId48">
        <w:r>
          <w:rPr>
            <w:rStyle w:val="Hyperlink"/>
            <w:color w:val="0645AD"/>
            <w:u w:val="single"/>
          </w:rPr>
          <w:t xml:space="preserve">79 FR 54518, p. 21</w:t>
        </w:r>
      </w:hyperlink>
      <w:r>
        <w:t xml:space="preserve">). The FDIC’s proposed Part 364 guidelines would require at least annual charter review for each committee (</w:t>
      </w:r>
      <w:hyperlink r:id="rId147">
        <w:r>
          <w:rPr>
            <w:rStyle w:val="Hyperlink"/>
            <w:color w:val="0645AD"/>
            <w:u w:val="single"/>
          </w:rPr>
          <w:t xml:space="preserve">FDIC Rules Part 364 Appendix C II.5</w:t>
        </w:r>
      </w:hyperlink>
      <w:r>
        <w:t xml:space="preserve">) —</w:t>
      </w:r>
      <w:r>
        <w:t xml:space="preserve"> </w:t>
      </w:r>
      <w:r>
        <w:rPr>
          <w:b/>
          <w:bCs/>
        </w:rPr>
        <w:t xml:space="preserve">proposed</w:t>
      </w:r>
      <w:r>
        <w:t xml:space="preserve">.</w:t>
      </w:r>
    </w:p>
    <w:bookmarkEnd w:id="216"/>
    <w:bookmarkStart w:id="217" w:name="Xaa3f7f8d4093a8868ccfb04f9fb2c18a829af25"/>
    <w:p>
      <w:pPr>
        <w:pStyle w:val="Heading3"/>
      </w:pPr>
      <w:r>
        <w:t xml:space="preserve">15.7 Cross-Reference Matrix: Overlapping Committee Mandates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Governance objective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Statute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Banking regulation / guidance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Securities / exchange 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enterprise risk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USC 5365(h)(2)-(3)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79 FR 17316(a)(3)(i), (v); 79 FR 17317(a)(4); SR 21-3 Att. §4; 12 CFR 163.33 (Page 106)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Independent-chair test via Item 407 of Reg S-K / exchange standards (79 FR 17317(a)(4))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audit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§36(g)(1)(A), (C); SEA §10A(m)(3)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 A, Guidelines 27, 30, 32, 33, 34; SR 02-20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 §303A.07; 15 U.S.C. 78j-1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Audit-committee member independence determination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 A, Guideline 27; 90 FR 35449 n.50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SEA §10A(m)(3)(B)</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Audit-committee financial/banking expertise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FDIA §36(g)(1)(C)(i)</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363, App. A, Guideline 32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w:t>
            </w:r>
            <w:r>
              <w:t xml:space="preserve"> </w:t>
            </w:r>
            <w:r>
              <w:t xml:space="preserve">“</w:t>
            </w:r>
            <w:r>
              <w:t xml:space="preserve">audit committee financial expert</w:t>
            </w:r>
            <w:r>
              <w:t xml:space="preserve">”</w:t>
            </w:r>
            <w:r>
              <w:t xml:space="preserve"> </w:t>
            </w:r>
            <w:r>
              <w:t xml:space="preserve">attributes (Guideline 32)</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Independent compensation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38 (supervisory expectation); 81 FR 37669 (</w:t>
            </w:r>
            <w:r>
              <w:rPr>
                <w:b/>
                <w:bCs/>
              </w:rPr>
              <w:t xml:space="preserve">proposed</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 §303A.05(b)</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Fiduciary audit committee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 9.9(c); 12 CFR Part 9.9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Committee chartering and annual review</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 §III; OCC Director’s Book, p. 43 (explanatory); FDIC Rules Part 364 App. C II.5 (</w:t>
            </w:r>
            <w:r>
              <w:rPr>
                <w:b/>
                <w:bCs/>
              </w:rPr>
              <w:t xml:space="preserve">proposed</w:t>
            </w: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 §303A.05(b)</w:t>
            </w:r>
          </w:p>
        </w:tc>
      </w:tr>
    </w:tbl>
    <w:p>
      <w:pPr>
        <w:pStyle w:val="BodyText"/>
      </w:pPr>
      <w:r>
        <w:rPr>
          <w:b/>
          <w:bCs/>
        </w:rPr>
        <w:t xml:space="preserve">Cross-cutting diagnosis.</w:t>
      </w:r>
      <w:r>
        <w:t xml:space="preserve"> </w:t>
      </w:r>
      <w:r>
        <w:t xml:space="preserve">The audit committee alone is independently constituted by a banking statute, a banking regulation, a securities statute, a supervisory letter, and an exchange standard — with the prudential regime expressly incorporating the SEC’s own independence and expertise definitions. Harmonization is largely a matter of selecting a single prevailing standard, since the regulators already treat the standards as substantively equivalent.</w:t>
      </w:r>
    </w:p>
    <w:bookmarkEnd w:id="217"/>
    <w:bookmarkEnd w:id="218"/>
    <w:bookmarkStart w:id="230" w:name="Xc1d744cb7c839b9dcaec6f5b8065928330855cf"/>
    <w:p>
      <w:pPr>
        <w:pStyle w:val="Heading2"/>
      </w:pPr>
      <w:r>
        <w:t xml:space="preserve">Section 16: SEC and Exchange Listing Obligations for Publicly Listed G-SIB Holding Companies</w:t>
      </w:r>
    </w:p>
    <w:p>
      <w:pPr>
        <w:pStyle w:val="FirstParagraph"/>
      </w:pPr>
      <w:r>
        <w:t xml:space="preserve">A Category I G-SIB holding company is a publicly listed company subject to the full federal securities-law disclosure and corporate-governance regime, administered by the SEC and, derivatively, by the NYSE. Several Regulation S-K provisions below carry a</w:t>
      </w:r>
      <w:r>
        <w:t xml:space="preserve"> </w:t>
      </w:r>
      <w:r>
        <w:rPr>
          <w:b/>
          <w:bCs/>
        </w:rPr>
        <w:t xml:space="preserve">pending amendment</w:t>
      </w:r>
      <w:r>
        <w:t xml:space="preserve"> </w:t>
      </w:r>
      <w:r>
        <w:t xml:space="preserve">to Item 407, flagged at the point of use.</w:t>
      </w:r>
    </w:p>
    <w:bookmarkStart w:id="219" w:name="board-composition-and-independence"/>
    <w:p>
      <w:pPr>
        <w:pStyle w:val="Heading3"/>
      </w:pPr>
      <w:r>
        <w:t xml:space="preserve">16.1 Board Composition and Independence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majority of the board must be independent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 director qualifies as independent unless the board affirmatively determines no material relationship</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303A.02(a)(i)</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For compensation-committee directors, consider all factors relevant to independence from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303A.02(a)(ii)</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Non-management directors must meet in regularly scheduled executive sessions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303A.03</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not divided into more than three classes; terms ≤ three years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LCM 304.00</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Disclose, per director, the specific experience/qualifications supporting service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3">
              <w:r>
                <w:rPr>
                  <w:rStyle w:val="Hyperlink"/>
                  <w:color w:val="0645AD"/>
                  <w:u w:val="single"/>
                </w:rPr>
                <w:t xml:space="preserve">Reg S-K Item 401(e)(1)</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Disclose whether/how the board considers diversity in identifying nominees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3">
              <w:r>
                <w:rPr>
                  <w:rStyle w:val="Hyperlink"/>
                  <w:color w:val="0645AD"/>
                  <w:u w:val="single"/>
                </w:rPr>
                <w:t xml:space="preserve">Reg S-K Rule 229.407(c)(2)(vi)</w:t>
              </w:r>
            </w:hyperlink>
            <w:r>
              <w:t xml:space="preserve"> </w:t>
            </w:r>
            <w:r>
              <w:t xml:space="preserve">(Item 407 amendment pending)</w:t>
            </w:r>
          </w:p>
        </w:tc>
      </w:tr>
    </w:tbl>
    <w:p>
      <w:pPr>
        <w:pStyle w:val="BodyText"/>
      </w:pPr>
      <w:r>
        <w:t xml:space="preserve">For a G-SIB IDI, the FDIC Part 363 audit-committee independence determination (</w:t>
      </w:r>
      <w:hyperlink r:id="rId134">
        <w:r>
          <w:rPr>
            <w:rStyle w:val="Hyperlink"/>
            <w:color w:val="0645AD"/>
            <w:u w:val="single"/>
          </w:rPr>
          <w:t xml:space="preserve">12 CFR Part 363, Appendix A, Guideline 28(a)</w:t>
        </w:r>
      </w:hyperlink>
      <w:r>
        <w:t xml:space="preserve">) is a distinct determination from the NYSE and Exchange Act tests.</w:t>
      </w:r>
    </w:p>
    <w:bookmarkEnd w:id="219"/>
    <w:bookmarkStart w:id="220" w:name="Xc50de45551e7f4afe4ea7c9f7f7e83e3a275764"/>
    <w:p>
      <w:pPr>
        <w:pStyle w:val="Heading3"/>
      </w:pPr>
      <w:r>
        <w:t xml:space="preserve">16.2 Audit Committee — Authority and Responsibilities</w:t>
      </w:r>
    </w:p>
    <w:p>
      <w:pPr>
        <w:pStyle w:val="FirstParagraph"/>
      </w:pPr>
      <w:r>
        <w:t xml:space="preserve">The audit committee, as a committee of the board, must be directly responsible for the appointment, compensation, and oversight of the registered public accounting firm (</w:t>
      </w:r>
      <w:hyperlink r:id="rId137">
        <w:r>
          <w:rPr>
            <w:rStyle w:val="Hyperlink"/>
            <w:color w:val="0645AD"/>
            <w:u w:val="single"/>
          </w:rPr>
          <w:t xml:space="preserve">SEA Section 10A(m)(2)</w:t>
        </w:r>
      </w:hyperlink>
      <w:r>
        <w:t xml:space="preserve">;</w:t>
      </w:r>
      <w:r>
        <w:t xml:space="preserve"> </w:t>
      </w:r>
      <w:hyperlink r:id="rId135">
        <w:r>
          <w:rPr>
            <w:rStyle w:val="Hyperlink"/>
            <w:color w:val="0645AD"/>
            <w:u w:val="single"/>
          </w:rPr>
          <w:t xml:space="preserve">NYSE Section 303A.07(b)(A)</w:t>
        </w:r>
      </w:hyperlink>
      <w:r>
        <w:t xml:space="preserve">); must pre-approve all audit and non-audit services subject to a de minimis exception (</w:t>
      </w:r>
      <w:hyperlink r:id="rId137">
        <w:r>
          <w:rPr>
            <w:rStyle w:val="Hyperlink"/>
            <w:color w:val="0645AD"/>
            <w:u w:val="single"/>
          </w:rPr>
          <w:t xml:space="preserve">SEA Section 10A(i)(1)(A)</w:t>
        </w:r>
      </w:hyperlink>
      <w:r>
        <w:t xml:space="preserve">); must establish complaint and confidential-submission procedures (</w:t>
      </w:r>
      <w:hyperlink r:id="rId137">
        <w:r>
          <w:rPr>
            <w:rStyle w:val="Hyperlink"/>
            <w:color w:val="0645AD"/>
            <w:u w:val="single"/>
          </w:rPr>
          <w:t xml:space="preserve">SEA Section 10A(m)(4)</w:t>
        </w:r>
      </w:hyperlink>
      <w:r>
        <w:t xml:space="preserve">); may engage independent advisers (</w:t>
      </w:r>
      <w:hyperlink r:id="rId137">
        <w:r>
          <w:rPr>
            <w:rStyle w:val="Hyperlink"/>
            <w:color w:val="0645AD"/>
            <w:u w:val="single"/>
          </w:rPr>
          <w:t xml:space="preserve">SEA Section 10A(m)(5)</w:t>
        </w:r>
      </w:hyperlink>
      <w:r>
        <w:t xml:space="preserve">); and must be funded by the issuer (</w:t>
      </w:r>
      <w:hyperlink r:id="rId137">
        <w:r>
          <w:rPr>
            <w:rStyle w:val="Hyperlink"/>
            <w:color w:val="0645AD"/>
            <w:u w:val="single"/>
          </w:rPr>
          <w:t xml:space="preserve">SEA Section 10A(m)(6)</w:t>
        </w:r>
      </w:hyperlink>
      <w:r>
        <w:t xml:space="preserve">). Each member must be independent and the committee must have at least three members (</w:t>
      </w:r>
      <w:hyperlink r:id="rId135">
        <w:r>
          <w:rPr>
            <w:rStyle w:val="Hyperlink"/>
            <w:color w:val="0645AD"/>
            <w:u w:val="single"/>
          </w:rPr>
          <w:t xml:space="preserve">NYSE Section 303A.07(a)</w:t>
        </w:r>
      </w:hyperlink>
      <w:r>
        <w:t xml:space="preserve">). The board must determine and disclose whether the registrant has an audit committee financial expert (</w:t>
      </w:r>
      <w:hyperlink r:id="rId183">
        <w:r>
          <w:rPr>
            <w:rStyle w:val="Hyperlink"/>
            <w:color w:val="0645AD"/>
            <w:u w:val="single"/>
          </w:rPr>
          <w:t xml:space="preserve">Reg S-K Rule 229.407(d)(5)(i)(A)</w:t>
        </w:r>
      </w:hyperlink>
      <w:r>
        <w:t xml:space="preserve"> </w:t>
      </w:r>
      <w:r>
        <w:t xml:space="preserve">— Item 407 amendment pending). The charter must require the committee to oversee financial-statement integrity, legal/regulatory compliance, auditor independence, internal audit, and</w:t>
      </w:r>
      <w:r>
        <w:t xml:space="preserve"> </w:t>
      </w:r>
      <w:r>
        <w:rPr>
          <w:b/>
          <w:bCs/>
        </w:rPr>
        <w:t xml:space="preserve">risk assessment and management, including major financial risk exposures</w:t>
      </w:r>
      <w:r>
        <w:t xml:space="preserve"> </w:t>
      </w:r>
      <w:r>
        <w:t xml:space="preserve">(</w:t>
      </w:r>
      <w:hyperlink r:id="rId135">
        <w:r>
          <w:rPr>
            <w:rStyle w:val="Hyperlink"/>
            <w:color w:val="0645AD"/>
            <w:u w:val="single"/>
          </w:rPr>
          <w:t xml:space="preserve">NYSE Section 303A.07(b)(D)</w:t>
        </w:r>
      </w:hyperlink>
      <w:r>
        <w:t xml:space="preserve">). Each listed company must maintain an internal audit function (</w:t>
      </w:r>
      <w:hyperlink r:id="rId135">
        <w:r>
          <w:rPr>
            <w:rStyle w:val="Hyperlink"/>
            <w:color w:val="0645AD"/>
            <w:u w:val="single"/>
          </w:rPr>
          <w:t xml:space="preserve">NYSE Section 303A.07(c)</w:t>
        </w:r>
      </w:hyperlink>
      <w:r>
        <w:t xml:space="preserve">).</w:t>
      </w:r>
    </w:p>
    <w:bookmarkEnd w:id="220"/>
    <w:bookmarkStart w:id="222" w:name="Xcf9451a2fd897e315ce794d1b24efa0d0aed07b"/>
    <w:p>
      <w:pPr>
        <w:pStyle w:val="Heading3"/>
      </w:pPr>
      <w:r>
        <w:t xml:space="preserve">16.3 Auditor Integrity and the Section 10A Reporting Chain</w:t>
      </w:r>
    </w:p>
    <w:p>
      <w:pPr>
        <w:pStyle w:val="FirstParagraph"/>
      </w:pPr>
      <w:r>
        <w:t xml:space="preserve">No director may coerce, manipulate, mislead, or fraudulently influence the auditor (</w:t>
      </w:r>
      <w:hyperlink r:id="rId221">
        <w:r>
          <w:rPr>
            <w:rStyle w:val="Hyperlink"/>
            <w:color w:val="0645AD"/>
            <w:u w:val="single"/>
          </w:rPr>
          <w:t xml:space="preserve">17 CFR 240.13b2-2(b)(1)</w:t>
        </w:r>
      </w:hyperlink>
      <w:r>
        <w:t xml:space="preserve">), or make materially false or misleading statements to an accountant (</w:t>
      </w:r>
      <w:hyperlink r:id="rId221">
        <w:r>
          <w:rPr>
            <w:rStyle w:val="Hyperlink"/>
            <w:color w:val="0645AD"/>
            <w:u w:val="single"/>
          </w:rPr>
          <w:t xml:space="preserve">17 CFR 240.13b2-2(a)</w:t>
        </w:r>
      </w:hyperlink>
      <w:r>
        <w:t xml:space="preserve">). Where the board receives an auditor report concluding that senior management has not taken timely remedial action on a material illegal act, the issuer must notify the SEC within one business day (</w:t>
      </w:r>
      <w:hyperlink r:id="rId137">
        <w:r>
          <w:rPr>
            <w:rStyle w:val="Hyperlink"/>
            <w:color w:val="0645AD"/>
            <w:u w:val="single"/>
          </w:rPr>
          <w:t xml:space="preserve">SEA Section 10A(b)(3)</w:t>
        </w:r>
      </w:hyperlink>
      <w:r>
        <w:t xml:space="preserve">); if it does not, the auditor must furnish its report to the SEC (</w:t>
      </w:r>
      <w:hyperlink r:id="rId137">
        <w:r>
          <w:rPr>
            <w:rStyle w:val="Hyperlink"/>
            <w:color w:val="0645AD"/>
            <w:u w:val="single"/>
          </w:rPr>
          <w:t xml:space="preserve">15 U.S.C. 78j-1(b)</w:t>
        </w:r>
      </w:hyperlink>
      <w:r>
        <w:t xml:space="preserve">).</w:t>
      </w:r>
    </w:p>
    <w:bookmarkEnd w:id="222"/>
    <w:bookmarkStart w:id="223" w:name="committee-reports-regulation-s-k"/>
    <w:p>
      <w:pPr>
        <w:pStyle w:val="Heading3"/>
      </w:pPr>
      <w:r>
        <w:t xml:space="preserve">16.4 Committee Reports (Regulation S-K)</w:t>
      </w:r>
    </w:p>
    <w:p>
      <w:pPr>
        <w:pStyle w:val="FirstParagraph"/>
      </w:pPr>
      <w:r>
        <w:t xml:space="preserve">The audit committee must state whether it reviewed the audited financials, discussed required matters with the auditor, received independence disclosures, and recommended inclusion in the Form 10-K (</w:t>
      </w:r>
      <w:hyperlink r:id="rId183">
        <w:r>
          <w:rPr>
            <w:rStyle w:val="Hyperlink"/>
            <w:color w:val="0645AD"/>
            <w:u w:val="single"/>
          </w:rPr>
          <w:t xml:space="preserve">Reg S-K Rule 229.407(d)(3)(i)</w:t>
        </w:r>
      </w:hyperlink>
      <w:r>
        <w:t xml:space="preserve">). The compensation committee must make the parallel CD&amp;A recommendation (</w:t>
      </w:r>
      <w:hyperlink r:id="rId183">
        <w:r>
          <w:rPr>
            <w:rStyle w:val="Hyperlink"/>
            <w:color w:val="0645AD"/>
            <w:u w:val="single"/>
          </w:rPr>
          <w:t xml:space="preserve">Reg S-K Rule 229.407(e)(5)(i)</w:t>
        </w:r>
      </w:hyperlink>
      <w:r>
        <w:t xml:space="preserve">). Both provisions are subject to the pending Item 407 amendment.</w:t>
      </w:r>
    </w:p>
    <w:bookmarkEnd w:id="223"/>
    <w:bookmarkStart w:id="225" w:name="Xbcf780ad3908d15f4508a950b3495378eea741d"/>
    <w:p>
      <w:pPr>
        <w:pStyle w:val="Heading3"/>
      </w:pPr>
      <w:r>
        <w:t xml:space="preserve">16.5 Compensation Committee Composition and Compensation Disclosure</w:t>
      </w:r>
    </w:p>
    <w:p>
      <w:pPr>
        <w:pStyle w:val="FirstParagraph"/>
      </w:pPr>
      <w:r>
        <w:t xml:space="preserve">Each compensation-committee member must be independent (</w:t>
      </w:r>
      <w:hyperlink r:id="rId135">
        <w:r>
          <w:rPr>
            <w:rStyle w:val="Hyperlink"/>
            <w:color w:val="0645AD"/>
            <w:u w:val="single"/>
          </w:rPr>
          <w:t xml:space="preserve">NYSE Section 303A.05(a)</w:t>
        </w:r>
      </w:hyperlink>
      <w:r>
        <w:t xml:space="preserve">); the committee must have a written charter (Section 303A.05(b)) and be directly responsible for adviser appointment/oversight (</w:t>
      </w:r>
      <w:hyperlink r:id="rId135">
        <w:r>
          <w:rPr>
            <w:rStyle w:val="Hyperlink"/>
            <w:color w:val="0645AD"/>
            <w:u w:val="single"/>
          </w:rPr>
          <w:t xml:space="preserve">NYSE Section 303A.05(c)(ii)</w:t>
        </w:r>
      </w:hyperlink>
      <w:r>
        <w:t xml:space="preserve">). The SEC must require pay-versus-performance disclosure (</w:t>
      </w:r>
      <w:hyperlink r:id="rId185">
        <w:r>
          <w:rPr>
            <w:rStyle w:val="Hyperlink"/>
            <w:color w:val="0645AD"/>
            <w:u w:val="single"/>
          </w:rPr>
          <w:t xml:space="preserve">SEA Section 14(i)</w:t>
        </w:r>
      </w:hyperlink>
      <w:r>
        <w:t xml:space="preserve">) and hedging-policy disclosure (</w:t>
      </w:r>
      <w:hyperlink r:id="rId185">
        <w:r>
          <w:rPr>
            <w:rStyle w:val="Hyperlink"/>
            <w:color w:val="0645AD"/>
            <w:u w:val="single"/>
          </w:rPr>
          <w:t xml:space="preserve">SEA Section 14(j)</w:t>
        </w:r>
      </w:hyperlink>
      <w:r>
        <w:t xml:space="preserve">). Issuers are prohibited from extending personal loans to directors or executive officers (</w:t>
      </w:r>
      <w:hyperlink r:id="rId224">
        <w:r>
          <w:rPr>
            <w:rStyle w:val="Hyperlink"/>
            <w:color w:val="0645AD"/>
            <w:u w:val="single"/>
          </w:rPr>
          <w:t xml:space="preserve">SEA Section 13(k)(1)</w:t>
        </w:r>
      </w:hyperlink>
      <w:r>
        <w:t xml:space="preserve">), but this does not apply to loans by an IDI subject to 12 U.S.C. 375b — a carve-out reflecting that the insider-credit objective is addressed by the Regulation O regime. A withdrawn 2023 interagency proposal (</w:t>
      </w:r>
      <w:hyperlink r:id="rId72">
        <w:r>
          <w:rPr>
            <w:rStyle w:val="Hyperlink"/>
            <w:color w:val="0645AD"/>
            <w:u w:val="single"/>
          </w:rPr>
          <w:t xml:space="preserve">88 FR 70391</w:t>
        </w:r>
      </w:hyperlink>
      <w:r>
        <w:t xml:space="preserve">) would have required an entirely-independent compensation committee.</w:t>
      </w:r>
    </w:p>
    <w:bookmarkEnd w:id="225"/>
    <w:bookmarkStart w:id="226" w:name="X3bc8d6fdf51078db189e74459d5b40999f86ce3"/>
    <w:p>
      <w:pPr>
        <w:pStyle w:val="Heading3"/>
      </w:pPr>
      <w:r>
        <w:t xml:space="preserve">16.6 Equity Compensation, Related-Party Transactions, Code of Ethics, and Director Trading</w:t>
      </w:r>
    </w:p>
    <w:p>
      <w:pPr>
        <w:pStyle w:val="FirstParagraph"/>
      </w:pPr>
      <w:r>
        <w:t xml:space="preserve">Shareholders must vote on all equity-compensation plans and material revisions (</w:t>
      </w:r>
      <w:hyperlink r:id="rId135">
        <w:r>
          <w:rPr>
            <w:rStyle w:val="Hyperlink"/>
            <w:color w:val="0645AD"/>
            <w:u w:val="single"/>
          </w:rPr>
          <w:t xml:space="preserve">NYSE Section 303A.08</w:t>
        </w:r>
      </w:hyperlink>
      <w:r>
        <w:t xml:space="preserve">). The audit committee or another independent body must review and oversee all related-party transactions for conflicts (</w:t>
      </w:r>
      <w:hyperlink r:id="rId135">
        <w:r>
          <w:rPr>
            <w:rStyle w:val="Hyperlink"/>
            <w:color w:val="0645AD"/>
            <w:u w:val="single"/>
          </w:rPr>
          <w:t xml:space="preserve">NYSE Section 314.00</w:t>
        </w:r>
      </w:hyperlink>
      <w:r>
        <w:t xml:space="preserve">). Any code-of-ethics waiver for an executive officer or director may be made only by the board or a committee and disclosed within four business days (</w:t>
      </w:r>
      <w:hyperlink r:id="rId135">
        <w:r>
          <w:rPr>
            <w:rStyle w:val="Hyperlink"/>
            <w:color w:val="0645AD"/>
            <w:u w:val="single"/>
          </w:rPr>
          <w:t xml:space="preserve">NYSE Section 303A.10</w:t>
        </w:r>
      </w:hyperlink>
      <w:r>
        <w:t xml:space="preserve">). Directors and officers are prohibited from trading during pension-plan blackout periods (</w:t>
      </w:r>
      <w:hyperlink r:id="rId138">
        <w:r>
          <w:rPr>
            <w:rStyle w:val="Hyperlink"/>
            <w:color w:val="0645AD"/>
            <w:u w:val="single"/>
          </w:rPr>
          <w:t xml:space="preserve">SR 02-20 (Section 306(a))</w:t>
        </w:r>
      </w:hyperlink>
      <w:r>
        <w:t xml:space="preserve">); each director has a fiduciary obligation to maintain confidentiality of privileged information (</w:t>
      </w:r>
      <w:hyperlink r:id="rId135">
        <w:r>
          <w:rPr>
            <w:rStyle w:val="Hyperlink"/>
            <w:color w:val="0645AD"/>
            <w:u w:val="single"/>
          </w:rPr>
          <w:t xml:space="preserve">NYSE Section 202.02(B)</w:t>
        </w:r>
      </w:hyperlink>
      <w:r>
        <w:t xml:space="preserve">); and Rule 10b5-1 trading-arrangement adoptions/terminations by directors or officers must be disclosed (</w:t>
      </w:r>
      <w:hyperlink r:id="rId183">
        <w:r>
          <w:rPr>
            <w:rStyle w:val="Hyperlink"/>
            <w:color w:val="0645AD"/>
            <w:u w:val="single"/>
          </w:rPr>
          <w:t xml:space="preserve">Reg S-K Item 408(a)</w:t>
        </w:r>
      </w:hyperlink>
      <w:r>
        <w:t xml:space="preserve">).</w:t>
      </w:r>
    </w:p>
    <w:bookmarkEnd w:id="226"/>
    <w:bookmarkStart w:id="227" w:name="Xee91ccceffd8896a6fac4f6fed32d0ee4a41cee"/>
    <w:p>
      <w:pPr>
        <w:pStyle w:val="Heading3"/>
      </w:pPr>
      <w:r>
        <w:t xml:space="preserve">16.7 Board Self-Evaluation, Nominating/Governance Committee, and Director Compensation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a nominating/corporate governance committee composed entirely of independent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303A.04(a)</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That committee must have a written charter addressing candidate identification, governance guidelines, board/management evaluation, and an annual self-evaluation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303A.04(b)</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conduct a self-evaluation at least annually</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303A.09</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should critically evaluate the form/amount of director compensation and director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Section 303A.09</w:t>
              </w:r>
            </w:hyperlink>
          </w:p>
        </w:tc>
      </w:tr>
    </w:tbl>
    <w:p>
      <w:pPr>
        <w:pStyle w:val="BodyText"/>
      </w:pPr>
      <w:r>
        <w:t xml:space="preserve">Several Item 407</w:t>
      </w:r>
      <w:r>
        <w:t xml:space="preserve"> </w:t>
      </w:r>
      <w:r>
        <w:t xml:space="preserve">“</w:t>
      </w:r>
      <w:r>
        <w:t xml:space="preserve">comply-or-explain</w:t>
      </w:r>
      <w:r>
        <w:t xml:space="preserve">”</w:t>
      </w:r>
      <w:r>
        <w:t xml:space="preserve"> </w:t>
      </w:r>
      <w:r>
        <w:t xml:space="preserve">provisions impose disclosure-contingent duties where governance structures are absent (</w:t>
      </w:r>
      <w:hyperlink r:id="rId183">
        <w:r>
          <w:rPr>
            <w:rStyle w:val="Hyperlink"/>
            <w:color w:val="0645AD"/>
            <w:u w:val="single"/>
          </w:rPr>
          <w:t xml:space="preserve">Reg S-K Rule 229.407(c)(1), (c)(2)(iii), (e)(1), (f)(1), (a)(3)</w:t>
        </w:r>
      </w:hyperlink>
      <w:r>
        <w:t xml:space="preserve">) — subject to the pending Item 407 amendment.</w:t>
      </w:r>
    </w:p>
    <w:bookmarkEnd w:id="227"/>
    <w:bookmarkStart w:id="228" w:name="X1a7bdbeb71fbc2ce2aa7a2ec52d2fea39b9ee9d"/>
    <w:p>
      <w:pPr>
        <w:pStyle w:val="Heading3"/>
      </w:pPr>
      <w:r>
        <w:t xml:space="preserve">16.8 Financial Reporting Controls and Officer Filing/Signature Duties</w:t>
      </w:r>
    </w:p>
    <w:p>
      <w:pPr>
        <w:pStyle w:val="FirstParagraph"/>
      </w:pPr>
      <w:r>
        <w:t xml:space="preserve">Every Section 12 issuer must maintain disclosure controls and internal control over financial reporting (</w:t>
      </w:r>
      <w:hyperlink r:id="rId183">
        <w:r>
          <w:rPr>
            <w:rStyle w:val="Hyperlink"/>
            <w:color w:val="0645AD"/>
            <w:u w:val="single"/>
          </w:rPr>
          <w:t xml:space="preserve">SEA Rule 13a-15(a)</w:t>
        </w:r>
      </w:hyperlink>
      <w:r>
        <w:t xml:space="preserve">), which is a process effected by the board (</w:t>
      </w:r>
      <w:hyperlink r:id="rId183">
        <w:r>
          <w:rPr>
            <w:rStyle w:val="Hyperlink"/>
            <w:color w:val="0645AD"/>
            <w:u w:val="single"/>
          </w:rPr>
          <w:t xml:space="preserve">SEA Rule 13a-15(f)</w:t>
        </w:r>
      </w:hyperlink>
      <w:r>
        <w:t xml:space="preserve">). A registration statement and the Form 10-K must be signed by at least a majority of the board (</w:t>
      </w:r>
      <w:hyperlink r:id="rId183">
        <w:r>
          <w:rPr>
            <w:rStyle w:val="Hyperlink"/>
            <w:color w:val="0645AD"/>
            <w:u w:val="single"/>
          </w:rPr>
          <w:t xml:space="preserve">SA Section 6(a)</w:t>
        </w:r>
      </w:hyperlink>
      <w:r>
        <w:t xml:space="preserve">). For a G-SIB’s IDI subsidiary, the FDIC Part 363 regime separately requires an independent accountant engagement, internal-control structure, and audit-committee composition (</w:t>
      </w:r>
      <w:hyperlink r:id="rId41">
        <w:r>
          <w:rPr>
            <w:rStyle w:val="Hyperlink"/>
            <w:color w:val="0645AD"/>
            <w:u w:val="single"/>
          </w:rPr>
          <w:t xml:space="preserve">90 FR 55789</w:t>
        </w:r>
      </w:hyperlink>
      <w:r>
        <w:t xml:space="preserve">).</w:t>
      </w:r>
    </w:p>
    <w:bookmarkEnd w:id="228"/>
    <w:bookmarkStart w:id="229" w:name="Xa433ff76cce43207d79d54b2d3a13b1e2b0c388"/>
    <w:p>
      <w:pPr>
        <w:pStyle w:val="Heading3"/>
      </w:pPr>
      <w:r>
        <w:t xml:space="preserve">16.9 Listing Continuity and Corporate Transactions</w:t>
      </w:r>
    </w:p>
    <w:p>
      <w:pPr>
        <w:pStyle w:val="FirstParagraph"/>
      </w:pPr>
      <w:r>
        <w:t xml:space="preserve">A residual cluster of NYSE obligations conditions specific corporate actions on board authorization: additional-securities listing requires board-authorized terms (</w:t>
      </w:r>
      <w:hyperlink r:id="rId135">
        <w:r>
          <w:rPr>
            <w:rStyle w:val="Hyperlink"/>
            <w:color w:val="0645AD"/>
            <w:u w:val="single"/>
          </w:rPr>
          <w:t xml:space="preserve">NYSE Section 703.01</w:t>
        </w:r>
      </w:hyperlink>
      <w:r>
        <w:t xml:space="preserve">); M&amp;A agreements must not classify the board into more than three classes (</w:t>
      </w:r>
      <w:hyperlink r:id="rId135">
        <w:r>
          <w:rPr>
            <w:rStyle w:val="Hyperlink"/>
            <w:color w:val="0645AD"/>
            <w:u w:val="single"/>
          </w:rPr>
          <w:t xml:space="preserve">NYSE Section 703.08(B)</w:t>
        </w:r>
      </w:hyperlink>
      <w:r>
        <w:t xml:space="preserve">); delisting requires board approval and a certified resolution (</w:t>
      </w:r>
      <w:hyperlink r:id="rId135">
        <w:r>
          <w:rPr>
            <w:rStyle w:val="Hyperlink"/>
            <w:color w:val="0645AD"/>
            <w:u w:val="single"/>
          </w:rPr>
          <w:t xml:space="preserve">NYSE Section 806.02</w:t>
        </w:r>
      </w:hyperlink>
      <w:r>
        <w:t xml:space="preserve">); and a below-criteria company may, by board action, voluntarily transfer its listing (</w:t>
      </w:r>
      <w:hyperlink r:id="rId135">
        <w:r>
          <w:rPr>
            <w:rStyle w:val="Hyperlink"/>
            <w:color w:val="0645AD"/>
            <w:u w:val="single"/>
          </w:rPr>
          <w:t xml:space="preserve">NYSE Section 807.00</w:t>
        </w:r>
      </w:hyperlink>
      <w:r>
        <w:t xml:space="preserve">).</w:t>
      </w:r>
    </w:p>
    <w:p>
      <w:pPr>
        <w:pStyle w:val="BodyText"/>
      </w:pPr>
      <w:r>
        <w:rPr>
          <w:b/>
          <w:bCs/>
        </w:rPr>
        <w:t xml:space="preserve">Cross-cutting diagnosis.</w:t>
      </w:r>
      <w:r>
        <w:t xml:space="preserve"> </w:t>
      </w:r>
      <w:r>
        <w:t xml:space="preserve">Audit-committee independence is mandated by SEA §10A(m)(3), NYSE §303A.07(a), and FDIC Part 363; audit-committee financial expertise by Reg S-K and Part 363 Guideline 32; pre-approval of auditor services by SEA §10A(i)(1)(A) and SR 02-20; board-level financial-risk oversight by NYSE §303A.07(b)(D) and the Federal Reserve enterprise-risk mandates; insider-credit control by SEA §13(k)(1) and Regulation O (with the securities statute deferring to the banking regime); and internal control over financial reporting and independent audit by SEA Rule 13a-15(a) and FDIC Part 363. The entire Item 407 disclosure architecture is subject to a pending amendment.</w:t>
      </w:r>
    </w:p>
    <w:bookmarkEnd w:id="229"/>
    <w:bookmarkEnd w:id="230"/>
    <w:bookmarkStart w:id="232" w:name="X34445822590be340c3969d2a6b02f21991b53f5"/>
    <w:p>
      <w:pPr>
        <w:pStyle w:val="Heading2"/>
      </w:pPr>
      <w:r>
        <w:t xml:space="preserve">Section 17: Model Risk Governance — Board-Level Obligations Under SR 26-2 and OCC Bulletin 2026-13</w:t>
      </w:r>
    </w:p>
    <w:p>
      <w:pPr>
        <w:pStyle w:val="FirstParagraph"/>
      </w:pPr>
      <w:r>
        <w:t xml:space="preserve">The governing authorities are the interagency model risk management guidance issued as Federal Reserve</w:t>
      </w:r>
      <w:r>
        <w:t xml:space="preserve"> </w:t>
      </w:r>
      <w:r>
        <w:rPr>
          <w:b/>
          <w:bCs/>
        </w:rPr>
        <w:t xml:space="preserve">SR 26-2</w:t>
      </w:r>
      <w:r>
        <w:t xml:space="preserve"> </w:t>
      </w:r>
      <w:r>
        <w:t xml:space="preserve">and</w:t>
      </w:r>
      <w:r>
        <w:t xml:space="preserve"> </w:t>
      </w:r>
      <w:r>
        <w:rPr>
          <w:b/>
          <w:bCs/>
        </w:rPr>
        <w:t xml:space="preserve">OCC Bulletin 2026-13</w:t>
      </w:r>
      <w:r>
        <w:t xml:space="preserve">, both issued April 17, 2026. SR 26-2 supersedes SR 11-7 (April 4, 2011); OCC Bulletin 2026-13 rescinds OCC Bulletin 2011-12. The updated guidance was adopted jointly by the Federal Reserve, OCC, and FDIC and is incorporated into each agency’s supervisory framework. SR 11-7 and OCC Bulletin 2011-12 are no longer operative.</w:t>
      </w:r>
    </w:p>
    <w:p>
      <w:pPr>
        <w:pStyle w:val="BodyText"/>
      </w:pPr>
      <w:r>
        <w:rPr>
          <w:b/>
          <w:bCs/>
        </w:rPr>
        <w:t xml:space="preserve">Critical qualification on the nature of SR 26-2.</w:t>
      </w:r>
      <w:r>
        <w:t xml:space="preserve"> </w:t>
      </w:r>
      <w:r>
        <w:t xml:space="preserve">SR 26-2 is expressly non-prescriptive and non-enforceable guidance. The guidance itself states that it</w:t>
      </w:r>
      <w:r>
        <w:t xml:space="preserve"> </w:t>
      </w:r>
      <w:r>
        <w:t xml:space="preserve">“</w:t>
      </w:r>
      <w:r>
        <w:t xml:space="preserve">does not set forth enforceable standards or prescriptive requirements; accordingly, non-compliance with this guidance will not result in</w:t>
      </w:r>
      <w:r>
        <w:t xml:space="preserve">”</w:t>
      </w:r>
      <w:r>
        <w:t xml:space="preserve"> </w:t>
      </w:r>
      <w:r>
        <w:t xml:space="preserve">supervisory action. This represents a deliberate step back from the more prescriptive board-approval duties that examiners had derived from SR 11-7 in practice. The board-level obligations described in the table below reflect the governance framework SR 26-2 describes as sound practice, not express enforceable requirements. Practitioners should not cite SR 26-2 as the source of a binding board-approval mandate; the operative legal basis for any enforceable board duty in this domain derives from the applicable safety-and-soundness statutes and regulations (e.g., 12 U.S.C. 1831p-1; 12 CFR Part 30, Appendix D), not from SR 26-2 itself. OCC Bulletin 2026-13 carries the same non-prescriptive character.</w:t>
      </w:r>
    </w:p>
    <w:p>
      <w:pPr>
        <w:pStyle w:val="BodyText"/>
      </w:pPr>
      <w:r>
        <w:rPr>
          <w:b/>
          <w:bCs/>
        </w:rPr>
        <w:t xml:space="preserve">Note on the table below.</w:t>
      </w:r>
      <w:r>
        <w:t xml:space="preserve"> </w:t>
      </w:r>
      <w:r>
        <w:t xml:space="preserve">As stated in the critical qualification above, SR 26-2 and OCC Bulletin 2026-13 are expressly non-prescriptive and non-enforceable. The items below describe sound governance practices that SR 26-2 and OCC Bulletin 2026-13 discuss or from which they can be inferred, not express enforceable board-approval requirements. Each item is labeled</w:t>
      </w:r>
      <w:r>
        <w:t xml:space="preserve"> </w:t>
      </w:r>
      <w:r>
        <w:t xml:space="preserve">“</w:t>
      </w:r>
      <w:r>
        <w:t xml:space="preserve">Sound practice</w:t>
      </w:r>
      <w:r>
        <w:t xml:space="preserve">”</w:t>
      </w:r>
      <w:r>
        <w:t xml:space="preserve"> </w:t>
      </w:r>
      <w:r>
        <w:t xml:space="preserve">to reflect this distinction. No item in this table should be cited as a binding board obligation; the operative legal basis for any enforceable duty in this domain derives from the applicable safety-and-soundness statutes and regulations (e.g., 12 U.S.C. 1831p-1; 12 CFR Part 30, Appendix D), not from SR 26-2 or OCC Bulletin 2026-13.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Board-level sound practice (non-enforceable)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Discharge level</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Frequency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the level of model risk is within the organization’s risk tolerance; governance supports clear policies and effective controls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 senior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Establish an organization-wide approach to model risk governance with clear roles, responsibilities, and accountability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 senior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Maintain and periodically review model risk management policies and procedures commensurate with the organization’s model risk profile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designated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periodic reports on model risk activities, including validation results and ongoing monitoring findings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assigned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Understand key model assumptions and their impact on material risk exposures, including interest-rate-risk models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or appropriate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Bulletin 2026-13,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significant model assumptions are subject to appropriate review and challenge, including by ALCO or equivalent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 ALCO</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Bulletin 2026-13,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Ensure model risk management policies address staffing, oversight, and validation frequency and extent commensurate with model risk profile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Appropriate board function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Periodic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Bulletin 2026-13, Section VI (sound practice; non-enforceable)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Receive reports on model risk management and control activities, including model validation results and remediation status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Ongoing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Section VI; OCC Bulletin 2026-13, Section VI (sound practice; non-enforceable)</w:t>
            </w:r>
          </w:p>
        </w:tc>
      </w:tr>
    </w:tbl>
    <w:p>
      <w:pPr>
        <w:pStyle w:val="BodyText"/>
      </w:pPr>
      <w:r>
        <w:t xml:space="preserve">These sound practices are exercised against an institutional control infrastructure that SR 26-2 describes as sound model risk management: clear policies, effective controls, well-defined roles and responsibilities, a comprehensive model inventory, and adequate documentation (SR 26-2, Section VI). SR 11-7 was superseded by SR 26-2 on April 17, 2026 and is no longer operative. Distinct from this guidance, the interagency automated valuation model rule imposes a</w:t>
      </w:r>
      <w:r>
        <w:t xml:space="preserve"> </w:t>
      </w:r>
      <w:r>
        <w:rPr>
          <w:b/>
          <w:bCs/>
        </w:rPr>
        <w:t xml:space="preserve">binding</w:t>
      </w:r>
      <w:r>
        <w:t xml:space="preserve"> </w:t>
      </w:r>
      <w:r>
        <w:t xml:space="preserve">quality-control standard on mortgage originators and secondary-market issuers, requiring policies and control systems ensuring AVMs adhere to standards for confidence, data-manipulation protection, conflicts avoidance, random sample testing, and nondiscrimination (</w:t>
      </w:r>
      <w:hyperlink r:id="rId231">
        <w:r>
          <w:rPr>
            <w:rStyle w:val="Hyperlink"/>
            <w:color w:val="0645AD"/>
            <w:u w:val="single"/>
          </w:rPr>
          <w:t xml:space="preserve">89 FR 64538 (§ 323.17)</w:t>
        </w:r>
      </w:hyperlink>
      <w:r>
        <w:t xml:space="preserve">). A proposed interagency statement would require documentation and governance of judgment-based risk-assessment analysis (</w:t>
      </w:r>
      <w:hyperlink r:id="rId158">
        <w:r>
          <w:rPr>
            <w:rStyle w:val="Hyperlink"/>
            <w:color w:val="0645AD"/>
            <w:u w:val="single"/>
          </w:rPr>
          <w:t xml:space="preserve">89 FR 55428</w:t>
        </w:r>
      </w:hyperlink>
      <w:r>
        <w:t xml:space="preserve">) —</w:t>
      </w:r>
      <w:r>
        <w:t xml:space="preserve"> </w:t>
      </w:r>
      <w:r>
        <w:rPr>
          <w:b/>
          <w:bCs/>
        </w:rPr>
        <w:t xml:space="preserve">proposed</w:t>
      </w:r>
      <w:r>
        <w:t xml:space="preserve">, not a current obligation.</w:t>
      </w:r>
    </w:p>
    <w:p>
      <w:pPr>
        <w:pStyle w:val="BodyText"/>
      </w:pPr>
      <w:r>
        <w:rPr>
          <w:b/>
          <w:bCs/>
        </w:rPr>
        <w:t xml:space="preserve">Cross-cutting diagnosis.</w:t>
      </w:r>
      <w:r>
        <w:t xml:space="preserve"> </w:t>
      </w:r>
      <w:r>
        <w:t xml:space="preserve">The annual review-and-approve duty for significant model assumptions and the periodic-reporting objective are each addressed in both SR 26-2 and OCC Bulletin 2026-13 — candidates for further consolidation into a single interagency instrument. SR 26-2 supersedes SR 11-7 and OCC Bulletin 2026-13 rescinds OCC Bulletin 2011-12; both predecessor instruments are no longer operative as of April 17, 2026.</w:t>
      </w:r>
    </w:p>
    <w:bookmarkEnd w:id="232"/>
    <w:bookmarkStart w:id="239" w:name="X6ef29dfdf4667f752f9ca41a9d05b0426def5c1"/>
    <w:p>
      <w:pPr>
        <w:pStyle w:val="Heading2"/>
      </w:pPr>
      <w:r>
        <w:t xml:space="preserve">Section 18: Board Fiduciary Duties, Enforcement, and Personal Liability</w:t>
      </w:r>
    </w:p>
    <w:p>
      <w:pPr>
        <w:pStyle w:val="FirstParagraph"/>
      </w:pPr>
      <w:r>
        <w:rPr>
          <w:b/>
          <w:bCs/>
        </w:rPr>
        <w:t xml:space="preserve">Scope note.</w:t>
      </w:r>
      <w:r>
        <w:t xml:space="preserve"> </w:t>
      </w:r>
      <w:r>
        <w:t xml:space="preserve">The obligations in this section are analytically distinct from the board-level governance obligations in Sections 1 through 17. They run primarily to the individual director rather than to the board as a governance body, and several are triggered only in enforcement, receivership, or resolution contexts. They are included because they bear directly on the risk calculus of board service and on the personal-liability exposure that amplifies the cumulative burden analyzed in Section 20. They are not board-level governance mandates in the approve-oversee-report-resource sense and should not be counted in any enumeration of recurring annual board actions.</w:t>
      </w:r>
    </w:p>
    <w:bookmarkStart w:id="233" w:name="X17854c47626dfbc409f8540c16ee667d8abc1fa"/>
    <w:p>
      <w:pPr>
        <w:pStyle w:val="Heading3"/>
      </w:pPr>
      <w:r>
        <w:t xml:space="preserve">18.1 The Common-Law Fiduciary Duties as Federally Incorporated</w:t>
      </w:r>
    </w:p>
    <w:p>
      <w:pPr>
        <w:pStyle w:val="FirstParagraph"/>
      </w:pPr>
      <w:r>
        <w:t xml:space="preserve">Director activities are governed by common-law fiduciary principles imposing two duties — the duty of care and the duty of loyalty (</w:t>
      </w:r>
      <w:hyperlink r:id="rId25">
        <w:r>
          <w:rPr>
            <w:rStyle w:val="Hyperlink"/>
            <w:color w:val="0645AD"/>
            <w:u w:val="single"/>
          </w:rPr>
          <w:t xml:space="preserve">OCC Comptroller’s Licensing Manual</w:t>
        </w:r>
      </w:hyperlink>
      <w:r>
        <w:t xml:space="preserve">). The</w:t>
      </w:r>
      <w:r>
        <w:t xml:space="preserve"> </w:t>
      </w:r>
      <w:r>
        <w:rPr>
          <w:b/>
          <w:bCs/>
        </w:rPr>
        <w:t xml:space="preserve">duty of care</w:t>
      </w:r>
      <w:r>
        <w:t xml:space="preserve"> </w:t>
      </w:r>
      <w:r>
        <w:t xml:space="preserve">requires directors to act in good faith, with the care an ordinarily prudent person would exercise, acquiring sufficient knowledge and actively participating (OCC Director’s Book, p. 36, explanatory; these are common-law duties incorporated by reference into the federal supervisory framework). The</w:t>
      </w:r>
      <w:r>
        <w:t xml:space="preserve"> </w:t>
      </w:r>
      <w:r>
        <w:rPr>
          <w:b/>
          <w:bCs/>
        </w:rPr>
        <w:t xml:space="preserve">duty of loyalty</w:t>
      </w:r>
      <w:r>
        <w:t xml:space="preserve"> </w:t>
      </w:r>
      <w:r>
        <w:t xml:space="preserve">requires directors to exercise their powers in the best interests of the bank and its shareholders rather than their own self-interest (OCC Director’s Book, p. 36, explanatory). For affiliated/sponsored banks, directors must act primarily in the bank’s interest and independent of sponsor influence (</w:t>
      </w:r>
      <w:hyperlink r:id="rId25">
        <w:r>
          <w:rPr>
            <w:rStyle w:val="Hyperlink"/>
            <w:color w:val="0645AD"/>
            <w:u w:val="single"/>
          </w:rPr>
          <w:t xml:space="preserve">OCC Comptroller’s Licensing Manual, Charters, Conflicts of Interest, p. 8</w:t>
        </w:r>
      </w:hyperlink>
      <w:r>
        <w:t xml:space="preserve">). FSA self-dealing and corporate-opportunity prohibitions apply at 12 CFR 163.200 and 12 CFR 163.201.</w:t>
      </w:r>
    </w:p>
    <w:bookmarkEnd w:id="233"/>
    <w:bookmarkStart w:id="234" w:name="discrete-subject-matter-fiduciary-duties"/>
    <w:p>
      <w:pPr>
        <w:pStyle w:val="Heading3"/>
      </w:pPr>
      <w:r>
        <w:t xml:space="preserve">18.2 Discrete Subject-Matter Fiduciary Duties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national bank exercising fiduciary powers must adopt/follow written policies adequate for legal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27">
              <w:r>
                <w:rPr>
                  <w:rStyle w:val="Hyperlink"/>
                  <w:color w:val="0645AD"/>
                  <w:u w:val="single"/>
                </w:rPr>
                <w:t xml:space="preserve">12 CFR 9.5</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The board is ultimately responsible for the cost and scope of employee benefits and must ensure fiduciary responsibilities are met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Director’s Book, p. 42 (supervisory expectation)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Note fiduciary-audit results and actions in board (or committee) minutes</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67">
              <w:r>
                <w:rPr>
                  <w:rStyle w:val="Hyperlink"/>
                  <w:color w:val="0645AD"/>
                  <w:u w:val="single"/>
                </w:rPr>
                <w:t xml:space="preserve">12 CFR Part 9.9</w:t>
              </w:r>
            </w:hyperlink>
            <w:r>
              <w:t xml:space="preserve">; OCC Director’s Book, p. 108 (explanatory)</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 bank must not permit a fiduciary officer/employee to accept a bequest/gift of fiduciary assets absent board approval (or relative exception)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68">
              <w:r>
                <w:rPr>
                  <w:rStyle w:val="Hyperlink"/>
                  <w:color w:val="0645AD"/>
                  <w:u w:val="single"/>
                </w:rPr>
                <w:t xml:space="preserve">12 CFR § 150.400</w:t>
              </w:r>
            </w:hyperlink>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Every listed-company director has a fiduciary obligation not to reveal privileged information until full public disclosure</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35">
              <w:r>
                <w:rPr>
                  <w:rStyle w:val="Hyperlink"/>
                  <w:color w:val="0645AD"/>
                  <w:u w:val="single"/>
                </w:rPr>
                <w:t xml:space="preserve">NYSE Listed Company Manual Section 202.02(B)</w:t>
              </w:r>
            </w:hyperlink>
          </w:p>
        </w:tc>
      </w:tr>
    </w:tbl>
    <w:bookmarkEnd w:id="234"/>
    <w:bookmarkStart w:id="235" w:name="Xa297538cf36b38a9c33923252c55f10a057e2e4"/>
    <w:p>
      <w:pPr>
        <w:pStyle w:val="Heading3"/>
      </w:pPr>
      <w:r>
        <w:t xml:space="preserve">18.3 Personal Liability — Indemnification, D&amp;O Insurance, and Fidelity Bonds</w:t>
      </w:r>
    </w:p>
    <w:p>
      <w:pPr>
        <w:pStyle w:val="FirstParagraph"/>
      </w:pPr>
      <w:r>
        <w:t xml:space="preserve">No IDI or holding company shall make any prohibited indemnification payment except as permitted (</w:t>
      </w:r>
      <w:hyperlink r:id="rId62">
        <w:r>
          <w:rPr>
            <w:rStyle w:val="Hyperlink"/>
            <w:color w:val="0645AD"/>
            <w:u w:val="single"/>
          </w:rPr>
          <w:t xml:space="preserve">61 FR 5933, Sec. 359.3</w:t>
        </w:r>
      </w:hyperlink>
      <w:r>
        <w:t xml:space="preserve">). To make reasonable indemnification payments for an agency-initiated proceeding, the board must determine in writing, after due investigation, both good-faith conduct and no material adverse safety-and-soundness effect (</w:t>
      </w:r>
      <w:hyperlink r:id="rId62">
        <w:r>
          <w:rPr>
            <w:rStyle w:val="Hyperlink"/>
            <w:color w:val="0645AD"/>
            <w:u w:val="single"/>
          </w:rPr>
          <w:t xml:space="preserve">61 FR 5926, Sec. 359.5(a)(1)-(2)</w:t>
        </w:r>
      </w:hyperlink>
      <w:r>
        <w:t xml:space="preserve">), with the requesting IAP excluded from the discussion (</w:t>
      </w:r>
      <w:hyperlink r:id="rId62">
        <w:r>
          <w:rPr>
            <w:rStyle w:val="Hyperlink"/>
            <w:color w:val="0645AD"/>
            <w:u w:val="single"/>
          </w:rPr>
          <w:t xml:space="preserve">61 FR 5926, Sec. 359.5(b)</w:t>
        </w:r>
      </w:hyperlink>
      <w:r>
        <w:t xml:space="preserve">) and independent-counsel review where a majority or all members are named (</w:t>
      </w:r>
      <w:hyperlink r:id="rId62">
        <w:r>
          <w:rPr>
            <w:rStyle w:val="Hyperlink"/>
            <w:color w:val="0645AD"/>
            <w:u w:val="single"/>
          </w:rPr>
          <w:t xml:space="preserve">61 FR 5926, Sec. 359.5(c)-(d)</w:t>
        </w:r>
      </w:hyperlink>
      <w:r>
        <w:t xml:space="preserve">). The board’s choice of D&amp;O coverage should rest on a cost-benefit and exclusions analysis (OCC Director’s Book, p. 111, supervisory expectation); failure to require adequate fidelity bonds may make directors</w:t>
      </w:r>
      <w:r>
        <w:t xml:space="preserve"> </w:t>
      </w:r>
      <w:r>
        <w:rPr>
          <w:b/>
          <w:bCs/>
        </w:rPr>
        <w:t xml:space="preserve">personally liable</w:t>
      </w:r>
      <w:r>
        <w:t xml:space="preserve"> </w:t>
      </w:r>
      <w:r>
        <w:t xml:space="preserve">for resulting losses (OCC Director’s Book, p. 112, supervisory expectation). A court may allow reasonable expenses and attorneys’ fees in §1818 proceedings (</w:t>
      </w:r>
      <w:hyperlink r:id="rId44">
        <w:r>
          <w:rPr>
            <w:rStyle w:val="Hyperlink"/>
            <w:color w:val="0645AD"/>
            <w:u w:val="single"/>
          </w:rPr>
          <w:t xml:space="preserve">12 U.S.C. 1818(n)</w:t>
        </w:r>
      </w:hyperlink>
      <w:r>
        <w:t xml:space="preserve">).</w:t>
      </w:r>
    </w:p>
    <w:bookmarkEnd w:id="235"/>
    <w:bookmarkStart w:id="236" w:name="X6559412e20a4df5cea7fb920166c5f68e900edb"/>
    <w:p>
      <w:pPr>
        <w:pStyle w:val="Heading3"/>
      </w:pPr>
      <w:r>
        <w:t xml:space="preserve">18.4 Personal Director Liability in Receivership and Orderly Liquidation</w:t>
      </w:r>
    </w:p>
    <w:p>
      <w:pPr>
        <w:pStyle w:val="FirstParagraph"/>
      </w:pPr>
      <w:r>
        <w:t xml:space="preserve">A director of a covered financial company may be held personally liable for monetary damages for</w:t>
      </w:r>
      <w:r>
        <w:t xml:space="preserve"> </w:t>
      </w:r>
      <w:r>
        <w:rPr>
          <w:b/>
          <w:bCs/>
        </w:rPr>
        <w:t xml:space="preserve">gross negligence</w:t>
      </w:r>
      <w:r>
        <w:t xml:space="preserve"> </w:t>
      </w:r>
      <w:r>
        <w:t xml:space="preserve">or worse in actions by the FDIC as receiver (</w:t>
      </w:r>
      <w:hyperlink r:id="rId36">
        <w:r>
          <w:rPr>
            <w:rStyle w:val="Hyperlink"/>
            <w:color w:val="0645AD"/>
            <w:u w:val="single"/>
          </w:rPr>
          <w:t xml:space="preserve">12 USC 5390(f)(1)</w:t>
        </w:r>
      </w:hyperlink>
      <w:r>
        <w:t xml:space="preserve">). Separately, §210(s) authorizes</w:t>
      </w:r>
      <w:r>
        <w:t xml:space="preserve"> </w:t>
      </w:r>
      <w:r>
        <w:rPr>
          <w:b/>
          <w:bCs/>
        </w:rPr>
        <w:t xml:space="preserve">compensation recoupment</w:t>
      </w:r>
      <w:r>
        <w:t xml:space="preserve"> </w:t>
      </w:r>
      <w:r>
        <w:t xml:space="preserve">from directors</w:t>
      </w:r>
      <w:r>
        <w:t xml:space="preserve"> </w:t>
      </w:r>
      <w:r>
        <w:t xml:space="preserve">“</w:t>
      </w:r>
      <w:r>
        <w:t xml:space="preserve">substantially responsible</w:t>
      </w:r>
      <w:r>
        <w:t xml:space="preserve">”</w:t>
      </w:r>
      <w:r>
        <w:t xml:space="preserve"> </w:t>
      </w:r>
      <w:r>
        <w:t xml:space="preserve">for failure under a</w:t>
      </w:r>
      <w:r>
        <w:t xml:space="preserve"> </w:t>
      </w:r>
      <w:r>
        <w:rPr>
          <w:b/>
          <w:bCs/>
        </w:rPr>
        <w:t xml:space="preserve">negligence</w:t>
      </w:r>
      <w:r>
        <w:t xml:space="preserve"> </w:t>
      </w:r>
      <w:r>
        <w:t xml:space="preserve">standard (</w:t>
      </w:r>
      <w:hyperlink r:id="rId36">
        <w:r>
          <w:rPr>
            <w:rStyle w:val="Hyperlink"/>
            <w:color w:val="0645AD"/>
            <w:u w:val="single"/>
          </w:rPr>
          <w:t xml:space="preserve">12 U.S.C. 5390; 12 CFR 380.7(a)</w:t>
        </w:r>
      </w:hyperlink>
      <w:r>
        <w:t xml:space="preserve">), with a director presumed substantially responsible if board chairman, adjudged liable for breaching the duty of loyalty, or removed under 12 U.S.C. 5386(5); the FDIC may recover compensation received during the two-year period before its appointment, or for an unlimited period in fraud cases. For savings associations, refusal to surrender property to a conservator or receiver is punishable by fine, imprisonment, or both (</w:t>
      </w:r>
      <w:hyperlink r:id="rId44">
        <w:r>
          <w:rPr>
            <w:rStyle w:val="Hyperlink"/>
            <w:color w:val="0645AD"/>
            <w:u w:val="single"/>
          </w:rPr>
          <w:t xml:space="preserve">12 USC 1464(d)(4)</w:t>
        </w:r>
      </w:hyperlink>
      <w:r>
        <w:t xml:space="preserve">).</w:t>
      </w:r>
    </w:p>
    <w:bookmarkEnd w:id="236"/>
    <w:bookmarkStart w:id="237" w:name="criminal-liability-false-entries"/>
    <w:p>
      <w:pPr>
        <w:pStyle w:val="Heading3"/>
      </w:pPr>
      <w:r>
        <w:t xml:space="preserve">18.5 Criminal Liability — False Entries</w:t>
      </w:r>
    </w:p>
    <w:p>
      <w:pPr>
        <w:pStyle w:val="FirstParagraph"/>
      </w:pPr>
      <w:r>
        <w:t xml:space="preserve">Every director of a BHC is subject to the same criminal penalties for false entries as directors of member banks under 18 U.S.C. 1005 (</w:t>
      </w:r>
      <w:hyperlink r:id="rId42">
        <w:r>
          <w:rPr>
            <w:rStyle w:val="Hyperlink"/>
            <w:color w:val="0645AD"/>
            <w:u w:val="single"/>
          </w:rPr>
          <w:t xml:space="preserve">12 U.S.C. 1847(a)(2)</w:t>
        </w:r>
      </w:hyperlink>
      <w:r>
        <w:t xml:space="preserve">).</w:t>
      </w:r>
    </w:p>
    <w:bookmarkEnd w:id="237"/>
    <w:bookmarkStart w:id="238" w:name="cross-reference-and-burden-overlap-map"/>
    <w:p>
      <w:pPr>
        <w:pStyle w:val="Heading3"/>
      </w:pPr>
      <w:r>
        <w:t xml:space="preserve">18.6 Cross-Reference and Burden-Overlap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Governance objective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Vehicle 1</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Vehicle 2</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Vehicle 3</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 prudence / care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Common-law duty of care, OCC Director’s Book, p. 36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II monetary liability,</w:t>
            </w:r>
            <w:r>
              <w:t xml:space="preserve"> </w:t>
            </w:r>
            <w:r>
              <w:rPr>
                <w:i/>
                <w:iCs/>
              </w:rPr>
              <w:t xml:space="preserve">gross negligence</w:t>
            </w:r>
            <w:r>
              <w:t xml:space="preserve">, 12 USC 5390(f)(1)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Title II recoupment,</w:t>
            </w:r>
            <w:r>
              <w:t xml:space="preserve"> </w:t>
            </w:r>
            <w:r>
              <w:rPr>
                <w:i/>
                <w:iCs/>
              </w:rPr>
              <w:t xml:space="preserve">negligence</w:t>
            </w:r>
            <w:r>
              <w:t xml:space="preserve">, 12 U.S.C. 5390(s); 12 CFR 380.7(a)</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 loyalty / no self-dealing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Duty of loyalty, OCC Director’s Book, p. 36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Corporate-opportunity prohibition, 12 CFR 163.200–163.201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NYSE confidentiality duty, NYSE Section 202.02(B)</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Indemnification of culpable directors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359 prohibition, 61 FR 5933, Sec. 359.3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359 board determinations/counsel review, 61 FR 5926, Sec. 359.5(a)–(d)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Statutory fee-shifting, 12 U.S.C. 1818(n)</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Director financial backstop</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D&amp;O coverage analysis, OCC Director’s Book, p. 111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Fidelity-bond personal liability, OCC Director’s Book, p. 112 (supervisory expectation)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Records integrity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Criminal false-entry liability, 12 U.S.C. 1847(a)(2)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Fiduciary-audit minute-recording, 12 CFR Part 9.9 (binding); OCC Director’s Book, p. 108 (explanatory)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r>
    </w:tbl>
    <w:p>
      <w:pPr>
        <w:pStyle w:val="BodyText"/>
      </w:pPr>
      <w:r>
        <w:rPr>
          <w:b/>
          <w:bCs/>
        </w:rPr>
        <w:t xml:space="preserve">Cross-cutting diagnosis.</w:t>
      </w:r>
      <w:r>
        <w:t xml:space="preserve"> </w:t>
      </w:r>
      <w:r>
        <w:t xml:space="preserve">The same prudence objective is enforced through three distinct federal mechanisms with two distinct culpability standards (gross negligence for monetary damages; simple negligence for recoupment), and the loyalty objective through duplicative banking-regulatory and securities-SRO channels. The chief internal tension is between 12 U.S.C. 1818(n)’s authorization of court-awarded director fee-shifting and Part 359’s prohibition on indemnifying culpable IAPs.</w:t>
      </w:r>
    </w:p>
    <w:bookmarkEnd w:id="238"/>
    <w:bookmarkEnd w:id="239"/>
    <w:bookmarkStart w:id="240" w:name="X8128e3bfdd0964c5026cfb5094d6080a1f66582"/>
    <w:p>
      <w:pPr>
        <w:pStyle w:val="Heading2"/>
      </w:pPr>
      <w:r>
        <w:t xml:space="preserve">Section 19: Proposed, Pending, and Recently Rescinded Obligations: Deregulatory Developments 2024–2026</w:t>
      </w:r>
    </w:p>
    <w:p>
      <w:pPr>
        <w:pStyle w:val="FirstParagraph"/>
      </w:pPr>
      <w:r>
        <w:t xml:space="preserve">This section isolates obligations that are not settled in-force law — either adopted for rescission or remaining at the proposal stage. For burden-reduction analysis, a recently rescinded mandate marks a domain where the agencies have conceded redundancy or excessive prescription, and a long-pending proposal marks unresolved exposure that reform advocates may wish to see formally withdrawn.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Obligation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Functional Domain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Source / Vehicle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Issuing Agency</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Status</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Effect on Board Duties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Board-level recovery planning standards (Part 30, Appendix 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Recovery and Resolution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08">
              <w:r>
                <w:rPr>
                  <w:rStyle w:val="Hyperlink"/>
                  <w:color w:val="0645AD"/>
                  <w:u w:val="single"/>
                </w:rPr>
                <w:t xml:space="preserve">Rescission of OCC Recovery Planning Guidelines</w:t>
              </w:r>
            </w:hyperlink>
            <w:r>
              <w:t xml:space="preserve">;</w:t>
            </w:r>
            <w:r>
              <w:t xml:space="preserve"> </w:t>
            </w:r>
            <w:hyperlink r:id="rId208">
              <w:r>
                <w:rPr>
                  <w:rStyle w:val="Hyperlink"/>
                  <w:color w:val="0645AD"/>
                  <w:u w:val="single"/>
                </w:rPr>
                <w:t xml:space="preserve">91 FR 16156</w:t>
              </w:r>
            </w:hyperlink>
            <w:r>
              <w:t xml:space="preserve"> </w:t>
            </w:r>
            <w:r>
              <w:t xml:space="preserve">(document 2026-06281, effective May 1, 2026)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Rescinded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Eliminates the OCC’s enforceable appendix-based recovery-planning standards; institutions remain responsible for managing risks to their business models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written management assessment of the incentive-based compensation program to the compensation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Executive and Incentive 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hyperlink r:id="rId181">
              <w:r>
                <w:rPr>
                  <w:rStyle w:val="Hyperlink"/>
                  <w:color w:val="0645AD"/>
                  <w:u w:val="single"/>
                </w:rPr>
                <w:t xml:space="preserve">81 FR 37669, § __.10(b)(2)</w:t>
              </w:r>
            </w:hyperlink>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Joint (§956 agencies)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Proposed — never finalized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Would obligate Level 1/Level 2 compensation committees to obtain a written program assessment</w:t>
            </w:r>
          </w:p>
        </w:tc>
      </w:tr>
    </w:tbl>
    <w:p>
      <w:pPr>
        <w:pStyle w:val="BodyText"/>
      </w:pPr>
      <w:r>
        <w:t xml:space="preserve">These items span opposite ends of the deregulatory lifecycle. The OCC recovery-planning rescission is an affirmative removal of a board-level mandate on the premise that the underlying governance objective survives without the specific vehicle — the redundancy rationale animating burden-reduction reform. The §956 proposal is a never-consummated expansion of compensation-committee duties that has lingered without resolution. Neither presently binds a Category I G-SIB board, and both should be excluded from the inventory of enforceable in-force duties.</w:t>
      </w:r>
    </w:p>
    <w:bookmarkEnd w:id="240"/>
    <w:bookmarkStart w:id="248" w:name="X9f7342cbcc36f97759a7a27badf95c331ea90fd"/>
    <w:p>
      <w:pPr>
        <w:pStyle w:val="Heading2"/>
      </w:pPr>
      <w:r>
        <w:t xml:space="preserve">Section 20: Cross-Regulator Overlap and Cumulative Burden Analysis</w:t>
      </w:r>
    </w:p>
    <w:p>
      <w:pPr>
        <w:pStyle w:val="FirstParagraph"/>
      </w:pPr>
      <w:r>
        <w:t xml:space="preserve">The preceding sections inventoried, domain by domain, the discrete federal obligations imposed on G-SIB boards. This concluding section synthesizes where the same governance objective is pursued by more than one regulator through more than one regulatory vehicle, and identifies the structural patterns generating cumulative board burden.</w:t>
      </w:r>
    </w:p>
    <w:p>
      <w:pPr>
        <w:pStyle w:val="BodyText"/>
      </w:pPr>
      <w:r>
        <w:t xml:space="preserve">A foundational caveat governs this analysis. The thesis is not that any single board obligation is unnecessary in isolation; most rest on a defensible supervisory rationale. The burden-reduction argument is cumulative and architectural: the aggregation of substantively similar mandates, issued by multiple agencies under separate authorities and policed through separate examination and enforcement channels, produces compliance cost, board-time consumption, and legal-exposure layering that may exceed the marginal supervisory benefit of the redundancy.</w:t>
      </w:r>
      <w:r>
        <w:t xml:space="preserve"> </w:t>
      </w:r>
      <w:r>
        <w:t xml:space="preserve">“</w:t>
      </w:r>
      <w:r>
        <w:t xml:space="preserve">Duplicative</w:t>
      </w:r>
      <w:r>
        <w:t xml:space="preserve">”</w:t>
      </w:r>
      <w:r>
        <w:t xml:space="preserve"> </w:t>
      </w:r>
      <w:r>
        <w:t xml:space="preserve">and</w:t>
      </w:r>
      <w:r>
        <w:t xml:space="preserve"> </w:t>
      </w:r>
      <w:r>
        <w:t xml:space="preserve">“</w:t>
      </w:r>
      <w:r>
        <w:t xml:space="preserve">overlapping</w:t>
      </w:r>
      <w:r>
        <w:t xml:space="preserve">”</w:t>
      </w:r>
      <w:r>
        <w:t xml:space="preserve"> </w:t>
      </w:r>
      <w:r>
        <w:t xml:space="preserve">here refer to the substantive governance objective addressed, not necessarily verbatim textual identity; in many instances the regulators have deliberately calibrated requirements differently, and collapsing them would require choosing which agency’s formulation survives.</w:t>
      </w:r>
    </w:p>
    <w:bookmarkStart w:id="241" w:name="structural-drivers-of-cumulative-burden"/>
    <w:p>
      <w:pPr>
        <w:pStyle w:val="Heading3"/>
      </w:pPr>
      <w:r>
        <w:t xml:space="preserve">20.1 Structural Drivers of Cumulative Burden</w:t>
      </w:r>
    </w:p>
    <w:p>
      <w:pPr>
        <w:pStyle w:val="FirstParagraph"/>
      </w:pPr>
      <w:r>
        <w:rPr>
          <w:b/>
          <w:bCs/>
        </w:rPr>
        <w:t xml:space="preserve">A. Multi-regulator charter architecture.</w:t>
      </w:r>
      <w:r>
        <w:t xml:space="preserve"> </w:t>
      </w:r>
      <w:r>
        <w:t xml:space="preserve">A Category I G-SIB is simultaneously a Federal Reserve-supervised BHC, the parent of OCC/FDIC-supervised IDIs, a CFPB-covered person, and a publicly listed SEC/exchange issuer. Each supervisor has independent authority to impose board-level governance expectations on the same enterprise, and the board receives the cumulative load.</w:t>
      </w:r>
      <w:r>
        <w:t xml:space="preserve"> </w:t>
      </w:r>
      <w:r>
        <w:rPr>
          <w:b/>
          <w:bCs/>
        </w:rPr>
        <w:t xml:space="preserve">B. The</w:t>
      </w:r>
      <w:r>
        <w:rPr>
          <w:b/>
          <w:bCs/>
        </w:rPr>
        <w:t xml:space="preserve"> </w:t>
      </w:r>
      <w:r>
        <w:rPr>
          <w:b/>
          <w:bCs/>
        </w:rPr>
        <w:t xml:space="preserve">“</w:t>
      </w:r>
      <w:r>
        <w:rPr>
          <w:b/>
          <w:bCs/>
        </w:rPr>
        <w:t xml:space="preserve">tone at the top</w:t>
      </w:r>
      <w:r>
        <w:rPr>
          <w:b/>
          <w:bCs/>
        </w:rPr>
        <w:t xml:space="preserve">”</w:t>
      </w:r>
      <w:r>
        <w:rPr>
          <w:b/>
          <w:bCs/>
        </w:rPr>
        <w:t xml:space="preserve"> </w:t>
      </w:r>
      <w:r>
        <w:rPr>
          <w:b/>
          <w:bCs/>
        </w:rPr>
        <w:t xml:space="preserve">governance template.</w:t>
      </w:r>
      <w:r>
        <w:t xml:space="preserve"> </w:t>
      </w:r>
      <w:r>
        <w:t xml:space="preserve">Each regulator has adopted a structurally identical template — approve a written framework, oversee implementation, receive periodic reporting, ensure resourcing and independent challenge — replicated domain by domain.</w:t>
      </w:r>
      <w:r>
        <w:t xml:space="preserve"> </w:t>
      </w:r>
      <w:r>
        <w:rPr>
          <w:b/>
          <w:bCs/>
        </w:rPr>
        <w:t xml:space="preserve">C. Board/management allocation drift.</w:t>
      </w:r>
      <w:r>
        <w:t xml:space="preserve"> </w:t>
      </w:r>
      <w:r>
        <w:t xml:space="preserve">Reform efforts (SR 21-3, OCC heightened standards, the 2024–2026 deregulatory developments) have redistributed responsibilities toward management, but older domain-specific approve-and-oversee mandates were not always conformed.</w:t>
      </w:r>
      <w:r>
        <w:t xml:space="preserve"> </w:t>
      </w:r>
      <w:r>
        <w:rPr>
          <w:b/>
          <w:bCs/>
        </w:rPr>
        <w:t xml:space="preserve">D. Rulemaking-by-layering.</w:t>
      </w:r>
      <w:r>
        <w:t xml:space="preserve"> </w:t>
      </w:r>
      <w:r>
        <w:t xml:space="preserve">New mandates have been added through new SR letters, bulletins, and appendices rather than consolidation of the existing corpus.</w:t>
      </w:r>
    </w:p>
    <w:bookmarkEnd w:id="241"/>
    <w:bookmarkStart w:id="242" w:name="master-cross-regulator-overlap-matrix"/>
    <w:p>
      <w:pPr>
        <w:pStyle w:val="Heading3"/>
      </w:pPr>
      <w:r>
        <w:t xml:space="preserve">20.2 Master Cross-Regulator Overlap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Governance Objective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Federal Reserve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OCC</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FDIC</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CFPB</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SEC / Exchange</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Nature of Overlap</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Cross-Ref</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&amp; oversee enterprise risk-appetite framework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21-3; Reg YY / §165 risk committee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Part 30 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Three supervisors of one enterprise; HC/bank vertical duplication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 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Approve &amp; oversee enterprise risk-management framework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21-3; LFI rating (proposed)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Parallel HC/bank frameworks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 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Capital plan / capital adequacy approval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Reg Q / Reg YY capital-plan rule; CCAR</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approval at HC and bank tiers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Liquidity risk tolerance &amp; contingency funding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Reg YY enhanced liquidity standards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HC/bank duplication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Credit risk / concentration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guidance; §165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Bank-level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Parallel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Internal audit oversight &amp; audit-committee duties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21-3 / SR 95-51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363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 §10A / NYSE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Quadruple overlap</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 16</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BSA/AML program approval &amp;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326.8 / 211.5(m)(1)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21.21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CFR 326.8(b)(1)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Each prudential regulator requires board approval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IT / cybersecurity governance &amp; incident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225 App. F; SR 21-3; 36-hour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30 App. 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364 App. B; 36-hour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 cyber disclosure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Same incident, multiple regimes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Third-party / vendor risk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2023 Interagency Third-Party Guidance (joint)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Same joint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Same joint guidance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Consolidated — a reform model</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Incentive-compensation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Interagency Guidance (2010); Reg YY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Same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Same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SEC clawback; comp-committee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Multiple regimes; §956 proposed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 16</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Consumer compliance management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12-17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compliance expectations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compliance expectations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CFPB CMS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Prudential + CFPB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Recovery &amp; resolution planning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§165(d) joint rule; SR 14-8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30 App. E — rescinded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§165(d) joint rule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Overlap reduced by OCC rescission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 19</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Model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(supersedes SR 11-7, Apr. 17, 2026)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OCC Bulletin 2026-13 (rescinds OCC Bulletin 2011-12, Apr. 17, 2026)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FDIC adoption (SR 26-2)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Interagency-adopted standard; predecessor instruments SR 11-7 and OCC Bulletin 2011-12 are no longer operative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Board composition / independence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§165 risk-committee independence; Reg YY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App. D</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Part 363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Exchange independence; SEC committee rules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Prudential + securities</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 15, 16</w:t>
            </w:r>
          </w:p>
        </w:tc>
      </w:tr>
    </w:tbl>
    <w:bookmarkEnd w:id="242"/>
    <w:bookmarkStart w:id="243" w:name="the-principal-overlap-patterns"/>
    <w:p>
      <w:pPr>
        <w:pStyle w:val="Heading3"/>
      </w:pPr>
      <w:r>
        <w:t xml:space="preserve">20.3 The Principal Overlap Patterns</w:t>
      </w:r>
    </w:p>
    <w:p>
      <w:pPr>
        <w:pStyle w:val="FirstParagraph"/>
      </w:pPr>
      <w:r>
        <w:rPr>
          <w:b/>
          <w:bCs/>
        </w:rPr>
        <w:t xml:space="preserve">Vertical duplication (HC/IDI).</w:t>
      </w:r>
      <w:r>
        <w:t xml:space="preserve"> </w:t>
      </w:r>
      <w:r>
        <w:t xml:space="preserve">The single most pervasive overlap is vertical: nearly every governance objective is imposed once at the holding-company level (Federal Reserve) and again at the IDI level (OCC/FDIC). A G-SIB maintains a holding-company board and one or more bank-subsidiary boards, each independently discharging parallel approval, oversight, reporting, and resourcing duties. The OCC’s Appendix D reliance accommodation is a partial mitigant; the bank board’s independent legal responsibility is not eliminated.</w:t>
      </w:r>
    </w:p>
    <w:p>
      <w:pPr>
        <w:pStyle w:val="BodyText"/>
      </w:pPr>
      <w:r>
        <w:rPr>
          <w:b/>
          <w:bCs/>
        </w:rPr>
        <w:t xml:space="preserve">The risk-appetite/risk-framework triple mandate.</w:t>
      </w:r>
      <w:r>
        <w:t xml:space="preserve"> </w:t>
      </w:r>
      <w:r>
        <w:t xml:space="preserve">The obligation to approve and oversee enterprise risk-appetite and risk-management frameworks is imposed through the Federal Reserve’s board-effectiveness and LFI expectations, the OCC’s Part 30 Appendix D, and the §165/Regulation YY risk-committee mandate — singular behavioral expectation, triplicated compliance and examination footprint.</w:t>
      </w:r>
    </w:p>
    <w:p>
      <w:pPr>
        <w:pStyle w:val="BodyText"/>
      </w:pPr>
      <w:r>
        <w:rPr>
          <w:b/>
          <w:bCs/>
        </w:rPr>
        <w:t xml:space="preserve">Audit-committee quadruple overlap.</w:t>
      </w:r>
      <w:r>
        <w:t xml:space="preserve"> </w:t>
      </w:r>
      <w:r>
        <w:t xml:space="preserve">A listed national-bank G-SIB’s audit committee must satisfy Federal Reserve internal-audit oversight expectations, OCC Appendix D, FDIC Part 363, and SEC/exchange listing requirements — four regulators prescribing overlapping and in places materially different composition and duty standards for one committee.</w:t>
      </w:r>
    </w:p>
    <w:p>
      <w:pPr>
        <w:pStyle w:val="BodyText"/>
      </w:pPr>
      <w:r>
        <w:rPr>
          <w:b/>
          <w:bCs/>
        </w:rPr>
        <w:t xml:space="preserve">BSA/AML triple codification.</w:t>
      </w:r>
      <w:r>
        <w:t xml:space="preserve"> </w:t>
      </w:r>
      <w:r>
        <w:t xml:space="preserve">Each banking agency separately requires board approval of a written BSA/AML program addressing the identical unitary program.</w:t>
      </w:r>
    </w:p>
    <w:p>
      <w:pPr>
        <w:pStyle w:val="BodyText"/>
      </w:pPr>
      <w:r>
        <w:rPr>
          <w:b/>
          <w:bCs/>
        </w:rPr>
        <w:t xml:space="preserve">Incident-notification and cyber-oversight convergence.</w:t>
      </w:r>
      <w:r>
        <w:t xml:space="preserve"> </w:t>
      </w:r>
      <w:r>
        <w:t xml:space="preserve">A single material cyber incident can trigger both the interagency 36-hour notification rule and the SEC’s cybersecurity disclosure and board-oversight-disclosure regime — overlap coupled with non-aligned operational mechanics.</w:t>
      </w:r>
    </w:p>
    <w:p>
      <w:pPr>
        <w:pStyle w:val="BodyText"/>
      </w:pPr>
      <w:r>
        <w:rPr>
          <w:b/>
          <w:bCs/>
        </w:rPr>
        <w:t xml:space="preserve">Compensation-governance multiplicity and consumer-compliance double coverage.</w:t>
      </w:r>
      <w:r>
        <w:t xml:space="preserve"> </w:t>
      </w:r>
      <w:r>
        <w:t xml:space="preserve">Incentive-compensation governance converges across the 2010 interagency guidance, Regulation YY, and the SEC clawback and committee-independence regimes; consumer-compliance oversight is imposed by both the prudential regulator and the CFPB.</w:t>
      </w:r>
    </w:p>
    <w:bookmarkEnd w:id="243"/>
    <w:bookmarkStart w:id="244" w:name="the-cumulative-count-problem"/>
    <w:p>
      <w:pPr>
        <w:pStyle w:val="Heading3"/>
      </w:pPr>
      <w:r>
        <w:t xml:space="preserve">20.4 The Cumulative-Count Problem</w:t>
      </w:r>
    </w:p>
    <w:p>
      <w:pPr>
        <w:pStyle w:val="FirstParagraph"/>
      </w:pPr>
      <w:r>
        <w:t xml:space="preserve">The following domain-by-domain count is derived directly from the in-force obligations inventoried in Sections 3 through 17 above. Each entry counts only discrete, separately documented board or committee actions required at least annually (or more frequently) by a binding statute, codified regulation, or supervisory guidance document; proposed, withdrawn, and rescinded items are excluded. The count is conservative: it counts each distinct regulatory vehicle once even where multiple agencies impose the same duty, and it counts committee-level actions (audit committee, risk committee, compensation committee) only where the committee action is separately documented from the full-board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Domain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Section</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Representative in-force obligations counted</w:t>
            </w:r>
          </w:p>
        </w:tc>
        <w:tc>
          <w:tcPr>
            <w:tcBorders>
              <w:top w:val="single" w:sz="4" w:space="0" w:color="CCCCCC"/>
              <w:bottom w:val="single" w:sz="4" w:space="0" w:color="CCCCCC"/>
              <w:left w:val="single" w:sz="4" w:space="0" w:color="CCCCCC"/>
              <w:right w:val="single" w:sz="4" w:space="0" w:color="CCCCCC"/>
            </w:tcBorders>
            <w:shd w:fill="F2F2F2" w:val="clear"/>
          </w:tcPr>
          <w:p>
            <w:pPr>
              <w:pStyle w:val="Compact"/>
              <w:jc w:val="left"/>
            </w:pPr>
            <w:r>
              <w:rPr>
                <w:b/>
              </w:rPr>
              <w:t xml:space="preserve">HC-tier annual actions</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Enterprise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 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risk-appetite approval (OCC App. D §II.G.1); annual strategic plan approval (OCC App. D §II.D); annual self-assessment (OCC App. D §III.F); annual training program (OCC App. D §III.E); SR 21-3 significant-policy approvals (capital plan, recovery plan, audit plan, ERM policies, liquidity policies, compliance program, compensation programs); SR 21-3 CEO/executive performance objectives; SR 21-3 succession plan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Capital planning and stress testing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capital plan approval (§ 225.8(e)(1)(iii)); annual IRB-systems review (OCC Rule 3.122(i)(2)); supervisory stress-test results consideration (§ 252.47(a)); company-run stress-test policy review/approval (§ 252.56(c)(2))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Liquidity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liquidity risk tolerance approval (§ 252.34(a)(1)(i)); semi-annual operating-within-tolerance review (§ 252.34(a)(1)(ii)); periodic strategy/policy approval (§ 252.34(a)(2)); annual contingency funding plan approval (§ 252.34(b)); annual correspondent-exposure policy review (Regulation F)</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Credit risk oversight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credit risk review policy approval (85 FR 33278); quarterly credit risk review results receipt (85 FR 33278); annual ACL policy approval (88 FR 25479); annual real estate lending policy approval (OCC Rule 160.101); 14-month insider-credit approval cycle (Regulation O)</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~6</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Internal audit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§8</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audit plan approval (OCC App. D §I.E.8(b)); annual CAE compensation approval (OCC App. D §I.E.8(c)); annual external auditor appointment/compensation oversight (Part 363 Guideline 31); annual audit committee independence determination (Part 363 Guideline 27); annual fiduciary audit results noted in minutes (12 CFR § 9.9)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~5</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BSA/AML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§9</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BSA/AML program approval (12 CFR 21.21); periodic SAR notification receipt (OCC Rule 21.11(h)(1))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~2+</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IT and cybersecurity</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information security program approval (12 CFR Part 225, App. F §III.A); annual security program status report receipt (12 CFR Part 225, App. F §III.F); annual disaster recovery/BCP review (OCC App. B §III.B); annual security officer report (12 CFR 326.4)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Third-party risk management</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§11</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policy approval (88 FR 37920); periodic critical-activity plan review/approval (88 FR 37920); periodic due-diligence summary review (88 FR 37920); periodic independent review results receipt (88 FR 37920)</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Executive and incentive compensation</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§12</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CEO/executive compensation approval (OCC App. D §II.L); annual compensation program review/approval (OCC App. D §II.L); annual compensation committee report (Reg S-K Item 407(e)(5)); annual NYSE compensation committee self-evaluation (NYSE § 303A.05(b))</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~4</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Consumer compliance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§13</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Annual identity theft prevention program approval (12 CFR 41.90(d)); annual Volcker compliance program review (17 CFR Part 75, App. Z); annual RNDIP policy approval (Comptroller’s Handbook)</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~3</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Recovery and resolution planning</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§14</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Resolution plan approval before each submission (12 CFR 243.4(f); 12 CFR 381.4(f)); recovery planning oversight (SR 14-8). Note: domestic GSIBs are biennial filers under 12 CFR 243.4(a) – board approval is required every two years (alternating full and targeted plans), not annually. Counted here as ~1 action per year on a two-year average.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Model risk governance</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§17</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SR 26-2 and OCC Bulletin 2026-13 are expressly non-prescriptive and non-enforceable; they do not set binding board-approval mandates. Sound practices described therein (periodic policy review, periodic reporting receipt) are excluded from this count because they do not constitute enforceable board obligations. Any enforceable duty in this domain derives from the applicable safety-and-soundness statutes and regulations (e.g., 12 U.S.C. 1831p-1; 12 CFR Part 30, Appendix D), which are already counted in the enterprise risk governance row.</w:t>
            </w:r>
          </w:p>
        </w:tc>
        <w:tc>
          <w:tcPr>
            <w:tcBorders>
              <w:top w:val="single" w:sz="4" w:space="0" w:color="CCCCCC"/>
              <w:bottom w:val="single" w:sz="4" w:space="0" w:color="CCCCCC"/>
              <w:left w:val="single" w:sz="4" w:space="0" w:color="CCCCCC"/>
              <w:right w:val="single" w:sz="4" w:space="0" w:color="CCCCCC"/>
            </w:tcBorders>
          </w:tcPr>
          <w:p>
            <w:pPr>
              <w:pStyle w:val="Compact"/>
              <w:jc w:val="left"/>
            </w:pPr>
            <w:r>
              <w:t xml:space="preserve">Excluded</w:t>
            </w:r>
          </w:p>
        </w:tc>
      </w:tr>
      <w:tr>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HC-tier subtotal</w:t>
            </w:r>
          </w:p>
        </w:tc>
        <w:tc>
          <w:tcPr>
            <w:tcBorders>
              <w:top w:val="single" w:sz="4" w:space="0" w:color="CCCCCC"/>
              <w:bottom w:val="single" w:sz="4" w:space="0" w:color="CCCCCC"/>
              <w:left w:val="single" w:sz="4" w:space="0" w:color="CCCCCC"/>
              <w:right w:val="single" w:sz="4" w:space="0" w:color="CCCCCC"/>
            </w:tcBorders>
          </w:tcPr>
          <w:p>
            <w:pPr>
              <w:pStyle w:val="Compact"/>
            </w:pPr>
          </w:p>
        </w:tc>
        <w:tc>
          <w:tcPr>
            <w:tcBorders>
              <w:top w:val="single" w:sz="4" w:space="0" w:color="CCCCCC"/>
              <w:bottom w:val="single" w:sz="4" w:space="0" w:color="CCCCCC"/>
              <w:left w:val="single" w:sz="4" w:space="0" w:color="CCCCCC"/>
              <w:right w:val="single" w:sz="4" w:space="0" w:color="CCCCCC"/>
            </w:tcBorders>
          </w:tcPr>
          <w:p>
            <w:pPr>
              <w:pStyle w:val="Compact"/>
            </w:pPr>
          </w:p>
        </w:tc>
        <w:tc>
          <w:tcPr>
            <w:tcBorders>
              <w:top w:val="single" w:sz="4" w:space="0" w:color="CCCCCC"/>
              <w:bottom w:val="single" w:sz="4" w:space="0" w:color="CCCCCC"/>
              <w:left w:val="single" w:sz="4" w:space="0" w:color="CCCCCC"/>
              <w:right w:val="single" w:sz="4" w:space="0" w:color="CCCCCC"/>
            </w:tcBorders>
          </w:tcPr>
          <w:p>
            <w:pPr>
              <w:pStyle w:val="Compact"/>
              <w:jc w:val="left"/>
            </w:pPr>
            <w:r>
              <w:rPr>
                <w:b/>
                <w:bCs/>
              </w:rPr>
              <w:t xml:space="preserve">~50</w:t>
            </w:r>
          </w:p>
        </w:tc>
      </w:tr>
    </w:tbl>
    <w:p>
      <w:pPr>
        <w:pStyle w:val="BodyText"/>
      </w:pPr>
      <w:r>
        <w:t xml:space="preserve">At the IDI tier, the OCC’s Appendix D imposes parallel approve-oversee-report duties on the bank-subsidiary board independently of the holding-company board. Where the 95-percent reliance accommodation is unavailable (the conservative assumption for a G-SIB whose bank subsidiary is not substantially coextensive with the consolidated enterprise), the IDI board independently discharges approximately 20 to 25 of the same actions cataloged above. Adding the IDI-tier parallel actions produces a combined annual count of approximately 70 to 75 discrete, separately documented board and committee actions across both tiers. This count is auditable by cross-referencing the domain rows above to the specific citations in Sections 3 through 17. It does not include proposed, withdrawn, or rescinded items; it does not double-count obligations where a single regulatory vehicle imposes a duty on both the HC and IDI boards; it excludes non-enforceable sound-practice guidance (SR 26-2 and OCC Bulletin 2026-13 model risk items); and it correctly reflects the biennial filing cadence for domestic GSIB resolution plans under 12 CFR 243.4(a) (board approval required every two years, not annually). The burden is concentrated not in any single onerous mandate but in the sheer multiplicity of separately documented and separately examined board actions, each carrying its own examination criticism and personal-liability exposure (Section 18).</w:t>
      </w:r>
    </w:p>
    <w:bookmarkEnd w:id="244"/>
    <w:bookmarkStart w:id="245" w:name="X1dc87c1a60ed37d4e5b926a4f8b57b0a9353b4f"/>
    <w:p>
      <w:pPr>
        <w:pStyle w:val="Heading3"/>
      </w:pPr>
      <w:r>
        <w:t xml:space="preserve">20.5 Recent Consolidation Precedents as Reform Models</w:t>
      </w:r>
    </w:p>
    <w:p>
      <w:pPr>
        <w:pStyle w:val="FirstParagraph"/>
      </w:pPr>
      <w:r>
        <w:t xml:space="preserve">Two developments demonstrate that consolidation is achievable within the existing architecture. The</w:t>
      </w:r>
      <w:r>
        <w:t xml:space="preserve"> </w:t>
      </w:r>
      <w:r>
        <w:rPr>
          <w:b/>
          <w:bCs/>
        </w:rPr>
        <w:t xml:space="preserve">2023 Interagency Third-Party Risk Management Guidance</w:t>
      </w:r>
      <w:r>
        <w:t xml:space="preserve"> </w:t>
      </w:r>
      <w:r>
        <w:t xml:space="preserve">replaced separate agency-specific frameworks with a single joint document (Section 11) — the cleanest model of horizontal consolidation. The</w:t>
      </w:r>
      <w:r>
        <w:t xml:space="preserve"> </w:t>
      </w:r>
      <w:r>
        <w:rPr>
          <w:b/>
          <w:bCs/>
        </w:rPr>
        <w:t xml:space="preserve">2024–2026 deregulatory rescissions</w:t>
      </w:r>
      <w:r>
        <w:t xml:space="preserve"> </w:t>
      </w:r>
      <w:r>
        <w:t xml:space="preserve">— the OCC’s rescission of its recovery-planning Guidelines (Sections 14, 19) and the OCC’s removal of reputation risk from its supervisory framework — demonstrate the supersede-and-rescind discipline that retires layers rather than adding to them.</w:t>
      </w:r>
    </w:p>
    <w:bookmarkEnd w:id="245"/>
    <w:bookmarkStart w:id="246" w:name="X76ab70bd075789fff855ac8d5bc426250e64706"/>
    <w:p>
      <w:pPr>
        <w:pStyle w:val="Heading3"/>
      </w:pPr>
      <w:r>
        <w:t xml:space="preserve">20.6 Gray Areas and the Limits of the Duplication Thesis</w:t>
      </w:r>
    </w:p>
    <w:p>
      <w:pPr>
        <w:pStyle w:val="FirstParagraph"/>
      </w:pPr>
      <w:r>
        <w:t xml:space="preserve">Sophisticated reform requires distinguishing genuine redundancy from deliberate differentiation. First, the HC/IDI vertical duplication reflects a genuine statutory division of labor: the Federal Reserve’s consolidated-supervision mandate and the OCC/FDIC chartered-entity and deposit-insurance mandates protect partly different interests, and an independent IDI-board duty has an articulable deposit-insurance rationale. Second, where the same objective is addressed by different standards — most acutely the divergent audit-committee independence/expertise definitions and the divergent cyber-incident timelines —</w:t>
      </w:r>
      <w:r>
        <w:t xml:space="preserve"> </w:t>
      </w:r>
      <w:r>
        <w:t xml:space="preserve">“</w:t>
      </w:r>
      <w:r>
        <w:t xml:space="preserve">harmonization</w:t>
      </w:r>
      <w:r>
        <w:t xml:space="preserve">”</w:t>
      </w:r>
      <w:r>
        <w:t xml:space="preserve"> </w:t>
      </w:r>
      <w:r>
        <w:t xml:space="preserve">is selection, not deletion. Third, much of the overlap derives from supervisory guidance, which the agencies may consolidate or rescind unilaterally. Fourth, several of the most cited overlaps are anchored in statute (§165, the BSA, Part 363, the SEC compensation-governance listing standards) and require legislation.</w:t>
      </w:r>
    </w:p>
    <w:bookmarkEnd w:id="246"/>
    <w:bookmarkStart w:id="247" w:name="reform-pathways-a-tiered-hierarchy"/>
    <w:p>
      <w:pPr>
        <w:pStyle w:val="Heading3"/>
      </w:pPr>
      <w:r>
        <w:t xml:space="preserve">20.7 Reform Pathways: A Tiered Hierarchy</w:t>
      </w:r>
    </w:p>
    <w:p>
      <w:pPr>
        <w:pStyle w:val="Compact"/>
        <w:numPr>
          <w:ilvl w:val="0"/>
          <w:numId w:val="1004"/>
        </w:numPr>
      </w:pPr>
      <w:r>
        <w:rPr>
          <w:b/>
          <w:bCs/>
        </w:rPr>
        <w:t xml:space="preserve">Guidance-layer consolidation (agency-curable, lowest cost):</w:t>
      </w:r>
      <w:r>
        <w:t xml:space="preserve"> </w:t>
      </w:r>
      <w:r>
        <w:t xml:space="preserve">collapse parallel SR-letter/bulletin/interagency-statement expectations into single interagency guidance on the 2023 third-party-risk model — candidates include risk-appetite/risk-framework guidance, incentive-compensation guidance, and internal-audit guidance.</w:t>
      </w:r>
    </w:p>
    <w:p>
      <w:pPr>
        <w:pStyle w:val="Compact"/>
        <w:numPr>
          <w:ilvl w:val="0"/>
          <w:numId w:val="1004"/>
        </w:numPr>
      </w:pPr>
      <w:r>
        <w:rPr>
          <w:b/>
          <w:bCs/>
        </w:rPr>
        <w:t xml:space="preserve">Guidance retirement (agency-curable):</w:t>
      </w:r>
      <w:r>
        <w:t xml:space="preserve"> </w:t>
      </w:r>
      <w:r>
        <w:t xml:space="preserve">continue the rescind discipline exemplified by the OCC recovery-planning rescission.</w:t>
      </w:r>
    </w:p>
    <w:p>
      <w:pPr>
        <w:pStyle w:val="Compact"/>
        <w:numPr>
          <w:ilvl w:val="0"/>
          <w:numId w:val="1004"/>
        </w:numPr>
      </w:pPr>
      <w:r>
        <w:rPr>
          <w:b/>
          <w:bCs/>
        </w:rPr>
        <w:t xml:space="preserve">Rule-layer harmonization (agency rulemaking):</w:t>
      </w:r>
      <w:r>
        <w:t xml:space="preserve"> </w:t>
      </w:r>
      <w:r>
        <w:t xml:space="preserve">conform divergent regulatory-text standards (audit-committee, incident-notification) to a single prevailing formulation.</w:t>
      </w:r>
    </w:p>
    <w:p>
      <w:pPr>
        <w:pStyle w:val="Compact"/>
        <w:numPr>
          <w:ilvl w:val="0"/>
          <w:numId w:val="1004"/>
        </w:numPr>
      </w:pPr>
      <w:r>
        <w:rPr>
          <w:b/>
          <w:bCs/>
        </w:rPr>
        <w:t xml:space="preserve">Vertical (HC/IDI) rationalization (rulemaking, possibly statutory):</w:t>
      </w:r>
      <w:r>
        <w:t xml:space="preserve"> </w:t>
      </w:r>
      <w:r>
        <w:t xml:space="preserve">expand reliance accommodations so a bank-subsidiary board may discharge its duty by reliance on the consolidated holding-company board’s action.</w:t>
      </w:r>
    </w:p>
    <w:p>
      <w:pPr>
        <w:pStyle w:val="Compact"/>
        <w:numPr>
          <w:ilvl w:val="0"/>
          <w:numId w:val="1004"/>
        </w:numPr>
      </w:pPr>
      <w:r>
        <w:rPr>
          <w:b/>
          <w:bCs/>
        </w:rPr>
        <w:t xml:space="preserve">Statutory consolidation (legislation):</w:t>
      </w:r>
      <w:r>
        <w:t xml:space="preserve"> </w:t>
      </w:r>
      <w:r>
        <w:t xml:space="preserve">address overlaps anchored in §165, the BSA, Part 363, and the SEC compensation-governance listing standards.</w:t>
      </w:r>
    </w:p>
    <w:bookmarkEnd w:id="247"/>
    <w:bookmarkEnd w:id="248"/>
    <w:bookmarkStart w:id="249" w:name="conclusion"/>
    <w:p>
      <w:pPr>
        <w:pStyle w:val="Heading2"/>
      </w:pPr>
      <w:r>
        <w:t xml:space="preserve">Conclusion</w:t>
      </w:r>
    </w:p>
    <w:p>
      <w:pPr>
        <w:pStyle w:val="FirstParagraph"/>
      </w:pPr>
      <w:r>
        <w:t xml:space="preserve">The board-of-directors obligation set for a Category I G-SIB holding company and its insured depository institution subsidiaries is the product not of a single ill-designed mandate but of an architecture in which four prudential and securities regulators each apply a structurally identical approve-oversee-report-resource governance template, across a dozen functional domains, at both the holding-company and IDI tiers. The result is that a small number of underlying governance objectives — set the risk appetite, oversee the control functions, approve the core frameworks, govern incentive pay, oversee compliance, prepare for stress and resolution — are pursued through dozens of separately documented, separately examined, and separately enforced board mandates. The dominant patterns are vertical duplication across entity tiers, parallel codification of a single duty across agencies, and guidance layering atop codified rules.</w:t>
      </w:r>
    </w:p>
    <w:p>
      <w:pPr>
        <w:pStyle w:val="BodyText"/>
      </w:pPr>
      <w:r>
        <w:t xml:space="preserve">The deregulatory window is open and material: the OCC has rescinded its bank-level recovery-planning Guidelines, proposed raising the heightened-standards threshold from $50 billion to $700 billion, and removed reputation risk from its supervisory framework; the FDIC’s 2023 corporate-governance proposal is withdrawn; and the Dodd-Frank §956 incentive-compensation rule remains unfinalized. The reform opportunity is greatest, and the legal obstacles smallest, at the guidance layer, where the regulators have already demonstrated both the capacity (the 2023 joint third-party guidance) and the recent willingness (the OCC recovery-planning rescission) to consolidate and retire mandates. Genuine harmonization of divergent rule-level standards and statutorily anchored overlaps will require deliberate agency rulemaking and legislative action, respectively. In every case, the recognition that frames this analysis must hold: not all apparent duplication is surplusage, and collapsing overlaps requires choosing which regulator’s formulation, and which protected interest, prevails.</w:t>
      </w:r>
    </w:p>
    <w:p>
      <w:pPr>
        <w:pStyle w:val="BodyText"/>
      </w:pPr>
      <w:r>
        <w:t xml:space="preserve">Counsel should verify the currency and specific application of each authority before acting, with particular attention to the proposed, pending-amendment, withdrawn, and rescinded items identified throughout — most notably the proposed redefinition of</w:t>
      </w:r>
      <w:r>
        <w:t xml:space="preserve"> </w:t>
      </w:r>
      <w:r>
        <w:t xml:space="preserve">“</w:t>
      </w:r>
      <w:r>
        <w:t xml:space="preserve">covered bank</w:t>
      </w:r>
      <w:r>
        <w:t xml:space="preserve">”</w:t>
      </w:r>
      <w:r>
        <w:t xml:space="preserve"> </w:t>
      </w:r>
      <w:r>
        <w:t xml:space="preserve">under the OCC heightened standards (</w:t>
      </w:r>
      <w:hyperlink r:id="rId75">
        <w:r>
          <w:rPr>
            <w:rStyle w:val="Hyperlink"/>
            <w:color w:val="0645AD"/>
            <w:u w:val="single"/>
          </w:rPr>
          <w:t xml:space="preserve">90 FR 61084</w:t>
        </w:r>
      </w:hyperlink>
      <w:r>
        <w:t xml:space="preserve">), the pending amendments to Regulation S-K Item 407 and the IHC risk-committee rules, the unreconciled 2024 and 2026 BSA/AML program-approval proposals, and the unfinalized Dodd-Frank §956 incentive-compensation framework.</w:t>
      </w:r>
    </w:p>
    <w:bookmarkEnd w:id="249"/>
    <w:bookmarkStart w:id="255" w:name="bibliography"/>
    <w:p>
      <w:pPr>
        <w:pStyle w:val="Heading2"/>
      </w:pPr>
      <w:r>
        <w:t xml:space="preserve">Bibliography</w:t>
      </w:r>
    </w:p>
    <w:p>
      <w:pPr>
        <w:pStyle w:val="Compact"/>
        <w:numPr>
          <w:ilvl w:val="0"/>
          <w:numId w:val="1005"/>
        </w:numPr>
      </w:pPr>
      <w:hyperlink r:id="rId191">
        <w:r>
          <w:rPr>
            <w:rStyle w:val="Hyperlink"/>
            <w:color w:val="0645AD"/>
            <w:u w:val="single"/>
          </w:rPr>
          <w:t xml:space="preserve">12 CFR 1026.36(j)(1)</w:t>
        </w:r>
      </w:hyperlink>
    </w:p>
    <w:p>
      <w:pPr>
        <w:pStyle w:val="Compact"/>
        <w:numPr>
          <w:ilvl w:val="0"/>
          <w:numId w:val="1005"/>
        </w:numPr>
      </w:pPr>
      <w:hyperlink r:id="rId150">
        <w:r>
          <w:rPr>
            <w:rStyle w:val="Hyperlink"/>
            <w:color w:val="0645AD"/>
            <w:u w:val="single"/>
          </w:rPr>
          <w:t xml:space="preserve">12 CFR 21.21</w:t>
        </w:r>
      </w:hyperlink>
    </w:p>
    <w:p>
      <w:pPr>
        <w:pStyle w:val="Compact"/>
        <w:numPr>
          <w:ilvl w:val="0"/>
          <w:numId w:val="1005"/>
        </w:numPr>
      </w:pPr>
      <w:hyperlink r:id="rId105">
        <w:r>
          <w:rPr>
            <w:rStyle w:val="Hyperlink"/>
            <w:color w:val="0645AD"/>
            <w:u w:val="single"/>
          </w:rPr>
          <w:t xml:space="preserve">12 CFR 238.135(a)</w:t>
        </w:r>
      </w:hyperlink>
    </w:p>
    <w:p>
      <w:pPr>
        <w:pStyle w:val="Compact"/>
        <w:numPr>
          <w:ilvl w:val="0"/>
          <w:numId w:val="1005"/>
        </w:numPr>
      </w:pPr>
      <w:hyperlink r:id="rId102">
        <w:r>
          <w:rPr>
            <w:rStyle w:val="Hyperlink"/>
            <w:color w:val="0645AD"/>
            <w:u w:val="single"/>
          </w:rPr>
          <w:t xml:space="preserve">12 CFR 252.47(a)</w:t>
        </w:r>
      </w:hyperlink>
    </w:p>
    <w:p>
      <w:pPr>
        <w:pStyle w:val="Compact"/>
        <w:numPr>
          <w:ilvl w:val="0"/>
          <w:numId w:val="1005"/>
        </w:numPr>
      </w:pPr>
      <w:hyperlink r:id="rId67">
        <w:r>
          <w:rPr>
            <w:rStyle w:val="Hyperlink"/>
            <w:color w:val="0645AD"/>
            <w:u w:val="single"/>
          </w:rPr>
          <w:t xml:space="preserve">12 CFR 9.4(a)</w:t>
        </w:r>
      </w:hyperlink>
    </w:p>
    <w:p>
      <w:pPr>
        <w:pStyle w:val="Compact"/>
        <w:numPr>
          <w:ilvl w:val="0"/>
          <w:numId w:val="1005"/>
        </w:numPr>
      </w:pPr>
      <w:hyperlink r:id="rId43">
        <w:r>
          <w:rPr>
            <w:rStyle w:val="Hyperlink"/>
            <w:color w:val="0645AD"/>
            <w:u w:val="single"/>
          </w:rPr>
          <w:t xml:space="preserve">12 CFR Part 223</w:t>
        </w:r>
      </w:hyperlink>
    </w:p>
    <w:p>
      <w:pPr>
        <w:pStyle w:val="Compact"/>
        <w:numPr>
          <w:ilvl w:val="0"/>
          <w:numId w:val="1005"/>
        </w:numPr>
      </w:pPr>
      <w:hyperlink r:id="rId207">
        <w:r>
          <w:rPr>
            <w:rStyle w:val="Hyperlink"/>
            <w:color w:val="0645AD"/>
            <w:u w:val="single"/>
          </w:rPr>
          <w:t xml:space="preserve">12 CFR Part 30, App. E, II.B.5</w:t>
        </w:r>
      </w:hyperlink>
    </w:p>
    <w:p>
      <w:pPr>
        <w:pStyle w:val="Compact"/>
        <w:numPr>
          <w:ilvl w:val="0"/>
          <w:numId w:val="1005"/>
        </w:numPr>
      </w:pPr>
      <w:hyperlink r:id="rId179">
        <w:r>
          <w:rPr>
            <w:rStyle w:val="Hyperlink"/>
            <w:color w:val="0645AD"/>
            <w:u w:val="single"/>
          </w:rPr>
          <w:t xml:space="preserve">12 CFR Part 359, Page 9, Footnote 5</w:t>
        </w:r>
      </w:hyperlink>
    </w:p>
    <w:p>
      <w:pPr>
        <w:pStyle w:val="Compact"/>
        <w:numPr>
          <w:ilvl w:val="0"/>
          <w:numId w:val="1005"/>
        </w:numPr>
      </w:pPr>
      <w:hyperlink r:id="rId134">
        <w:r>
          <w:rPr>
            <w:rStyle w:val="Hyperlink"/>
            <w:color w:val="0645AD"/>
            <w:u w:val="single"/>
          </w:rPr>
          <w:t xml:space="preserve">12 CFR Part 363, App. A, Guideline 3</w:t>
        </w:r>
      </w:hyperlink>
    </w:p>
    <w:p>
      <w:pPr>
        <w:pStyle w:val="Compact"/>
        <w:numPr>
          <w:ilvl w:val="0"/>
          <w:numId w:val="1005"/>
        </w:numPr>
      </w:pPr>
      <w:hyperlink r:id="rId110">
        <w:r>
          <w:rPr>
            <w:rStyle w:val="Hyperlink"/>
            <w:color w:val="0645AD"/>
            <w:u w:val="single"/>
          </w:rPr>
          <w:t xml:space="preserve">12 CFR Part 364, Appendix A(II)(D)(4)</w:t>
        </w:r>
      </w:hyperlink>
    </w:p>
    <w:p>
      <w:pPr>
        <w:pStyle w:val="Compact"/>
        <w:numPr>
          <w:ilvl w:val="0"/>
          <w:numId w:val="1005"/>
        </w:numPr>
      </w:pPr>
      <w:hyperlink r:id="rId131">
        <w:r>
          <w:rPr>
            <w:rStyle w:val="Hyperlink"/>
            <w:color w:val="0645AD"/>
            <w:u w:val="single"/>
          </w:rPr>
          <w:t xml:space="preserve">12 CFR Part 381(d)(3)</w:t>
        </w:r>
      </w:hyperlink>
    </w:p>
    <w:p>
      <w:pPr>
        <w:pStyle w:val="Compact"/>
        <w:numPr>
          <w:ilvl w:val="0"/>
          <w:numId w:val="1005"/>
        </w:numPr>
      </w:pPr>
      <w:hyperlink r:id="rId68">
        <w:r>
          <w:rPr>
            <w:rStyle w:val="Hyperlink"/>
            <w:color w:val="0645AD"/>
            <w:u w:val="single"/>
          </w:rPr>
          <w:t xml:space="preserve">12 CFR §150.150</w:t>
        </w:r>
      </w:hyperlink>
    </w:p>
    <w:p>
      <w:pPr>
        <w:pStyle w:val="Compact"/>
        <w:numPr>
          <w:ilvl w:val="0"/>
          <w:numId w:val="1005"/>
        </w:numPr>
      </w:pPr>
      <w:hyperlink r:id="rId58">
        <w:r>
          <w:rPr>
            <w:rStyle w:val="Hyperlink"/>
            <w:color w:val="0645AD"/>
            <w:u w:val="single"/>
          </w:rPr>
          <w:t xml:space="preserve">12 U.S.C. 371c-1(b)(2)</w:t>
        </w:r>
      </w:hyperlink>
    </w:p>
    <w:p>
      <w:pPr>
        <w:pStyle w:val="Compact"/>
        <w:numPr>
          <w:ilvl w:val="0"/>
          <w:numId w:val="1005"/>
        </w:numPr>
      </w:pPr>
      <w:hyperlink r:id="rId60">
        <w:r>
          <w:rPr>
            <w:rStyle w:val="Hyperlink"/>
            <w:color w:val="0645AD"/>
            <w:u w:val="single"/>
          </w:rPr>
          <w:t xml:space="preserve">12 USC 375b(3)</w:t>
        </w:r>
      </w:hyperlink>
    </w:p>
    <w:p>
      <w:pPr>
        <w:pStyle w:val="Compact"/>
        <w:numPr>
          <w:ilvl w:val="0"/>
          <w:numId w:val="1005"/>
        </w:numPr>
      </w:pPr>
      <w:hyperlink r:id="rId221">
        <w:r>
          <w:rPr>
            <w:rStyle w:val="Hyperlink"/>
            <w:color w:val="0645AD"/>
            <w:u w:val="single"/>
          </w:rPr>
          <w:t xml:space="preserve">17 CFR 240.13b2-2(b)(1)</w:t>
        </w:r>
      </w:hyperlink>
    </w:p>
    <w:p>
      <w:pPr>
        <w:pStyle w:val="Compact"/>
        <w:numPr>
          <w:ilvl w:val="0"/>
          <w:numId w:val="1005"/>
        </w:numPr>
      </w:pPr>
      <w:hyperlink r:id="rId59">
        <w:r>
          <w:rPr>
            <w:rStyle w:val="Hyperlink"/>
            <w:color w:val="0645AD"/>
            <w:u w:val="single"/>
          </w:rPr>
          <w:t xml:space="preserve">17 CFR §75.11(a)(7)</w:t>
        </w:r>
      </w:hyperlink>
    </w:p>
    <w:p>
      <w:pPr>
        <w:pStyle w:val="Compact"/>
        <w:numPr>
          <w:ilvl w:val="0"/>
          <w:numId w:val="1005"/>
        </w:numPr>
      </w:pPr>
      <w:hyperlink r:id="rId62">
        <w:r>
          <w:rPr>
            <w:rStyle w:val="Hyperlink"/>
            <w:color w:val="0645AD"/>
            <w:u w:val="single"/>
          </w:rPr>
          <w:t xml:space="preserve">61 FR 5929</w:t>
        </w:r>
      </w:hyperlink>
    </w:p>
    <w:p>
      <w:pPr>
        <w:pStyle w:val="Compact"/>
        <w:numPr>
          <w:ilvl w:val="0"/>
          <w:numId w:val="1005"/>
        </w:numPr>
      </w:pPr>
      <w:hyperlink r:id="rId203">
        <w:r>
          <w:rPr>
            <w:rStyle w:val="Hyperlink"/>
            <w:color w:val="0645AD"/>
            <w:u w:val="single"/>
          </w:rPr>
          <w:t xml:space="preserve">76 FR 67323</w:t>
        </w:r>
      </w:hyperlink>
    </w:p>
    <w:p>
      <w:pPr>
        <w:pStyle w:val="Compact"/>
        <w:numPr>
          <w:ilvl w:val="0"/>
          <w:numId w:val="1005"/>
        </w:numPr>
      </w:pPr>
      <w:hyperlink r:id="rId31">
        <w:r>
          <w:rPr>
            <w:rStyle w:val="Hyperlink"/>
            <w:color w:val="0645AD"/>
            <w:u w:val="single"/>
          </w:rPr>
          <w:t xml:space="preserve">79 FR 17239</w:t>
        </w:r>
      </w:hyperlink>
    </w:p>
    <w:p>
      <w:pPr>
        <w:pStyle w:val="Compact"/>
        <w:numPr>
          <w:ilvl w:val="0"/>
          <w:numId w:val="1005"/>
        </w:numPr>
      </w:pPr>
      <w:hyperlink r:id="rId177">
        <w:r>
          <w:rPr>
            <w:rStyle w:val="Hyperlink"/>
            <w:color w:val="0645AD"/>
            <w:u w:val="single"/>
          </w:rPr>
          <w:t xml:space="preserve">79 FR 17317 (b)(3)(i)</w:t>
        </w:r>
      </w:hyperlink>
    </w:p>
    <w:p>
      <w:pPr>
        <w:pStyle w:val="Compact"/>
        <w:numPr>
          <w:ilvl w:val="0"/>
          <w:numId w:val="1005"/>
        </w:numPr>
      </w:pPr>
      <w:hyperlink r:id="rId34">
        <w:r>
          <w:rPr>
            <w:rStyle w:val="Hyperlink"/>
            <w:color w:val="0645AD"/>
            <w:u w:val="single"/>
          </w:rPr>
          <w:t xml:space="preserve">79 FR 17326(a)(1)</w:t>
        </w:r>
      </w:hyperlink>
    </w:p>
    <w:p>
      <w:pPr>
        <w:pStyle w:val="Compact"/>
        <w:numPr>
          <w:ilvl w:val="0"/>
          <w:numId w:val="1005"/>
        </w:numPr>
      </w:pPr>
      <w:hyperlink r:id="rId48">
        <w:r>
          <w:rPr>
            <w:rStyle w:val="Hyperlink"/>
            <w:color w:val="0645AD"/>
            <w:u w:val="single"/>
          </w:rPr>
          <w:t xml:space="preserve">79 FR 54532-54533</w:t>
        </w:r>
      </w:hyperlink>
    </w:p>
    <w:p>
      <w:pPr>
        <w:pStyle w:val="Compact"/>
        <w:numPr>
          <w:ilvl w:val="0"/>
          <w:numId w:val="1005"/>
        </w:numPr>
      </w:pPr>
      <w:hyperlink r:id="rId181">
        <w:r>
          <w:rPr>
            <w:rStyle w:val="Hyperlink"/>
            <w:color w:val="0645AD"/>
            <w:u w:val="single"/>
          </w:rPr>
          <w:t xml:space="preserve">81 FR 37669, § 42.4(e)</w:t>
        </w:r>
      </w:hyperlink>
    </w:p>
    <w:p>
      <w:pPr>
        <w:pStyle w:val="Compact"/>
        <w:numPr>
          <w:ilvl w:val="0"/>
          <w:numId w:val="1005"/>
        </w:numPr>
      </w:pPr>
      <w:hyperlink r:id="rId33">
        <w:r>
          <w:rPr>
            <w:rStyle w:val="Hyperlink"/>
            <w:color w:val="0645AD"/>
            <w:u w:val="single"/>
          </w:rPr>
          <w:t xml:space="preserve">90 FR 31641 (proposed LFI rating revision / FHC well-managed requirement)</w:t>
        </w:r>
      </w:hyperlink>
    </w:p>
    <w:p>
      <w:pPr>
        <w:pStyle w:val="Compact"/>
        <w:numPr>
          <w:ilvl w:val="0"/>
          <w:numId w:val="1005"/>
        </w:numPr>
      </w:pPr>
      <w:hyperlink r:id="rId29">
        <w:r>
          <w:rPr>
            <w:rStyle w:val="Hyperlink"/>
            <w:color w:val="0645AD"/>
            <w:u w:val="single"/>
          </w:rPr>
          <w:t xml:space="preserve">83 FR 61408, 59055</w:t>
        </w:r>
      </w:hyperlink>
    </w:p>
    <w:p>
      <w:pPr>
        <w:pStyle w:val="Compact"/>
        <w:numPr>
          <w:ilvl w:val="0"/>
          <w:numId w:val="1005"/>
        </w:numPr>
      </w:pPr>
      <w:hyperlink r:id="rId206">
        <w:r>
          <w:rPr>
            <w:rStyle w:val="Hyperlink"/>
            <w:color w:val="0645AD"/>
            <w:u w:val="single"/>
          </w:rPr>
          <w:t xml:space="preserve">83 FR 66605</w:t>
        </w:r>
      </w:hyperlink>
    </w:p>
    <w:p>
      <w:pPr>
        <w:pStyle w:val="Compact"/>
        <w:numPr>
          <w:ilvl w:val="0"/>
          <w:numId w:val="1005"/>
        </w:numPr>
      </w:pPr>
      <w:hyperlink r:id="rId82">
        <w:r>
          <w:rPr>
            <w:rStyle w:val="Hyperlink"/>
            <w:color w:val="0645AD"/>
            <w:u w:val="single"/>
          </w:rPr>
          <w:t xml:space="preserve">84 FR 4309, Page 2</w:t>
        </w:r>
      </w:hyperlink>
    </w:p>
    <w:p>
      <w:pPr>
        <w:pStyle w:val="Compact"/>
        <w:numPr>
          <w:ilvl w:val="0"/>
          <w:numId w:val="1005"/>
        </w:numPr>
      </w:pPr>
      <w:hyperlink r:id="rId112">
        <w:r>
          <w:rPr>
            <w:rStyle w:val="Hyperlink"/>
            <w:color w:val="0645AD"/>
            <w:u w:val="single"/>
          </w:rPr>
          <w:t xml:space="preserve">84 FR 55679</w:t>
        </w:r>
      </w:hyperlink>
    </w:p>
    <w:p>
      <w:pPr>
        <w:pStyle w:val="Compact"/>
        <w:numPr>
          <w:ilvl w:val="0"/>
          <w:numId w:val="1005"/>
        </w:numPr>
      </w:pPr>
      <w:hyperlink r:id="rId111">
        <w:r>
          <w:rPr>
            <w:rStyle w:val="Hyperlink"/>
            <w:color w:val="0645AD"/>
            <w:u w:val="single"/>
          </w:rPr>
          <w:t xml:space="preserve">85 FR 33278</w:t>
        </w:r>
      </w:hyperlink>
    </w:p>
    <w:p>
      <w:pPr>
        <w:pStyle w:val="Compact"/>
        <w:numPr>
          <w:ilvl w:val="0"/>
          <w:numId w:val="1005"/>
        </w:numPr>
      </w:pPr>
      <w:hyperlink r:id="rId172">
        <w:r>
          <w:rPr>
            <w:rStyle w:val="Hyperlink"/>
            <w:color w:val="0645AD"/>
            <w:u w:val="single"/>
          </w:rPr>
          <w:t xml:space="preserve">86 FR 38182</w:t>
        </w:r>
      </w:hyperlink>
    </w:p>
    <w:p>
      <w:pPr>
        <w:pStyle w:val="Compact"/>
        <w:numPr>
          <w:ilvl w:val="0"/>
          <w:numId w:val="1005"/>
        </w:numPr>
      </w:pPr>
      <w:hyperlink r:id="rId250">
        <w:r>
          <w:rPr>
            <w:rStyle w:val="Hyperlink"/>
            <w:color w:val="0645AD"/>
            <w:u w:val="single"/>
          </w:rPr>
          <w:t xml:space="preserve">87 FR 60160</w:t>
        </w:r>
      </w:hyperlink>
      <w:r>
        <w:t xml:space="preserve"> </w:t>
      </w:r>
      <w:r>
        <w:rPr>
          <w:b/>
          <w:bCs/>
        </w:rPr>
        <w:t xml:space="preserve">(Framework for the Supervision of Insurance Organizations, Oct. 4, 2022 – out-of-scope for a domestic Category I U.S. GSIB BHC or its IDI subsidiaries; cited in Section 6 scope note only)</w:t>
      </w:r>
    </w:p>
    <w:p>
      <w:pPr>
        <w:pStyle w:val="Compact"/>
        <w:numPr>
          <w:ilvl w:val="0"/>
          <w:numId w:val="1005"/>
        </w:numPr>
      </w:pPr>
      <w:hyperlink r:id="rId114">
        <w:r>
          <w:rPr>
            <w:rStyle w:val="Hyperlink"/>
            <w:color w:val="0645AD"/>
            <w:u w:val="single"/>
          </w:rPr>
          <w:t xml:space="preserve">88 FR 25479</w:t>
        </w:r>
      </w:hyperlink>
    </w:p>
    <w:p>
      <w:pPr>
        <w:pStyle w:val="Compact"/>
        <w:numPr>
          <w:ilvl w:val="0"/>
          <w:numId w:val="1005"/>
        </w:numPr>
      </w:pPr>
      <w:hyperlink r:id="rId73">
        <w:r>
          <w:rPr>
            <w:rStyle w:val="Hyperlink"/>
            <w:color w:val="0645AD"/>
            <w:u w:val="single"/>
          </w:rPr>
          <w:t xml:space="preserve">88 FR 64028</w:t>
        </w:r>
      </w:hyperlink>
    </w:p>
    <w:p>
      <w:pPr>
        <w:pStyle w:val="Compact"/>
        <w:numPr>
          <w:ilvl w:val="0"/>
          <w:numId w:val="1005"/>
        </w:numPr>
      </w:pPr>
      <w:hyperlink r:id="rId72">
        <w:r>
          <w:rPr>
            <w:rStyle w:val="Hyperlink"/>
            <w:color w:val="0645AD"/>
            <w:u w:val="single"/>
          </w:rPr>
          <w:t xml:space="preserve">88 FR 70391</w:t>
        </w:r>
      </w:hyperlink>
    </w:p>
    <w:p>
      <w:pPr>
        <w:pStyle w:val="Compact"/>
        <w:numPr>
          <w:ilvl w:val="0"/>
          <w:numId w:val="1005"/>
        </w:numPr>
      </w:pPr>
      <w:hyperlink r:id="rId98">
        <w:r>
          <w:rPr>
            <w:rStyle w:val="Hyperlink"/>
            <w:color w:val="0645AD"/>
            <w:u w:val="single"/>
          </w:rPr>
          <w:t xml:space="preserve">88 FR 74183</w:t>
        </w:r>
      </w:hyperlink>
    </w:p>
    <w:p>
      <w:pPr>
        <w:pStyle w:val="Compact"/>
        <w:numPr>
          <w:ilvl w:val="0"/>
          <w:numId w:val="1005"/>
        </w:numPr>
      </w:pPr>
      <w:hyperlink r:id="rId193">
        <w:r>
          <w:rPr>
            <w:rStyle w:val="Hyperlink"/>
            <w:color w:val="0645AD"/>
            <w:u w:val="single"/>
          </w:rPr>
          <w:t xml:space="preserve">89 FR 3504 (§ 328.8(a))</w:t>
        </w:r>
      </w:hyperlink>
    </w:p>
    <w:p>
      <w:pPr>
        <w:pStyle w:val="Compact"/>
        <w:numPr>
          <w:ilvl w:val="0"/>
          <w:numId w:val="1005"/>
        </w:numPr>
      </w:pPr>
      <w:hyperlink r:id="rId158">
        <w:r>
          <w:rPr>
            <w:rStyle w:val="Hyperlink"/>
            <w:color w:val="0645AD"/>
            <w:u w:val="single"/>
          </w:rPr>
          <w:t xml:space="preserve">89 FR 55428</w:t>
        </w:r>
      </w:hyperlink>
    </w:p>
    <w:p>
      <w:pPr>
        <w:pStyle w:val="Compact"/>
        <w:numPr>
          <w:ilvl w:val="0"/>
          <w:numId w:val="1005"/>
        </w:numPr>
      </w:pPr>
      <w:hyperlink r:id="rId140">
        <w:r>
          <w:rPr>
            <w:rStyle w:val="Hyperlink"/>
            <w:color w:val="0645AD"/>
            <w:u w:val="single"/>
          </w:rPr>
          <w:t xml:space="preserve">90 FR 35449 n.50</w:t>
        </w:r>
      </w:hyperlink>
    </w:p>
    <w:p>
      <w:pPr>
        <w:pStyle w:val="Compact"/>
        <w:numPr>
          <w:ilvl w:val="0"/>
          <w:numId w:val="1005"/>
        </w:numPr>
      </w:pPr>
      <w:hyperlink r:id="rId251">
        <w:r>
          <w:rPr>
            <w:rStyle w:val="Hyperlink"/>
            <w:color w:val="0645AD"/>
            <w:u w:val="single"/>
          </w:rPr>
          <w:t xml:space="preserve">90 FR 51587</w:t>
        </w:r>
      </w:hyperlink>
      <w:r>
        <w:t xml:space="preserve"> </w:t>
      </w:r>
      <w:r>
        <w:rPr>
          <w:b/>
          <w:bCs/>
        </w:rPr>
        <w:t xml:space="preserve">(Proposed rule – NPRM for OCC Appendix E rescission; superseded by final rule 91 FR 16156)</w:t>
      </w:r>
    </w:p>
    <w:p>
      <w:pPr>
        <w:pStyle w:val="Compact"/>
        <w:numPr>
          <w:ilvl w:val="0"/>
          <w:numId w:val="1005"/>
        </w:numPr>
      </w:pPr>
      <w:hyperlink r:id="rId208">
        <w:r>
          <w:rPr>
            <w:rStyle w:val="Hyperlink"/>
            <w:color w:val="0645AD"/>
            <w:u w:val="single"/>
          </w:rPr>
          <w:t xml:space="preserve">91 FR 16156</w:t>
        </w:r>
      </w:hyperlink>
      <w:r>
        <w:t xml:space="preserve"> </w:t>
      </w:r>
      <w:r>
        <w:t xml:space="preserve">(document 2026-06281, effective May 1, 2026 – Final rule rescinding OCC Guidelines Establishing Standards for Recovery Planning, 12 CFR Part 30, Appendix E)</w:t>
      </w:r>
    </w:p>
    <w:p>
      <w:pPr>
        <w:pStyle w:val="Compact"/>
        <w:numPr>
          <w:ilvl w:val="0"/>
          <w:numId w:val="1005"/>
        </w:numPr>
      </w:pPr>
      <w:hyperlink r:id="rId41">
        <w:r>
          <w:rPr>
            <w:rStyle w:val="Hyperlink"/>
            <w:color w:val="0645AD"/>
            <w:u w:val="single"/>
          </w:rPr>
          <w:t xml:space="preserve">90 FR 55789, §363.6</w:t>
        </w:r>
      </w:hyperlink>
    </w:p>
    <w:p>
      <w:pPr>
        <w:pStyle w:val="Compact"/>
        <w:numPr>
          <w:ilvl w:val="0"/>
          <w:numId w:val="1005"/>
        </w:numPr>
      </w:pPr>
      <w:hyperlink r:id="rId75">
        <w:r>
          <w:rPr>
            <w:rStyle w:val="Hyperlink"/>
            <w:color w:val="0645AD"/>
            <w:u w:val="single"/>
          </w:rPr>
          <w:t xml:space="preserve">90 FR 61084</w:t>
        </w:r>
      </w:hyperlink>
    </w:p>
    <w:p>
      <w:pPr>
        <w:pStyle w:val="Compact"/>
        <w:numPr>
          <w:ilvl w:val="0"/>
          <w:numId w:val="1005"/>
        </w:numPr>
      </w:pPr>
      <w:hyperlink r:id="rId71">
        <w:r>
          <w:rPr>
            <w:rStyle w:val="Hyperlink"/>
            <w:color w:val="0645AD"/>
            <w:u w:val="single"/>
          </w:rPr>
          <w:t xml:space="preserve">91 FR 10202</w:t>
        </w:r>
      </w:hyperlink>
    </w:p>
    <w:p>
      <w:pPr>
        <w:pStyle w:val="Compact"/>
        <w:numPr>
          <w:ilvl w:val="0"/>
          <w:numId w:val="1005"/>
        </w:numPr>
      </w:pPr>
      <w:hyperlink r:id="rId159">
        <w:r>
          <w:rPr>
            <w:rStyle w:val="Hyperlink"/>
            <w:color w:val="0645AD"/>
            <w:u w:val="single"/>
          </w:rPr>
          <w:t xml:space="preserve">91 FR 18304</w:t>
        </w:r>
      </w:hyperlink>
    </w:p>
    <w:p>
      <w:pPr>
        <w:pStyle w:val="Compact"/>
        <w:numPr>
          <w:ilvl w:val="0"/>
          <w:numId w:val="1005"/>
        </w:numPr>
      </w:pPr>
      <w:hyperlink r:id="rId53">
        <w:r>
          <w:rPr>
            <w:rStyle w:val="Hyperlink"/>
            <w:color w:val="0645AD"/>
            <w:u w:val="single"/>
          </w:rPr>
          <w:t xml:space="preserve">91 FR 7163</w:t>
        </w:r>
      </w:hyperlink>
    </w:p>
    <w:p>
      <w:pPr>
        <w:pStyle w:val="Compact"/>
        <w:numPr>
          <w:ilvl w:val="0"/>
          <w:numId w:val="1005"/>
        </w:numPr>
      </w:pPr>
      <w:hyperlink r:id="rId156">
        <w:r>
          <w:rPr>
            <w:rStyle w:val="Hyperlink"/>
            <w:color w:val="0645AD"/>
            <w:u w:val="single"/>
          </w:rPr>
          <w:t xml:space="preserve">Bank Settles OCC Charges for AML Violations</w:t>
        </w:r>
      </w:hyperlink>
    </w:p>
    <w:p>
      <w:pPr>
        <w:pStyle w:val="Compact"/>
        <w:numPr>
          <w:ilvl w:val="0"/>
          <w:numId w:val="1005"/>
        </w:numPr>
      </w:pPr>
      <w:hyperlink r:id="rId42">
        <w:r>
          <w:rPr>
            <w:rStyle w:val="Hyperlink"/>
            <w:color w:val="0645AD"/>
            <w:u w:val="single"/>
          </w:rPr>
          <w:t xml:space="preserve">COMPS-252</w:t>
        </w:r>
      </w:hyperlink>
    </w:p>
    <w:p>
      <w:pPr>
        <w:pStyle w:val="Compact"/>
        <w:numPr>
          <w:ilvl w:val="0"/>
          <w:numId w:val="1005"/>
        </w:numPr>
      </w:pPr>
      <w:hyperlink r:id="rId90">
        <w:r>
          <w:rPr>
            <w:rStyle w:val="Hyperlink"/>
            <w:color w:val="0645AD"/>
            <w:u w:val="single"/>
          </w:rPr>
          <w:t xml:space="preserve">Caffrey node 77871</w:t>
        </w:r>
      </w:hyperlink>
    </w:p>
    <w:p>
      <w:pPr>
        <w:pStyle w:val="Compact"/>
        <w:numPr>
          <w:ilvl w:val="0"/>
          <w:numId w:val="1005"/>
        </w:numPr>
      </w:pPr>
      <w:hyperlink r:id="rId118">
        <w:r>
          <w:rPr>
            <w:rStyle w:val="Hyperlink"/>
            <w:color w:val="0645AD"/>
            <w:u w:val="single"/>
          </w:rPr>
          <w:t xml:space="preserve">Comptroller’s Handbook — Commercial Real Estate Lending</w:t>
        </w:r>
      </w:hyperlink>
    </w:p>
    <w:p>
      <w:pPr>
        <w:pStyle w:val="Compact"/>
        <w:numPr>
          <w:ilvl w:val="0"/>
          <w:numId w:val="1005"/>
        </w:numPr>
      </w:pPr>
      <w:hyperlink r:id="rId91">
        <w:r>
          <w:rPr>
            <w:rStyle w:val="Hyperlink"/>
            <w:color w:val="0645AD"/>
            <w:u w:val="single"/>
          </w:rPr>
          <w:t xml:space="preserve">Comptroller’s Handbook, Corporate and Risk Governance</w:t>
        </w:r>
      </w:hyperlink>
    </w:p>
    <w:p>
      <w:pPr>
        <w:pStyle w:val="Compact"/>
        <w:numPr>
          <w:ilvl w:val="0"/>
          <w:numId w:val="1005"/>
        </w:numPr>
      </w:pPr>
      <w:hyperlink r:id="rId36">
        <w:r>
          <w:rPr>
            <w:rStyle w:val="Hyperlink"/>
            <w:color w:val="0645AD"/>
            <w:u w:val="single"/>
          </w:rPr>
          <w:t xml:space="preserve">FDIC</w:t>
        </w:r>
      </w:hyperlink>
    </w:p>
    <w:p>
      <w:pPr>
        <w:pStyle w:val="Compact"/>
        <w:numPr>
          <w:ilvl w:val="0"/>
          <w:numId w:val="1005"/>
        </w:numPr>
      </w:pPr>
      <w:hyperlink r:id="rId38">
        <w:r>
          <w:rPr>
            <w:rStyle w:val="Hyperlink"/>
            <w:color w:val="0645AD"/>
            <w:u w:val="single"/>
          </w:rPr>
          <w:t xml:space="preserve">FDIC FIL-95-49</w:t>
        </w:r>
      </w:hyperlink>
    </w:p>
    <w:p>
      <w:pPr>
        <w:pStyle w:val="Compact"/>
        <w:numPr>
          <w:ilvl w:val="0"/>
          <w:numId w:val="1005"/>
        </w:numPr>
      </w:pPr>
      <w:hyperlink r:id="rId63">
        <w:r>
          <w:rPr>
            <w:rStyle w:val="Hyperlink"/>
            <w:color w:val="0645AD"/>
            <w:u w:val="single"/>
          </w:rPr>
          <w:t xml:space="preserve">FDIC Rule 359.5(a)</w:t>
        </w:r>
      </w:hyperlink>
    </w:p>
    <w:p>
      <w:pPr>
        <w:pStyle w:val="Compact"/>
        <w:numPr>
          <w:ilvl w:val="0"/>
          <w:numId w:val="1005"/>
        </w:numPr>
      </w:pPr>
      <w:hyperlink r:id="rId147">
        <w:r>
          <w:rPr>
            <w:rStyle w:val="Hyperlink"/>
            <w:color w:val="0645AD"/>
            <w:u w:val="single"/>
          </w:rPr>
          <w:t xml:space="preserve">FDIC Rules Part 364 Appendix C</w:t>
        </w:r>
      </w:hyperlink>
    </w:p>
    <w:p>
      <w:pPr>
        <w:pStyle w:val="Compact"/>
        <w:numPr>
          <w:ilvl w:val="0"/>
          <w:numId w:val="1005"/>
        </w:numPr>
      </w:pPr>
      <w:hyperlink r:id="rId145">
        <w:r>
          <w:rPr>
            <w:rStyle w:val="Hyperlink"/>
            <w:color w:val="0645AD"/>
            <w:u w:val="single"/>
          </w:rPr>
          <w:t xml:space="preserve">FFIEC IT Examination Handbook, Information Security, Page 5</w:t>
        </w:r>
      </w:hyperlink>
    </w:p>
    <w:p>
      <w:pPr>
        <w:pStyle w:val="Compact"/>
        <w:numPr>
          <w:ilvl w:val="0"/>
          <w:numId w:val="1005"/>
        </w:numPr>
      </w:pPr>
      <w:hyperlink r:id="rId104">
        <w:r>
          <w:rPr>
            <w:rStyle w:val="Hyperlink"/>
            <w:color w:val="0645AD"/>
            <w:u w:val="single"/>
          </w:rPr>
          <w:t xml:space="preserve">FRS Rule 217.122(i)(2)</w:t>
        </w:r>
      </w:hyperlink>
    </w:p>
    <w:p>
      <w:pPr>
        <w:pStyle w:val="Compact"/>
        <w:numPr>
          <w:ilvl w:val="0"/>
          <w:numId w:val="1005"/>
        </w:numPr>
      </w:pPr>
      <w:hyperlink r:id="rId55">
        <w:r>
          <w:rPr>
            <w:rStyle w:val="Hyperlink"/>
            <w:color w:val="0645AD"/>
            <w:u w:val="single"/>
          </w:rPr>
          <w:t xml:space="preserve">FRS Rule 225.72(a)-(b)</w:t>
        </w:r>
      </w:hyperlink>
    </w:p>
    <w:p>
      <w:pPr>
        <w:pStyle w:val="Compact"/>
        <w:numPr>
          <w:ilvl w:val="0"/>
          <w:numId w:val="1005"/>
        </w:numPr>
      </w:pPr>
      <w:hyperlink r:id="rId56">
        <w:r>
          <w:rPr>
            <w:rStyle w:val="Hyperlink"/>
            <w:color w:val="0645AD"/>
            <w:u w:val="single"/>
          </w:rPr>
          <w:t xml:space="preserve">FRS Rule 225.73(a)(1)</w:t>
        </w:r>
      </w:hyperlink>
    </w:p>
    <w:p>
      <w:pPr>
        <w:pStyle w:val="Compact"/>
        <w:numPr>
          <w:ilvl w:val="0"/>
          <w:numId w:val="1005"/>
        </w:numPr>
      </w:pPr>
      <w:hyperlink r:id="rId100">
        <w:r>
          <w:rPr>
            <w:rStyle w:val="Hyperlink"/>
            <w:color w:val="0645AD"/>
            <w:u w:val="single"/>
          </w:rPr>
          <w:t xml:space="preserve">FRS Rule 225.8(e)(1)(iii)</w:t>
        </w:r>
      </w:hyperlink>
    </w:p>
    <w:p>
      <w:pPr>
        <w:pStyle w:val="Compact"/>
        <w:numPr>
          <w:ilvl w:val="0"/>
          <w:numId w:val="1005"/>
        </w:numPr>
      </w:pPr>
      <w:hyperlink r:id="rId35">
        <w:r>
          <w:rPr>
            <w:rStyle w:val="Hyperlink"/>
            <w:color w:val="0645AD"/>
            <w:u w:val="single"/>
          </w:rPr>
          <w:t xml:space="preserve">FRS Rule 252.147(a)(2)(ii)</w:t>
        </w:r>
      </w:hyperlink>
    </w:p>
    <w:p>
      <w:pPr>
        <w:pStyle w:val="Compact"/>
        <w:numPr>
          <w:ilvl w:val="0"/>
          <w:numId w:val="1005"/>
        </w:numPr>
      </w:pPr>
      <w:hyperlink r:id="rId210">
        <w:r>
          <w:rPr>
            <w:rStyle w:val="Hyperlink"/>
            <w:color w:val="0645AD"/>
            <w:u w:val="single"/>
          </w:rPr>
          <w:t xml:space="preserve">FRS Rule 252.153(e)(3)(iv)</w:t>
        </w:r>
      </w:hyperlink>
    </w:p>
    <w:p>
      <w:pPr>
        <w:pStyle w:val="Compact"/>
        <w:numPr>
          <w:ilvl w:val="0"/>
          <w:numId w:val="1005"/>
        </w:numPr>
      </w:pPr>
      <w:hyperlink r:id="rId101">
        <w:r>
          <w:rPr>
            <w:rStyle w:val="Hyperlink"/>
            <w:color w:val="0645AD"/>
            <w:u w:val="single"/>
          </w:rPr>
          <w:t xml:space="preserve">FRS Rule 252.47(a)</w:t>
        </w:r>
      </w:hyperlink>
    </w:p>
    <w:p>
      <w:pPr>
        <w:pStyle w:val="Compact"/>
        <w:numPr>
          <w:ilvl w:val="0"/>
          <w:numId w:val="1005"/>
        </w:numPr>
      </w:pPr>
      <w:hyperlink r:id="rId125">
        <w:r>
          <w:rPr>
            <w:rStyle w:val="Hyperlink"/>
            <w:color w:val="0645AD"/>
            <w:u w:val="single"/>
          </w:rPr>
          <w:t xml:space="preserve">FRS Rules Part 206 — Regulation F</w:t>
        </w:r>
      </w:hyperlink>
    </w:p>
    <w:p>
      <w:pPr>
        <w:pStyle w:val="Compact"/>
        <w:numPr>
          <w:ilvl w:val="0"/>
          <w:numId w:val="1005"/>
        </w:numPr>
      </w:pPr>
      <w:hyperlink r:id="rId106">
        <w:r>
          <w:rPr>
            <w:rStyle w:val="Hyperlink"/>
            <w:color w:val="0645AD"/>
            <w:u w:val="single"/>
          </w:rPr>
          <w:t xml:space="preserve">Federal Reserve Commercial Bank Examination Manual 3000</w:t>
        </w:r>
      </w:hyperlink>
    </w:p>
    <w:p>
      <w:pPr>
        <w:pStyle w:val="Compact"/>
        <w:numPr>
          <w:ilvl w:val="0"/>
          <w:numId w:val="1005"/>
        </w:numPr>
      </w:pPr>
      <w:hyperlink r:id="rId24">
        <w:r>
          <w:rPr>
            <w:rStyle w:val="Hyperlink"/>
            <w:color w:val="0645AD"/>
            <w:u w:val="single"/>
          </w:rPr>
          <w:t xml:space="preserve">Federal Reserve Commercial Bank Examination Manual 4000</w:t>
        </w:r>
      </w:hyperlink>
    </w:p>
    <w:p>
      <w:pPr>
        <w:pStyle w:val="Compact"/>
        <w:numPr>
          <w:ilvl w:val="0"/>
          <w:numId w:val="1005"/>
        </w:numPr>
      </w:pPr>
      <w:hyperlink r:id="rId22">
        <w:r>
          <w:rPr>
            <w:rStyle w:val="Hyperlink"/>
            <w:color w:val="0645AD"/>
            <w:u w:val="single"/>
          </w:rPr>
          <w:t xml:space="preserve">Interagency Guidance on Third-Party Relationships: Risk Management</w:t>
        </w:r>
      </w:hyperlink>
    </w:p>
    <w:p>
      <w:pPr>
        <w:pStyle w:val="Compact"/>
        <w:numPr>
          <w:ilvl w:val="0"/>
          <w:numId w:val="1005"/>
        </w:numPr>
      </w:pPr>
      <w:hyperlink r:id="rId135">
        <w:r>
          <w:rPr>
            <w:rStyle w:val="Hyperlink"/>
            <w:color w:val="0645AD"/>
            <w:u w:val="single"/>
          </w:rPr>
          <w:t xml:space="preserve">NYSE LCM § 303A.07(c)</w:t>
        </w:r>
      </w:hyperlink>
    </w:p>
    <w:p>
      <w:pPr>
        <w:pStyle w:val="Compact"/>
        <w:numPr>
          <w:ilvl w:val="0"/>
          <w:numId w:val="1005"/>
        </w:numPr>
      </w:pPr>
      <w:hyperlink r:id="rId176">
        <w:r>
          <w:rPr>
            <w:rStyle w:val="Hyperlink"/>
            <w:color w:val="0645AD"/>
            <w:u w:val="single"/>
          </w:rPr>
          <w:t xml:space="preserve">OCC Bulletin 2010-24</w:t>
        </w:r>
      </w:hyperlink>
    </w:p>
    <w:p>
      <w:pPr>
        <w:pStyle w:val="Compact"/>
        <w:numPr>
          <w:ilvl w:val="0"/>
          <w:numId w:val="1005"/>
        </w:numPr>
      </w:pPr>
      <w:hyperlink r:id="rId252">
        <w:r>
          <w:rPr>
            <w:rStyle w:val="Hyperlink"/>
            <w:color w:val="0645AD"/>
            <w:u w:val="single"/>
          </w:rPr>
          <w:t xml:space="preserve">OCC Bulletin 2011-12, p. 46</w:t>
        </w:r>
      </w:hyperlink>
      <w:r>
        <w:t xml:space="preserve"> </w:t>
      </w:r>
      <w:r>
        <w:rPr>
          <w:b/>
          <w:bCs/>
        </w:rPr>
        <w:t xml:space="preserve">(Rescinded by OCC Bulletin 2026-13, Apr. 17, 2026 — no longer operative)</w:t>
      </w:r>
    </w:p>
    <w:p>
      <w:pPr>
        <w:pStyle w:val="Compact"/>
        <w:numPr>
          <w:ilvl w:val="0"/>
          <w:numId w:val="1005"/>
        </w:numPr>
      </w:pPr>
      <w:hyperlink r:id="rId253">
        <w:r>
          <w:rPr>
            <w:rStyle w:val="Hyperlink"/>
            <w:color w:val="0645AD"/>
            <w:u w:val="single"/>
          </w:rPr>
          <w:t xml:space="preserve">OCC Bulletin 2013-29</w:t>
        </w:r>
      </w:hyperlink>
      <w:r>
        <w:t xml:space="preserve"> </w:t>
      </w:r>
      <w:r>
        <w:rPr>
          <w:b/>
          <w:bCs/>
        </w:rPr>
        <w:t xml:space="preserve">(Rescinded by OCC Bulletin 2023-17, June 6, 2023 — no longer operative; superseded by 2023 Interagency Third-Party Risk Management Guidance, 88 FR 37920)</w:t>
      </w:r>
    </w:p>
    <w:p>
      <w:pPr>
        <w:pStyle w:val="Compact"/>
        <w:numPr>
          <w:ilvl w:val="0"/>
          <w:numId w:val="1005"/>
        </w:numPr>
      </w:pPr>
      <w:hyperlink r:id="rId174">
        <w:r>
          <w:rPr>
            <w:rStyle w:val="Hyperlink"/>
            <w:color w:val="0645AD"/>
            <w:u w:val="single"/>
          </w:rPr>
          <w:t xml:space="preserve">OCC Bulletin 2017-43</w:t>
        </w:r>
      </w:hyperlink>
    </w:p>
    <w:p>
      <w:pPr>
        <w:pStyle w:val="Compact"/>
        <w:numPr>
          <w:ilvl w:val="0"/>
          <w:numId w:val="1005"/>
        </w:numPr>
      </w:pPr>
      <w:hyperlink r:id="rId23">
        <w:r>
          <w:rPr>
            <w:rStyle w:val="Hyperlink"/>
            <w:color w:val="0645AD"/>
            <w:u w:val="single"/>
          </w:rPr>
          <w:t xml:space="preserve">OCC Bulletin 2017-43: New, Modified, or Expanded Bank Products and Services</w:t>
        </w:r>
      </w:hyperlink>
    </w:p>
    <w:p>
      <w:pPr>
        <w:pStyle w:val="Compact"/>
        <w:numPr>
          <w:ilvl w:val="0"/>
          <w:numId w:val="1005"/>
        </w:numPr>
      </w:pPr>
      <w:hyperlink r:id="rId117">
        <w:r>
          <w:rPr>
            <w:rStyle w:val="Hyperlink"/>
            <w:color w:val="0645AD"/>
            <w:u w:val="single"/>
          </w:rPr>
          <w:t xml:space="preserve">OCC Bulletin 2019-36</w:t>
        </w:r>
      </w:hyperlink>
    </w:p>
    <w:p>
      <w:pPr>
        <w:pStyle w:val="Compact"/>
        <w:numPr>
          <w:ilvl w:val="0"/>
          <w:numId w:val="1005"/>
        </w:numPr>
      </w:pPr>
      <w:hyperlink r:id="rId127">
        <w:r>
          <w:rPr>
            <w:rStyle w:val="Hyperlink"/>
            <w:color w:val="0645AD"/>
            <w:u w:val="single"/>
          </w:rPr>
          <w:t xml:space="preserve">OCC Bulletin 2025-45</w:t>
        </w:r>
      </w:hyperlink>
    </w:p>
    <w:p>
      <w:pPr>
        <w:pStyle w:val="Compact"/>
        <w:numPr>
          <w:ilvl w:val="0"/>
          <w:numId w:val="1005"/>
        </w:numPr>
      </w:pPr>
      <w:hyperlink r:id="rId92">
        <w:r>
          <w:rPr>
            <w:rStyle w:val="Hyperlink"/>
            <w:color w:val="0645AD"/>
            <w:u w:val="single"/>
          </w:rPr>
          <w:t xml:space="preserve">OCC Bulletin 2025-51</w:t>
        </w:r>
      </w:hyperlink>
    </w:p>
    <w:p>
      <w:pPr>
        <w:pStyle w:val="Compact"/>
        <w:numPr>
          <w:ilvl w:val="0"/>
          <w:numId w:val="1005"/>
        </w:numPr>
      </w:pPr>
      <w:hyperlink r:id="rId25">
        <w:r>
          <w:rPr>
            <w:rStyle w:val="Hyperlink"/>
            <w:color w:val="0645AD"/>
            <w:u w:val="single"/>
          </w:rPr>
          <w:t xml:space="preserve">OCC Comptroller’s Licensing Manual</w:t>
        </w:r>
      </w:hyperlink>
    </w:p>
    <w:p>
      <w:pPr>
        <w:pStyle w:val="Compact"/>
        <w:numPr>
          <w:ilvl w:val="0"/>
          <w:numId w:val="1005"/>
        </w:numPr>
      </w:pPr>
      <w:hyperlink r:id="rId27">
        <w:r>
          <w:rPr>
            <w:rStyle w:val="Hyperlink"/>
            <w:color w:val="0645AD"/>
            <w:u w:val="single"/>
          </w:rPr>
          <w:t xml:space="preserve">OCC Director’s Book (12 CFR 163.33)</w:t>
        </w:r>
      </w:hyperlink>
    </w:p>
    <w:p>
      <w:pPr>
        <w:pStyle w:val="Compact"/>
        <w:numPr>
          <w:ilvl w:val="0"/>
          <w:numId w:val="1005"/>
        </w:numPr>
      </w:pPr>
      <w:hyperlink r:id="rId116">
        <w:r>
          <w:rPr>
            <w:rStyle w:val="Hyperlink"/>
            <w:color w:val="0645AD"/>
            <w:u w:val="single"/>
          </w:rPr>
          <w:t xml:space="preserve">OCC Rule 160.101(b)(1)</w:t>
        </w:r>
      </w:hyperlink>
    </w:p>
    <w:p>
      <w:pPr>
        <w:pStyle w:val="Compact"/>
        <w:numPr>
          <w:ilvl w:val="0"/>
          <w:numId w:val="1005"/>
        </w:numPr>
      </w:pPr>
      <w:hyperlink r:id="rId65">
        <w:r>
          <w:rPr>
            <w:rStyle w:val="Hyperlink"/>
            <w:color w:val="0645AD"/>
            <w:u w:val="single"/>
          </w:rPr>
          <w:t xml:space="preserve">OCC Rule 163.180(b)</w:t>
        </w:r>
      </w:hyperlink>
    </w:p>
    <w:p>
      <w:pPr>
        <w:pStyle w:val="Compact"/>
        <w:numPr>
          <w:ilvl w:val="0"/>
          <w:numId w:val="1005"/>
        </w:numPr>
      </w:pPr>
      <w:hyperlink r:id="rId103">
        <w:r>
          <w:rPr>
            <w:rStyle w:val="Hyperlink"/>
            <w:color w:val="0645AD"/>
            <w:u w:val="single"/>
          </w:rPr>
          <w:t xml:space="preserve">OCC Rule 3.122(i)(2)</w:t>
        </w:r>
      </w:hyperlink>
    </w:p>
    <w:p>
      <w:pPr>
        <w:pStyle w:val="Compact"/>
        <w:numPr>
          <w:ilvl w:val="0"/>
          <w:numId w:val="1005"/>
        </w:numPr>
      </w:pPr>
      <w:hyperlink r:id="rId26">
        <w:r>
          <w:rPr>
            <w:rStyle w:val="Hyperlink"/>
            <w:color w:val="0645AD"/>
            <w:u w:val="single"/>
          </w:rPr>
          <w:t xml:space="preserve">OCC Rule 5.22(l)(1)</w:t>
        </w:r>
      </w:hyperlink>
    </w:p>
    <w:p>
      <w:pPr>
        <w:pStyle w:val="Compact"/>
        <w:numPr>
          <w:ilvl w:val="0"/>
          <w:numId w:val="1005"/>
        </w:numPr>
      </w:pPr>
      <w:hyperlink r:id="rId183">
        <w:r>
          <w:rPr>
            <w:rStyle w:val="Hyperlink"/>
            <w:color w:val="0645AD"/>
            <w:u w:val="single"/>
          </w:rPr>
          <w:t xml:space="preserve">Reg S-K Rule 229.407(e)(5)(i)</w:t>
        </w:r>
      </w:hyperlink>
    </w:p>
    <w:p>
      <w:pPr>
        <w:pStyle w:val="Compact"/>
        <w:numPr>
          <w:ilvl w:val="0"/>
          <w:numId w:val="1005"/>
        </w:numPr>
      </w:pPr>
      <w:hyperlink r:id="rId123">
        <w:r>
          <w:rPr>
            <w:rStyle w:val="Hyperlink"/>
            <w:color w:val="0645AD"/>
            <w:u w:val="single"/>
          </w:rPr>
          <w:t xml:space="preserve">Regulation O FAQs</w:t>
        </w:r>
      </w:hyperlink>
    </w:p>
    <w:p>
      <w:pPr>
        <w:pStyle w:val="Compact"/>
        <w:numPr>
          <w:ilvl w:val="0"/>
          <w:numId w:val="1005"/>
        </w:numPr>
      </w:pPr>
      <w:hyperlink r:id="rId184">
        <w:r>
          <w:rPr>
            <w:rStyle w:val="Hyperlink"/>
            <w:color w:val="0645AD"/>
            <w:u w:val="single"/>
          </w:rPr>
          <w:t xml:space="preserve">Regulation S-K, Section 233.03</w:t>
        </w:r>
      </w:hyperlink>
    </w:p>
    <w:p>
      <w:pPr>
        <w:pStyle w:val="Compact"/>
        <w:numPr>
          <w:ilvl w:val="0"/>
          <w:numId w:val="1005"/>
        </w:numPr>
      </w:pPr>
      <w:hyperlink r:id="rId108">
        <w:r>
          <w:rPr>
            <w:rStyle w:val="Hyperlink"/>
            <w:color w:val="0645AD"/>
            <w:u w:val="single"/>
          </w:rPr>
          <w:t xml:space="preserve">Rescission of OCC Guidelines Establishing Standards for Recovery Planning</w:t>
        </w:r>
      </w:hyperlink>
    </w:p>
    <w:p>
      <w:pPr>
        <w:pStyle w:val="Compact"/>
        <w:numPr>
          <w:ilvl w:val="0"/>
          <w:numId w:val="1005"/>
        </w:numPr>
      </w:pPr>
      <w:hyperlink r:id="rId137">
        <w:r>
          <w:rPr>
            <w:rStyle w:val="Hyperlink"/>
            <w:color w:val="0645AD"/>
            <w:u w:val="single"/>
          </w:rPr>
          <w:t xml:space="preserve">SEA Section 10A(m)(6)</w:t>
        </w:r>
      </w:hyperlink>
    </w:p>
    <w:p>
      <w:pPr>
        <w:pStyle w:val="Compact"/>
        <w:numPr>
          <w:ilvl w:val="0"/>
          <w:numId w:val="1005"/>
        </w:numPr>
      </w:pPr>
      <w:hyperlink r:id="rId224">
        <w:r>
          <w:rPr>
            <w:rStyle w:val="Hyperlink"/>
            <w:color w:val="0645AD"/>
            <w:u w:val="single"/>
          </w:rPr>
          <w:t xml:space="preserve">SEA Section 13(k)(1)</w:t>
        </w:r>
      </w:hyperlink>
    </w:p>
    <w:p>
      <w:pPr>
        <w:pStyle w:val="Compact"/>
        <w:numPr>
          <w:ilvl w:val="0"/>
          <w:numId w:val="1005"/>
        </w:numPr>
      </w:pPr>
      <w:hyperlink r:id="rId185">
        <w:r>
          <w:rPr>
            <w:rStyle w:val="Hyperlink"/>
            <w:color w:val="0645AD"/>
            <w:u w:val="single"/>
          </w:rPr>
          <w:t xml:space="preserve">SEA Section 14(i)</w:t>
        </w:r>
      </w:hyperlink>
    </w:p>
    <w:p>
      <w:pPr>
        <w:pStyle w:val="Compact"/>
        <w:numPr>
          <w:ilvl w:val="0"/>
          <w:numId w:val="1005"/>
        </w:numPr>
      </w:pPr>
      <w:hyperlink r:id="rId46">
        <w:r>
          <w:rPr>
            <w:rStyle w:val="Hyperlink"/>
            <w:color w:val="0645AD"/>
            <w:u w:val="single"/>
          </w:rPr>
          <w:t xml:space="preserve">SEC</w:t>
        </w:r>
      </w:hyperlink>
    </w:p>
    <w:p>
      <w:pPr>
        <w:pStyle w:val="Compact"/>
        <w:numPr>
          <w:ilvl w:val="0"/>
          <w:numId w:val="1005"/>
        </w:numPr>
      </w:pPr>
      <w:hyperlink r:id="rId138">
        <w:r>
          <w:rPr>
            <w:rStyle w:val="Hyperlink"/>
            <w:color w:val="0645AD"/>
            <w:u w:val="single"/>
          </w:rPr>
          <w:t xml:space="preserve">SR 02-20</w:t>
        </w:r>
      </w:hyperlink>
    </w:p>
    <w:p>
      <w:pPr>
        <w:pStyle w:val="Compact"/>
        <w:numPr>
          <w:ilvl w:val="0"/>
          <w:numId w:val="1005"/>
        </w:numPr>
      </w:pPr>
      <w:hyperlink r:id="rId121">
        <w:r>
          <w:rPr>
            <w:rStyle w:val="Hyperlink"/>
            <w:color w:val="0645AD"/>
            <w:u w:val="single"/>
          </w:rPr>
          <w:t xml:space="preserve">SR 11-10, Governance</w:t>
        </w:r>
      </w:hyperlink>
    </w:p>
    <w:p>
      <w:pPr>
        <w:pStyle w:val="Compact"/>
        <w:numPr>
          <w:ilvl w:val="0"/>
          <w:numId w:val="1005"/>
        </w:numPr>
      </w:pPr>
      <w:hyperlink r:id="rId143">
        <w:r>
          <w:rPr>
            <w:rStyle w:val="Hyperlink"/>
            <w:color w:val="0645AD"/>
            <w:u w:val="single"/>
          </w:rPr>
          <w:t xml:space="preserve">SR 26-2 (Federal Reserve, Apr. 17, 2026)</w:t>
        </w:r>
      </w:hyperlink>
    </w:p>
    <w:p>
      <w:pPr>
        <w:pStyle w:val="Compact"/>
        <w:numPr>
          <w:ilvl w:val="0"/>
          <w:numId w:val="1005"/>
        </w:numPr>
      </w:pPr>
      <w:hyperlink r:id="rId254">
        <w:r>
          <w:rPr>
            <w:rStyle w:val="Hyperlink"/>
            <w:color w:val="0645AD"/>
            <w:u w:val="single"/>
          </w:rPr>
          <w:t xml:space="preserve">OCC Bulletin 2026-13 (OCC, Apr. 17, 2026)</w:t>
        </w:r>
      </w:hyperlink>
    </w:p>
    <w:p>
      <w:pPr>
        <w:pStyle w:val="Compact"/>
        <w:numPr>
          <w:ilvl w:val="0"/>
          <w:numId w:val="1005"/>
        </w:numPr>
      </w:pPr>
      <w:hyperlink r:id="rId32">
        <w:r>
          <w:rPr>
            <w:rStyle w:val="Hyperlink"/>
            <w:color w:val="0645AD"/>
            <w:u w:val="single"/>
          </w:rPr>
          <w:t xml:space="preserve">SR 12-17 §A.2.a</w:t>
        </w:r>
      </w:hyperlink>
    </w:p>
    <w:p>
      <w:pPr>
        <w:pStyle w:val="Compact"/>
        <w:numPr>
          <w:ilvl w:val="0"/>
          <w:numId w:val="1005"/>
        </w:numPr>
      </w:pPr>
      <w:hyperlink r:id="rId197">
        <w:r>
          <w:rPr>
            <w:rStyle w:val="Hyperlink"/>
            <w:color w:val="0645AD"/>
            <w:u w:val="single"/>
          </w:rPr>
          <w:t xml:space="preserve">SR 13-24 (Guideline 1)</w:t>
        </w:r>
      </w:hyperlink>
    </w:p>
    <w:p>
      <w:pPr>
        <w:pStyle w:val="Compact"/>
        <w:numPr>
          <w:ilvl w:val="0"/>
          <w:numId w:val="1005"/>
        </w:numPr>
      </w:pPr>
      <w:hyperlink r:id="rId129">
        <w:r>
          <w:rPr>
            <w:rStyle w:val="Hyperlink"/>
            <w:color w:val="0645AD"/>
            <w:u w:val="single"/>
          </w:rPr>
          <w:t xml:space="preserve">SR 13-3</w:t>
        </w:r>
      </w:hyperlink>
    </w:p>
    <w:p>
      <w:pPr>
        <w:pStyle w:val="Compact"/>
        <w:numPr>
          <w:ilvl w:val="0"/>
          <w:numId w:val="1005"/>
        </w:numPr>
      </w:pPr>
      <w:hyperlink r:id="rId201">
        <w:r>
          <w:rPr>
            <w:rStyle w:val="Hyperlink"/>
            <w:color w:val="0645AD"/>
            <w:u w:val="single"/>
          </w:rPr>
          <w:t xml:space="preserve">SR 14-8 (Role of the Board of Directors)</w:t>
        </w:r>
      </w:hyperlink>
    </w:p>
    <w:p>
      <w:pPr>
        <w:pStyle w:val="Compact"/>
        <w:numPr>
          <w:ilvl w:val="0"/>
          <w:numId w:val="1005"/>
        </w:numPr>
      </w:pPr>
      <w:hyperlink r:id="rId202">
        <w:r>
          <w:rPr>
            <w:rStyle w:val="Hyperlink"/>
            <w:color w:val="0645AD"/>
            <w:u w:val="single"/>
          </w:rPr>
          <w:t xml:space="preserve">SR 14-8, Page 4</w:t>
        </w:r>
      </w:hyperlink>
    </w:p>
    <w:p>
      <w:pPr>
        <w:pStyle w:val="Compact"/>
        <w:numPr>
          <w:ilvl w:val="0"/>
          <w:numId w:val="1005"/>
        </w:numPr>
      </w:pPr>
      <w:hyperlink r:id="rId94">
        <w:r>
          <w:rPr>
            <w:rStyle w:val="Hyperlink"/>
            <w:color w:val="0645AD"/>
            <w:u w:val="single"/>
          </w:rPr>
          <w:t xml:space="preserve">SR 21-3 (Introduction)</w:t>
        </w:r>
      </w:hyperlink>
    </w:p>
    <w:p>
      <w:pPr>
        <w:pStyle w:val="Compact"/>
        <w:numPr>
          <w:ilvl w:val="0"/>
          <w:numId w:val="1005"/>
        </w:numPr>
      </w:pPr>
      <w:hyperlink r:id="rId95">
        <w:r>
          <w:rPr>
            <w:rStyle w:val="Hyperlink"/>
            <w:color w:val="0645AD"/>
            <w:u w:val="single"/>
          </w:rPr>
          <w:t xml:space="preserve">SR 21-3, Attachment, Page 2</w:t>
        </w:r>
      </w:hyperlink>
    </w:p>
    <w:p>
      <w:pPr>
        <w:pStyle w:val="Compact"/>
        <w:numPr>
          <w:ilvl w:val="0"/>
          <w:numId w:val="1005"/>
        </w:numPr>
      </w:pPr>
      <w:hyperlink r:id="rId96">
        <w:r>
          <w:rPr>
            <w:rStyle w:val="Hyperlink"/>
            <w:color w:val="0645AD"/>
            <w:u w:val="single"/>
          </w:rPr>
          <w:t xml:space="preserve">SR 21-3, Page 2</w:t>
        </w:r>
      </w:hyperlink>
    </w:p>
    <w:p>
      <w:pPr>
        <w:pStyle w:val="Compact"/>
        <w:numPr>
          <w:ilvl w:val="0"/>
          <w:numId w:val="1005"/>
        </w:numPr>
      </w:pPr>
      <w:hyperlink r:id="rId95">
        <w:r>
          <w:rPr>
            <w:rStyle w:val="Hyperlink"/>
            <w:color w:val="0645AD"/>
            <w:u w:val="single"/>
          </w:rPr>
          <w:t xml:space="preserve">SR 21-3, Page 7</w:t>
        </w:r>
      </w:hyperlink>
    </w:p>
    <w:p>
      <w:pPr>
        <w:pStyle w:val="Compact"/>
        <w:numPr>
          <w:ilvl w:val="0"/>
          <w:numId w:val="1005"/>
        </w:numPr>
      </w:pPr>
      <w:hyperlink r:id="rId97">
        <w:r>
          <w:rPr>
            <w:rStyle w:val="Hyperlink"/>
            <w:color w:val="0645AD"/>
            <w:u w:val="single"/>
          </w:rPr>
          <w:t xml:space="preserve">SR 95-51</w:t>
        </w:r>
      </w:hyperlink>
    </w:p>
    <w:p>
      <w:pPr>
        <w:pStyle w:val="Compact"/>
        <w:numPr>
          <w:ilvl w:val="0"/>
          <w:numId w:val="1005"/>
        </w:numPr>
      </w:pPr>
      <w:hyperlink r:id="rId40">
        <w:r>
          <w:rPr>
            <w:rStyle w:val="Hyperlink"/>
            <w:color w:val="0645AD"/>
            <w:u w:val="single"/>
          </w:rPr>
          <w:t xml:space="preserve">caffrey.ai</w:t>
        </w:r>
      </w:hyperlink>
    </w:p>
    <w:p>
      <w:pPr>
        <w:pStyle w:val="Compact"/>
        <w:numPr>
          <w:ilvl w:val="0"/>
          <w:numId w:val="1005"/>
        </w:numPr>
      </w:pPr>
      <w:hyperlink r:id="rId44">
        <w:r>
          <w:rPr>
            <w:rStyle w:val="Hyperlink"/>
            <w:color w:val="0645AD"/>
            <w:u w:val="single"/>
          </w:rPr>
          <w:t xml:space="preserve">caffrey.ai</w:t>
        </w:r>
      </w:hyperlink>
    </w:p>
    <w:p>
      <w:pPr>
        <w:pStyle w:val="Compact"/>
        <w:numPr>
          <w:ilvl w:val="0"/>
          <w:numId w:val="1005"/>
        </w:numPr>
      </w:pPr>
      <w:hyperlink r:id="rId45">
        <w:r>
          <w:rPr>
            <w:rStyle w:val="Hyperlink"/>
            <w:color w:val="0645AD"/>
            <w:u w:val="single"/>
          </w:rPr>
          <w:t xml:space="preserve">caffrey.ai</w:t>
        </w:r>
      </w:hyperlink>
    </w:p>
    <w:p>
      <w:pPr>
        <w:pStyle w:val="Compact"/>
        <w:numPr>
          <w:ilvl w:val="0"/>
          <w:numId w:val="1005"/>
        </w:numPr>
      </w:pPr>
      <w:hyperlink r:id="rId74">
        <w:r>
          <w:rPr>
            <w:rStyle w:val="Hyperlink"/>
            <w:color w:val="0645AD"/>
            <w:u w:val="single"/>
          </w:rPr>
          <w:t xml:space="preserve">dirwaiv</w:t>
        </w:r>
      </w:hyperlink>
    </w:p>
    <w:p>
      <w:pPr>
        <w:pStyle w:val="Compact"/>
        <w:numPr>
          <w:ilvl w:val="0"/>
          <w:numId w:val="1005"/>
        </w:numPr>
      </w:pPr>
      <w:hyperlink r:id="rId39">
        <w:r>
          <w:rPr>
            <w:rStyle w:val="Hyperlink"/>
            <w:color w:val="0645AD"/>
            <w:u w:val="single"/>
          </w:rPr>
          <w:t xml:space="preserve">govinfo</w:t>
        </w:r>
      </w:hyperlink>
    </w:p>
    <w:bookmarkEnd w:id="255"/>
    <w:p/>
    <w:p>
      <w:r>
        <w:rPr>
          <w:rFonts w:ascii="Pretendard" w:hAnsi="Pretendard"/>
          <w:i/>
          <w:color w:val="666666"/>
          <w:sz w:val="18"/>
        </w:rPr>
        <w:t>This document was generated by AI. Please review all content and verify against primary sources before relying on it.</w:t>
      </w:r>
    </w:p>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560" w:line="240" w:lineRule="auto"/>
      <w:outlineLvl w:val="0"/>
    </w:pPr>
    <w:rPr>
      <w:rFonts w:asciiTheme="majorHAnsi" w:cstheme="majorBidi" w:eastAsiaTheme="majorEastAsia" w:hAnsiTheme="majorHAnsi"/>
      <w:b/>
      <w:bCs/>
      <w:color w:val="1C1C1C"/>
      <w:sz w:val="36"/>
      <w:szCs w:val="28"/>
    </w:rPr>
  </w:style>
  <w:style w:styleId="Heading2" w:type="paragraph">
    <w:name w:val="heading 2"/>
    <w:basedOn w:val="Normal"/>
    <w:next w:val="Normal"/>
    <w:link w:val="Heading2Char"/>
    <w:uiPriority w:val="9"/>
    <w:unhideWhenUsed/>
    <w:qFormat/>
    <w:rsid w:val="00FC693F"/>
    <w:pPr>
      <w:keepNext/>
      <w:keepLines/>
      <w:spacing w:after="60" w:before="360"/>
      <w:outlineLvl w:val="1"/>
    </w:pPr>
    <w:rPr>
      <w:rFonts w:asciiTheme="majorHAnsi" w:cstheme="majorBidi" w:eastAsiaTheme="majorEastAsia" w:hAnsiTheme="majorHAnsi"/>
      <w:b/>
      <w:bCs/>
      <w:color w:val="1C1C1C"/>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b/>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b/>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b/>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b/>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b/>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56" Type="http://schemas.openxmlformats.org/officeDocument/2006/relationships/hyperlink" Target="https://caffrey.ai/news/01/15/2016/u.s.-agencies-support-basel-committee-guidance-external-audits-banks" TargetMode="External"/><Relationship Id="rId203" Type="http://schemas.openxmlformats.org/officeDocument/2006/relationships/hyperlink" Target="https://caffrey.ai/node/154688" TargetMode="External"/><Relationship Id="rId62" Type="http://schemas.openxmlformats.org/officeDocument/2006/relationships/hyperlink" Target="https://caffrey.ai/node/155715" TargetMode="External"/><Relationship Id="rId26" Type="http://schemas.openxmlformats.org/officeDocument/2006/relationships/hyperlink" Target="https://caffrey.ai/node/159858" TargetMode="External"/><Relationship Id="rId181" Type="http://schemas.openxmlformats.org/officeDocument/2006/relationships/hyperlink" Target="https://caffrey.ai/node/184932" TargetMode="External"/><Relationship Id="rId206" Type="http://schemas.openxmlformats.org/officeDocument/2006/relationships/hyperlink" Target="https://caffrey.ai/node/457391" TargetMode="External"/><Relationship Id="rId168" Type="http://schemas.openxmlformats.org/officeDocument/2006/relationships/hyperlink" Target="https://caffrey.ai/node/557113" TargetMode="External"/><Relationship Id="rId147" Type="http://schemas.openxmlformats.org/officeDocument/2006/relationships/hyperlink" Target="https://caffrey.ai/node/614007" TargetMode="External"/><Relationship Id="rId208" Type="http://schemas.openxmlformats.org/officeDocument/2006/relationships/hyperlink" Target="https://caffrey.ai/node/656543" TargetMode="External"/><Relationship Id="rId90" Type="http://schemas.openxmlformats.org/officeDocument/2006/relationships/hyperlink" Target="https://caffrey.ai/node/77871" TargetMode="External"/><Relationship Id="rId116" Type="http://schemas.openxmlformats.org/officeDocument/2006/relationships/hyperlink" Target="https://caffrey.ai/node/78427" TargetMode="External"/><Relationship Id="rId100" Type="http://schemas.openxmlformats.org/officeDocument/2006/relationships/hyperlink" Target="https://caffrey.ai/node/86853" TargetMode="External"/><Relationship Id="rId135" Type="http://schemas.openxmlformats.org/officeDocument/2006/relationships/hyperlink" Target="https://caffrey.ai/us-federal/trade/industry-associations/rulebook-consolidated/nyse-listed-company-manual" TargetMode="External"/><Relationship Id="rId108" Type="http://schemas.openxmlformats.org/officeDocument/2006/relationships/hyperlink" Target="https://caffrey.ai/us-federal/treasury/fincen/ofac/cfius/notices/sro-rule-filings/bulletins/rescission-occ-guidelines-establishing-standards-recovery-planning-certain-large-insured-national-banks-insured-federal-savings-associations-and-insured-federal-branches" TargetMode="External"/><Relationship Id="rId118" Type="http://schemas.openxmlformats.org/officeDocument/2006/relationships/hyperlink" Target="https://caffrey.ai/us-federal/us-banking-regulators/guidance/interpretations/comptrollers-handbook-safety-and-soundness-asset-quality-commercial-real-estate-lending" TargetMode="External"/><Relationship Id="rId91" Type="http://schemas.openxmlformats.org/officeDocument/2006/relationships/hyperlink" Target="https://caffrey.ai/us-federal/us-banking-regulators/guidance/interpretations/comptrollers-handbook-safety-and-soundness-management-corporate-and-risk-governance" TargetMode="External"/><Relationship Id="rId123" Type="http://schemas.openxmlformats.org/officeDocument/2006/relationships/hyperlink" Target="https://caffrey.ai/us-federal/us-banking-regulators/guidance/interpretations/faqs-frequently-asked-questions-about-regulation-o" TargetMode="External"/><Relationship Id="rId106" Type="http://schemas.openxmlformats.org/officeDocument/2006/relationships/hyperlink" Target="https://caffrey.ai/us-federal/us-banking-regulators/guidance/interpretations/federal-reserve-commercial-bank-examination-manual-3000-capital-earnings-liquidity-and-sensitivity-market-risk" TargetMode="External"/><Relationship Id="rId24" Type="http://schemas.openxmlformats.org/officeDocument/2006/relationships/hyperlink" Target="https://caffrey.ai/us-federal/us-banking-regulators/guidance/interpretations/federal-reserve-commercial-bank-examination-manual-4000-management-activities-and-internal-controls" TargetMode="External"/><Relationship Id="rId25" Type="http://schemas.openxmlformats.org/officeDocument/2006/relationships/hyperlink" Target="https://caffrey.ai/us-federal/us-banking-regulators/guidance/interpretations/occ-comptrollers-licensing-manual" TargetMode="External"/><Relationship Id="rId138" Type="http://schemas.openxmlformats.org/officeDocument/2006/relationships/hyperlink" Target="https://caffrey.ai/us-federal/us-banking-regulators/guidance/interpretations/sr-02-20-sarbanes-oxley-act-2002" TargetMode="External"/><Relationship Id="rId121" Type="http://schemas.openxmlformats.org/officeDocument/2006/relationships/hyperlink" Target="https://caffrey.ai/us-federal/us-banking-regulators/guidance/interpretations/sr-11-10-interagency-counterparty-credit-risk-management-guidance" TargetMode="External"/><Relationship Id="rId32" Type="http://schemas.openxmlformats.org/officeDocument/2006/relationships/hyperlink" Target="https://caffrey.ai/us-federal/us-banking-regulators/guidance/interpretations/sr-12-17-consolidated-supervision-framework-large-financial-institutions" TargetMode="External"/><Relationship Id="rId197" Type="http://schemas.openxmlformats.org/officeDocument/2006/relationships/hyperlink" Target="https://caffrey.ai/us-federal/us-banking-regulators/guidance/interpretations/sr-13-24-managing-foreign-exchange-settlement-risks-physically-settled-transactions" TargetMode="External"/><Relationship Id="rId129" Type="http://schemas.openxmlformats.org/officeDocument/2006/relationships/hyperlink" Target="https://caffrey.ai/us-federal/us-banking-regulators/guidance/interpretations/sr-13-3-interagency-guidance-leveraged-lending" TargetMode="External"/><Relationship Id="rId201" Type="http://schemas.openxmlformats.org/officeDocument/2006/relationships/hyperlink" Target="https://caffrey.ai/us-federal/us-banking-regulators/guidance/interpretations/sr-14-8-consolidated-recovery-planning-certain-large-domestic-bank-holding-companies" TargetMode="External"/><Relationship Id="rId97" Type="http://schemas.openxmlformats.org/officeDocument/2006/relationships/hyperlink" Target="https://caffrey.ai/us-federal/us-banking-regulators/guidance/interpretations/sr-95-51-rating-adequacy-risk-management-processes-and-internal-controls-state-member-banks-and-bank-holding-companies" TargetMode="External"/><Relationship Id="rId176" Type="http://schemas.openxmlformats.org/officeDocument/2006/relationships/hyperlink" Target="https://caffrey.ai/us-federal/us-banking-regulators/notices/sro-rule-filings/bulletins/occ-bulletin-2010-24-incentive-compensation-interagency-guidance-sound-incentive-compensation-policies" TargetMode="External"/><Relationship Id="rId253" Type="http://schemas.openxmlformats.org/officeDocument/2006/relationships/hyperlink" Target="https://caffrey.ai/us-federal/us-banking-regulators/notices/sro-rule-filings/bulletins/occ-bulletin-2013-29-third-party-relationships-risk-management-guidance" TargetMode="External"/><Relationship Id="rId23" Type="http://schemas.openxmlformats.org/officeDocument/2006/relationships/hyperlink" Target="https://caffrey.ai/us-federal/us-banking-regulators/notices/sro-rule-filings/bulletins/occ-bulletin-2017-43-new-modified-or-expanded-bank-products-and-services-risk-management-principles" TargetMode="External"/><Relationship Id="rId92" Type="http://schemas.openxmlformats.org/officeDocument/2006/relationships/hyperlink" Target="https://caffrey.ai/us-federal/us-banking-regulators/notices/sro-rule-filings/bulletins/occ-bulletin-2025-51-occ-guidelines-establishing-heightened-standards-certain-large-insured-national-banks-insured-federal-savings-associations-and-insured-federal-branches-notice" TargetMode="External"/><Relationship Id="rId191" Type="http://schemas.openxmlformats.org/officeDocument/2006/relationships/hyperlink" Target="https://caffrey.ai/us/cfr/12/1026.36" TargetMode="External"/><Relationship Id="rId65" Type="http://schemas.openxmlformats.org/officeDocument/2006/relationships/hyperlink" Target="https://caffrey.ai/us/cfr/12/163.180" TargetMode="External"/><Relationship Id="rId150" Type="http://schemas.openxmlformats.org/officeDocument/2006/relationships/hyperlink" Target="https://caffrey.ai/us/cfr/12/21.21" TargetMode="External"/><Relationship Id="rId104" Type="http://schemas.openxmlformats.org/officeDocument/2006/relationships/hyperlink" Target="https://caffrey.ai/us/cfr/12/217.122" TargetMode="External"/><Relationship Id="rId55" Type="http://schemas.openxmlformats.org/officeDocument/2006/relationships/hyperlink" Target="https://caffrey.ai/us/cfr/12/225.72" TargetMode="External"/><Relationship Id="rId56" Type="http://schemas.openxmlformats.org/officeDocument/2006/relationships/hyperlink" Target="https://caffrey.ai/us/cfr/12/225.73" TargetMode="External"/><Relationship Id="rId35" Type="http://schemas.openxmlformats.org/officeDocument/2006/relationships/hyperlink" Target="https://caffrey.ai/us/cfr/12/252.147" TargetMode="External"/><Relationship Id="rId210" Type="http://schemas.openxmlformats.org/officeDocument/2006/relationships/hyperlink" Target="https://caffrey.ai/us/cfr/12/252.153" TargetMode="External"/><Relationship Id="rId101" Type="http://schemas.openxmlformats.org/officeDocument/2006/relationships/hyperlink" Target="https://caffrey.ai/us/cfr/12/252.47" TargetMode="External"/><Relationship Id="rId103" Type="http://schemas.openxmlformats.org/officeDocument/2006/relationships/hyperlink" Target="https://caffrey.ai/us/cfr/12/3.122" TargetMode="External"/><Relationship Id="rId164" Type="http://schemas.openxmlformats.org/officeDocument/2006/relationships/hyperlink" Target="https://caffrey.ai/us/cfr/12/326.4" TargetMode="External"/><Relationship Id="rId151" Type="http://schemas.openxmlformats.org/officeDocument/2006/relationships/hyperlink" Target="https://caffrey.ai/us/cfr/12/326.8" TargetMode="External"/><Relationship Id="rId63" Type="http://schemas.openxmlformats.org/officeDocument/2006/relationships/hyperlink" Target="https://caffrey.ai/us/cfr/12/359.5" TargetMode="External"/><Relationship Id="rId134" Type="http://schemas.openxmlformats.org/officeDocument/2006/relationships/hyperlink" Target="https://caffrey.ai/us/cfr/12/appendix_a_to_part_363" TargetMode="External"/><Relationship Id="rId110" Type="http://schemas.openxmlformats.org/officeDocument/2006/relationships/hyperlink" Target="https://caffrey.ai/us/cfr/12/appendix_a_to_part_364" TargetMode="External"/><Relationship Id="rId207" Type="http://schemas.openxmlformats.org/officeDocument/2006/relationships/hyperlink" Target="https://caffrey.ai/us/cfr/12/appendix_e_to_part_30" TargetMode="External"/><Relationship Id="rId125" Type="http://schemas.openxmlformats.org/officeDocument/2006/relationships/hyperlink" Target="https://caffrey.ai/us/cfr/12/part-206" TargetMode="External"/><Relationship Id="rId183" Type="http://schemas.openxmlformats.org/officeDocument/2006/relationships/hyperlink" Target="https://caffrey.ai/us/cfr/17/229.407" TargetMode="External"/><Relationship Id="rId59" Type="http://schemas.openxmlformats.org/officeDocument/2006/relationships/hyperlink" Target="https://caffrey.ai/us/cfr/17/75.11" TargetMode="External"/><Relationship Id="rId186" Type="http://schemas.openxmlformats.org/officeDocument/2006/relationships/hyperlink" Target="https://caffrey.ai/us/cfr/17/appendix_z_to_part_75" TargetMode="External"/><Relationship Id="rId31" Type="http://schemas.openxmlformats.org/officeDocument/2006/relationships/hyperlink" Target="https://caffrey.ai/us/fr/2014-05699" TargetMode="External"/><Relationship Id="rId112" Type="http://schemas.openxmlformats.org/officeDocument/2006/relationships/hyperlink" Target="https://caffrey.ai/us/fr/2019-22656" TargetMode="External"/><Relationship Id="rId111" Type="http://schemas.openxmlformats.org/officeDocument/2006/relationships/hyperlink" Target="https://caffrey.ai/us/fr/2020-10292" TargetMode="External"/><Relationship Id="rId250" Type="http://schemas.openxmlformats.org/officeDocument/2006/relationships/hyperlink" Target="https://caffrey.ai/us/fr/2022-21414" TargetMode="External"/><Relationship Id="rId114" Type="http://schemas.openxmlformats.org/officeDocument/2006/relationships/hyperlink" Target="https://caffrey.ai/us/fr/2023-08876" TargetMode="External"/><Relationship Id="rId22" Type="http://schemas.openxmlformats.org/officeDocument/2006/relationships/hyperlink" Target="https://caffrey.ai/us/fr/2023-12340" TargetMode="External"/><Relationship Id="rId73" Type="http://schemas.openxmlformats.org/officeDocument/2006/relationships/hyperlink" Target="https://caffrey.ai/us/fr/2023-19200" TargetMode="External"/><Relationship Id="rId72" Type="http://schemas.openxmlformats.org/officeDocument/2006/relationships/hyperlink" Target="https://caffrey.ai/us/fr/2023-22421" TargetMode="External"/><Relationship Id="rId98" Type="http://schemas.openxmlformats.org/officeDocument/2006/relationships/hyperlink" Target="https://caffrey.ai/us/fr/2023-23844" TargetMode="External"/><Relationship Id="rId193" Type="http://schemas.openxmlformats.org/officeDocument/2006/relationships/hyperlink" Target="https://caffrey.ai/us/fr/2023-28629" TargetMode="External"/><Relationship Id="rId158" Type="http://schemas.openxmlformats.org/officeDocument/2006/relationships/hyperlink" Target="https://caffrey.ai/us/fr/2024-14414" TargetMode="External"/><Relationship Id="rId231" Type="http://schemas.openxmlformats.org/officeDocument/2006/relationships/hyperlink" Target="https://caffrey.ai/us/fr/2024-16197" TargetMode="External"/><Relationship Id="rId140" Type="http://schemas.openxmlformats.org/officeDocument/2006/relationships/hyperlink" Target="https://caffrey.ai/us/fr/2025-14132" TargetMode="External"/><Relationship Id="rId251" Type="http://schemas.openxmlformats.org/officeDocument/2006/relationships/hyperlink" Target="https://caffrey.ai/us/fr/2025-20199" TargetMode="External"/><Relationship Id="rId41" Type="http://schemas.openxmlformats.org/officeDocument/2006/relationships/hyperlink" Target="https://caffrey.ai/us/fr/2025-21914" TargetMode="External"/><Relationship Id="rId75" Type="http://schemas.openxmlformats.org/officeDocument/2006/relationships/hyperlink" Target="https://caffrey.ai/us/fr/2025-23986" TargetMode="External"/><Relationship Id="rId53" Type="http://schemas.openxmlformats.org/officeDocument/2006/relationships/hyperlink" Target="https://caffrey.ai/us/fr/2026-03086" TargetMode="External"/><Relationship Id="rId71" Type="http://schemas.openxmlformats.org/officeDocument/2006/relationships/hyperlink" Target="https://caffrey.ai/us/fr/2026-04089" TargetMode="External"/><Relationship Id="rId159" Type="http://schemas.openxmlformats.org/officeDocument/2006/relationships/hyperlink" Target="https://caffrey.ai/us/fr/2026-06948" TargetMode="External"/><Relationship Id="rId45" Type="http://schemas.openxmlformats.org/officeDocument/2006/relationships/hyperlink" Target="https://caffrey.ai/us/usc/t12/s1817" TargetMode="External"/><Relationship Id="rId44" Type="http://schemas.openxmlformats.org/officeDocument/2006/relationships/hyperlink" Target="https://caffrey.ai/us/usc/t12/s1818" TargetMode="External"/><Relationship Id="rId40" Type="http://schemas.openxmlformats.org/officeDocument/2006/relationships/hyperlink" Target="https://caffrey.ai/us/usc/t12/s1831m" TargetMode="External"/><Relationship Id="rId60" Type="http://schemas.openxmlformats.org/officeDocument/2006/relationships/hyperlink" Target="https://caffrey.ai/us/usc/t12/s375b" TargetMode="External"/><Relationship Id="rId137" Type="http://schemas.openxmlformats.org/officeDocument/2006/relationships/hyperlink" Target="https://caffrey.ai/us/usc/t15/s78j-1" TargetMode="External"/><Relationship Id="rId224" Type="http://schemas.openxmlformats.org/officeDocument/2006/relationships/hyperlink" Target="https://caffrey.ai/us/usc/t15/s78m" TargetMode="External"/><Relationship Id="rId185" Type="http://schemas.openxmlformats.org/officeDocument/2006/relationships/hyperlink" Target="https://caffrey.ai/us/usc/t15/s78n" TargetMode="External"/><Relationship Id="rId204" Type="http://schemas.openxmlformats.org/officeDocument/2006/relationships/hyperlink" Target="https://www.ecfr.gov/current/title-12/chapter-II/subchapter-A/part-243/section-243.4" TargetMode="External"/><Relationship Id="rId34" Type="http://schemas.openxmlformats.org/officeDocument/2006/relationships/hyperlink" Target="https://www.ecfr.gov/current/title-12/chapter-II/subchapter-A/part-252" TargetMode="External"/><Relationship Id="rId102" Type="http://schemas.openxmlformats.org/officeDocument/2006/relationships/hyperlink" Target="https://www.ecfr.gov/current/title-12/chapter-II/subchapter-A/part-252/subpart-E/section-252.47" TargetMode="External"/><Relationship Id="rId131" Type="http://schemas.openxmlformats.org/officeDocument/2006/relationships/hyperlink" Target="https://www.ecfr.gov/current/title-12/chapter-III/subchapter-B/part-381" TargetMode="External"/><Relationship Id="rId205" Type="http://schemas.openxmlformats.org/officeDocument/2006/relationships/hyperlink" Target="https://www.ecfr.gov/current/title-12/chapter-III/subchapter-B/part-381/section-381.4" TargetMode="External"/><Relationship Id="rId36" Type="http://schemas.openxmlformats.org/officeDocument/2006/relationships/hyperlink" Target="https://www.fdic.gov/news/board-matters/2011/06july2011no7.pdf" TargetMode="External"/><Relationship Id="rId38" Type="http://schemas.openxmlformats.org/officeDocument/2006/relationships/hyperlink" Target="https://www.fdic.gov/news/financial-institution-letters/1995/fil9549a.html" TargetMode="External"/><Relationship Id="rId179" Type="http://schemas.openxmlformats.org/officeDocument/2006/relationships/hyperlink" Target="https://www.fdic.gov/news/financial-institution-letters/2010/fil10066a.pdf" TargetMode="External"/><Relationship Id="rId172" Type="http://schemas.openxmlformats.org/officeDocument/2006/relationships/hyperlink" Target="https://www.federalregister.gov/documents/2023/06/09/2023-12340/interagency-guidance-on-third-party-relationships-risk-management" TargetMode="External"/><Relationship Id="rId105" Type="http://schemas.openxmlformats.org/officeDocument/2006/relationships/hyperlink" Target="https://www.federalreserve.gov/aboutthefed/boardmeetings/files/draft-frb-fr-notice-20181031.pdf" TargetMode="External"/><Relationship Id="rId43" Type="http://schemas.openxmlformats.org/officeDocument/2006/relationships/hyperlink" Target="https://www.federalreserve.gov/boarddocs/press/bcreg/2002/20021127/attachment1.pdf" TargetMode="External"/><Relationship Id="rId94" Type="http://schemas.openxmlformats.org/officeDocument/2006/relationships/hyperlink" Target="https://www.federalreserve.gov/supervisionreg/srletters/SR2103.htm" TargetMode="External"/><Relationship Id="rId95" Type="http://schemas.openxmlformats.org/officeDocument/2006/relationships/hyperlink" Target="https://www.federalreserve.gov/supervisionreg/srletters/SR2103.pdf" TargetMode="External"/><Relationship Id="rId96" Type="http://schemas.openxmlformats.org/officeDocument/2006/relationships/hyperlink" Target="https://www.federalreserve.gov/supervisionreg/srletters/SR2103a1.pdf" TargetMode="External"/><Relationship Id="rId82" Type="http://schemas.openxmlformats.org/officeDocument/2006/relationships/hyperlink" Target="https://www.federalreserve.gov/supervisionreg/srletters/SR2103aCommentSummaryPublication.pdf" TargetMode="External"/><Relationship Id="rId143" Type="http://schemas.openxmlformats.org/officeDocument/2006/relationships/hyperlink" Target="https://www.federalreserve.gov/supervisionreg/srletters/SR2603.htm" TargetMode="External"/><Relationship Id="rId202" Type="http://schemas.openxmlformats.org/officeDocument/2006/relationships/hyperlink" Target="https://www.federalreserve.gov/supervisionreg/srletters/sr1408.pdf" TargetMode="External"/><Relationship Id="rId145" Type="http://schemas.openxmlformats.org/officeDocument/2006/relationships/hyperlink" Target="https://www.ffiec.gov/sites/default/files/media/press-releases/2016/2016-%20it-handbook-information-security-booklet.pdf" TargetMode="External"/><Relationship Id="rId68" Type="http://schemas.openxmlformats.org/officeDocument/2006/relationships/hyperlink" Target="https://www.govinfo.gov/content/pkg/CFR-2023-title12-vol1/pdf/CFR-2023-title12-vol1-part150.pdf" TargetMode="External"/><Relationship Id="rId42" Type="http://schemas.openxmlformats.org/officeDocument/2006/relationships/hyperlink" Target="https://www.govinfo.gov/content/pkg/COMPS-252/pdf/COMPS-252.pdf" TargetMode="External"/><Relationship Id="rId30" Type="http://schemas.openxmlformats.org/officeDocument/2006/relationships/hyperlink" Target="https://www.govinfo.gov/content/pkg/FR-2019-11-01/pdf/2019-23662.pdf" TargetMode="External"/><Relationship Id="rId33" Type="http://schemas.openxmlformats.org/officeDocument/2006/relationships/hyperlink" Target="https://www.govinfo.gov/content/pkg/FR-2025-07-15/pdf/2025-13223.pdf" TargetMode="External"/><Relationship Id="rId177" Type="http://schemas.openxmlformats.org/officeDocument/2006/relationships/hyperlink" Target="https://www.govinfo.gov/link/cfr/12/252?link-type=pdf&amp;sectionnum=30&amp;year=mostrecent" TargetMode="External"/><Relationship Id="rId29" Type="http://schemas.openxmlformats.org/officeDocument/2006/relationships/hyperlink" Target="https://www.govinfo.gov/link/fr/83/61408" TargetMode="External"/><Relationship Id="rId37" Type="http://schemas.openxmlformats.org/officeDocument/2006/relationships/hyperlink" Target="https://www.govinfo.gov/link/uscode/12/1831o-1" TargetMode="External"/><Relationship Id="rId39" Type="http://schemas.openxmlformats.org/officeDocument/2006/relationships/hyperlink" Target="https://www.govinfo.gov/link/uscode/12/1831p-1" TargetMode="External"/><Relationship Id="rId58" Type="http://schemas.openxmlformats.org/officeDocument/2006/relationships/hyperlink" Target="https://www.govinfo.gov/link/uscode/12/371c" TargetMode="External"/><Relationship Id="rId173" Type="http://schemas.openxmlformats.org/officeDocument/2006/relationships/hyperlink" Target="https://www.occ.gov/news-issuances/bulletins/2002/bulletin-2002-16.html" TargetMode="External"/><Relationship Id="rId174" Type="http://schemas.openxmlformats.org/officeDocument/2006/relationships/hyperlink" Target="https://www.occ.gov/news-issuances/bulletins/2017/bulletin-2017-43.html" TargetMode="External"/><Relationship Id="rId117" Type="http://schemas.openxmlformats.org/officeDocument/2006/relationships/hyperlink" Target="https://www.occ.gov/news-issuances/bulletins/2019/bulletin-2019-36.html" TargetMode="External"/><Relationship Id="rId127" Type="http://schemas.openxmlformats.org/officeDocument/2006/relationships/hyperlink" Target="https://www.occ.gov/news-issuances/bulletins/2025/bulletin-2025-45.html" TargetMode="External"/><Relationship Id="rId254" Type="http://schemas.openxmlformats.org/officeDocument/2006/relationships/hyperlink" Target="https://www.occ.gov/news-issuances/bulletins/2026/bulletin-2026-13.html" TargetMode="External"/><Relationship Id="rId67" Type="http://schemas.openxmlformats.org/officeDocument/2006/relationships/hyperlink" Target="https://www.occ.gov/news-issuances/federal-register/1996/61fr68543.pdf" TargetMode="External"/><Relationship Id="rId48" Type="http://schemas.openxmlformats.org/officeDocument/2006/relationships/hyperlink" Target="https://www.occ.gov/news-issuances/federal-register/2014/79fr54518.pdf" TargetMode="External"/><Relationship Id="rId27" Type="http://schemas.openxmlformats.org/officeDocument/2006/relationships/hyperlink" Target="https://www.occ.gov/publications-and-resources/publications/banker-education/files/pub-directors-book.pdf" TargetMode="External"/><Relationship Id="rId252" Type="http://schemas.openxmlformats.org/officeDocument/2006/relationships/hyperlink" Target="https://www.occ.gov/publications-and-resources/publications/comptrollers-handbook/files/interest-rate-risk/pub-ch-interest-rate-risk.pdf" TargetMode="External"/><Relationship Id="rId74" Type="http://schemas.openxmlformats.org/officeDocument/2006/relationships/hyperlink" Target="https://www.occ.gov/publications-and-resources/publications/comptrollers-licensing-manual/files/dirwaiv.pdf" TargetMode="External"/><Relationship Id="rId221" Type="http://schemas.openxmlformats.org/officeDocument/2006/relationships/hyperlink" Target="https://www.sec.gov/newsroom/speeches-statements/munter-audit-2021-10-26" TargetMode="External"/><Relationship Id="rId46" Type="http://schemas.openxmlformats.org/officeDocument/2006/relationships/hyperlink" Target="https://www.sec.gov/rules-regulations/2003/05/improper-influence-conduct-audits" TargetMode="External"/><Relationship Id="rId184" Type="http://schemas.openxmlformats.org/officeDocument/2006/relationships/hyperlink" Target="https://www.sec.gov/rules-regulations/staff-guidance/corporation-finance-interpretations/regulation-s-k"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56" Type="http://schemas.openxmlformats.org/officeDocument/2006/relationships/hyperlink" Target="https://caffrey.ai/news/01/15/2016/u.s.-agencies-support-basel-committee-guidance-external-audits-banks" TargetMode="External"/><Relationship Id="rId203" Type="http://schemas.openxmlformats.org/officeDocument/2006/relationships/hyperlink" Target="https://caffrey.ai/node/154688" TargetMode="External"/><Relationship Id="rId62" Type="http://schemas.openxmlformats.org/officeDocument/2006/relationships/hyperlink" Target="https://caffrey.ai/node/155715" TargetMode="External"/><Relationship Id="rId26" Type="http://schemas.openxmlformats.org/officeDocument/2006/relationships/hyperlink" Target="https://caffrey.ai/node/159858" TargetMode="External"/><Relationship Id="rId181" Type="http://schemas.openxmlformats.org/officeDocument/2006/relationships/hyperlink" Target="https://caffrey.ai/node/184932" TargetMode="External"/><Relationship Id="rId206" Type="http://schemas.openxmlformats.org/officeDocument/2006/relationships/hyperlink" Target="https://caffrey.ai/node/457391" TargetMode="External"/><Relationship Id="rId168" Type="http://schemas.openxmlformats.org/officeDocument/2006/relationships/hyperlink" Target="https://caffrey.ai/node/557113" TargetMode="External"/><Relationship Id="rId147" Type="http://schemas.openxmlformats.org/officeDocument/2006/relationships/hyperlink" Target="https://caffrey.ai/node/614007" TargetMode="External"/><Relationship Id="rId208" Type="http://schemas.openxmlformats.org/officeDocument/2006/relationships/hyperlink" Target="https://caffrey.ai/node/656543" TargetMode="External"/><Relationship Id="rId90" Type="http://schemas.openxmlformats.org/officeDocument/2006/relationships/hyperlink" Target="https://caffrey.ai/node/77871" TargetMode="External"/><Relationship Id="rId116" Type="http://schemas.openxmlformats.org/officeDocument/2006/relationships/hyperlink" Target="https://caffrey.ai/node/78427" TargetMode="External"/><Relationship Id="rId100" Type="http://schemas.openxmlformats.org/officeDocument/2006/relationships/hyperlink" Target="https://caffrey.ai/node/86853" TargetMode="External"/><Relationship Id="rId135" Type="http://schemas.openxmlformats.org/officeDocument/2006/relationships/hyperlink" Target="https://caffrey.ai/us-federal/trade/industry-associations/rulebook-consolidated/nyse-listed-company-manual" TargetMode="External"/><Relationship Id="rId108" Type="http://schemas.openxmlformats.org/officeDocument/2006/relationships/hyperlink" Target="https://caffrey.ai/us-federal/treasury/fincen/ofac/cfius/notices/sro-rule-filings/bulletins/rescission-occ-guidelines-establishing-standards-recovery-planning-certain-large-insured-national-banks-insured-federal-savings-associations-and-insured-federal-branches" TargetMode="External"/><Relationship Id="rId118" Type="http://schemas.openxmlformats.org/officeDocument/2006/relationships/hyperlink" Target="https://caffrey.ai/us-federal/us-banking-regulators/guidance/interpretations/comptrollers-handbook-safety-and-soundness-asset-quality-commercial-real-estate-lending" TargetMode="External"/><Relationship Id="rId91" Type="http://schemas.openxmlformats.org/officeDocument/2006/relationships/hyperlink" Target="https://caffrey.ai/us-federal/us-banking-regulators/guidance/interpretations/comptrollers-handbook-safety-and-soundness-management-corporate-and-risk-governance" TargetMode="External"/><Relationship Id="rId123" Type="http://schemas.openxmlformats.org/officeDocument/2006/relationships/hyperlink" Target="https://caffrey.ai/us-federal/us-banking-regulators/guidance/interpretations/faqs-frequently-asked-questions-about-regulation-o" TargetMode="External"/><Relationship Id="rId106" Type="http://schemas.openxmlformats.org/officeDocument/2006/relationships/hyperlink" Target="https://caffrey.ai/us-federal/us-banking-regulators/guidance/interpretations/federal-reserve-commercial-bank-examination-manual-3000-capital-earnings-liquidity-and-sensitivity-market-risk" TargetMode="External"/><Relationship Id="rId24" Type="http://schemas.openxmlformats.org/officeDocument/2006/relationships/hyperlink" Target="https://caffrey.ai/us-federal/us-banking-regulators/guidance/interpretations/federal-reserve-commercial-bank-examination-manual-4000-management-activities-and-internal-controls" TargetMode="External"/><Relationship Id="rId25" Type="http://schemas.openxmlformats.org/officeDocument/2006/relationships/hyperlink" Target="https://caffrey.ai/us-federal/us-banking-regulators/guidance/interpretations/occ-comptrollers-licensing-manual" TargetMode="External"/><Relationship Id="rId138" Type="http://schemas.openxmlformats.org/officeDocument/2006/relationships/hyperlink" Target="https://caffrey.ai/us-federal/us-banking-regulators/guidance/interpretations/sr-02-20-sarbanes-oxley-act-2002" TargetMode="External"/><Relationship Id="rId121" Type="http://schemas.openxmlformats.org/officeDocument/2006/relationships/hyperlink" Target="https://caffrey.ai/us-federal/us-banking-regulators/guidance/interpretations/sr-11-10-interagency-counterparty-credit-risk-management-guidance" TargetMode="External"/><Relationship Id="rId32" Type="http://schemas.openxmlformats.org/officeDocument/2006/relationships/hyperlink" Target="https://caffrey.ai/us-federal/us-banking-regulators/guidance/interpretations/sr-12-17-consolidated-supervision-framework-large-financial-institutions" TargetMode="External"/><Relationship Id="rId197" Type="http://schemas.openxmlformats.org/officeDocument/2006/relationships/hyperlink" Target="https://caffrey.ai/us-federal/us-banking-regulators/guidance/interpretations/sr-13-24-managing-foreign-exchange-settlement-risks-physically-settled-transactions" TargetMode="External"/><Relationship Id="rId129" Type="http://schemas.openxmlformats.org/officeDocument/2006/relationships/hyperlink" Target="https://caffrey.ai/us-federal/us-banking-regulators/guidance/interpretations/sr-13-3-interagency-guidance-leveraged-lending" TargetMode="External"/><Relationship Id="rId201" Type="http://schemas.openxmlformats.org/officeDocument/2006/relationships/hyperlink" Target="https://caffrey.ai/us-federal/us-banking-regulators/guidance/interpretations/sr-14-8-consolidated-recovery-planning-certain-large-domestic-bank-holding-companies" TargetMode="External"/><Relationship Id="rId97" Type="http://schemas.openxmlformats.org/officeDocument/2006/relationships/hyperlink" Target="https://caffrey.ai/us-federal/us-banking-regulators/guidance/interpretations/sr-95-51-rating-adequacy-risk-management-processes-and-internal-controls-state-member-banks-and-bank-holding-companies" TargetMode="External"/><Relationship Id="rId176" Type="http://schemas.openxmlformats.org/officeDocument/2006/relationships/hyperlink" Target="https://caffrey.ai/us-federal/us-banking-regulators/notices/sro-rule-filings/bulletins/occ-bulletin-2010-24-incentive-compensation-interagency-guidance-sound-incentive-compensation-policies" TargetMode="External"/><Relationship Id="rId253" Type="http://schemas.openxmlformats.org/officeDocument/2006/relationships/hyperlink" Target="https://caffrey.ai/us-federal/us-banking-regulators/notices/sro-rule-filings/bulletins/occ-bulletin-2013-29-third-party-relationships-risk-management-guidance" TargetMode="External"/><Relationship Id="rId23" Type="http://schemas.openxmlformats.org/officeDocument/2006/relationships/hyperlink" Target="https://caffrey.ai/us-federal/us-banking-regulators/notices/sro-rule-filings/bulletins/occ-bulletin-2017-43-new-modified-or-expanded-bank-products-and-services-risk-management-principles" TargetMode="External"/><Relationship Id="rId92" Type="http://schemas.openxmlformats.org/officeDocument/2006/relationships/hyperlink" Target="https://caffrey.ai/us-federal/us-banking-regulators/notices/sro-rule-filings/bulletins/occ-bulletin-2025-51-occ-guidelines-establishing-heightened-standards-certain-large-insured-national-banks-insured-federal-savings-associations-and-insured-federal-branches-notice" TargetMode="External"/><Relationship Id="rId191" Type="http://schemas.openxmlformats.org/officeDocument/2006/relationships/hyperlink" Target="https://caffrey.ai/us/cfr/12/1026.36" TargetMode="External"/><Relationship Id="rId65" Type="http://schemas.openxmlformats.org/officeDocument/2006/relationships/hyperlink" Target="https://caffrey.ai/us/cfr/12/163.180" TargetMode="External"/><Relationship Id="rId150" Type="http://schemas.openxmlformats.org/officeDocument/2006/relationships/hyperlink" Target="https://caffrey.ai/us/cfr/12/21.21" TargetMode="External"/><Relationship Id="rId104" Type="http://schemas.openxmlformats.org/officeDocument/2006/relationships/hyperlink" Target="https://caffrey.ai/us/cfr/12/217.122" TargetMode="External"/><Relationship Id="rId55" Type="http://schemas.openxmlformats.org/officeDocument/2006/relationships/hyperlink" Target="https://caffrey.ai/us/cfr/12/225.72" TargetMode="External"/><Relationship Id="rId56" Type="http://schemas.openxmlformats.org/officeDocument/2006/relationships/hyperlink" Target="https://caffrey.ai/us/cfr/12/225.73" TargetMode="External"/><Relationship Id="rId35" Type="http://schemas.openxmlformats.org/officeDocument/2006/relationships/hyperlink" Target="https://caffrey.ai/us/cfr/12/252.147" TargetMode="External"/><Relationship Id="rId210" Type="http://schemas.openxmlformats.org/officeDocument/2006/relationships/hyperlink" Target="https://caffrey.ai/us/cfr/12/252.153" TargetMode="External"/><Relationship Id="rId101" Type="http://schemas.openxmlformats.org/officeDocument/2006/relationships/hyperlink" Target="https://caffrey.ai/us/cfr/12/252.47" TargetMode="External"/><Relationship Id="rId103" Type="http://schemas.openxmlformats.org/officeDocument/2006/relationships/hyperlink" Target="https://caffrey.ai/us/cfr/12/3.122" TargetMode="External"/><Relationship Id="rId164" Type="http://schemas.openxmlformats.org/officeDocument/2006/relationships/hyperlink" Target="https://caffrey.ai/us/cfr/12/326.4" TargetMode="External"/><Relationship Id="rId151" Type="http://schemas.openxmlformats.org/officeDocument/2006/relationships/hyperlink" Target="https://caffrey.ai/us/cfr/12/326.8" TargetMode="External"/><Relationship Id="rId63" Type="http://schemas.openxmlformats.org/officeDocument/2006/relationships/hyperlink" Target="https://caffrey.ai/us/cfr/12/359.5" TargetMode="External"/><Relationship Id="rId134" Type="http://schemas.openxmlformats.org/officeDocument/2006/relationships/hyperlink" Target="https://caffrey.ai/us/cfr/12/appendix_a_to_part_363" TargetMode="External"/><Relationship Id="rId110" Type="http://schemas.openxmlformats.org/officeDocument/2006/relationships/hyperlink" Target="https://caffrey.ai/us/cfr/12/appendix_a_to_part_364" TargetMode="External"/><Relationship Id="rId207" Type="http://schemas.openxmlformats.org/officeDocument/2006/relationships/hyperlink" Target="https://caffrey.ai/us/cfr/12/appendix_e_to_part_30" TargetMode="External"/><Relationship Id="rId125" Type="http://schemas.openxmlformats.org/officeDocument/2006/relationships/hyperlink" Target="https://caffrey.ai/us/cfr/12/part-206" TargetMode="External"/><Relationship Id="rId183" Type="http://schemas.openxmlformats.org/officeDocument/2006/relationships/hyperlink" Target="https://caffrey.ai/us/cfr/17/229.407" TargetMode="External"/><Relationship Id="rId59" Type="http://schemas.openxmlformats.org/officeDocument/2006/relationships/hyperlink" Target="https://caffrey.ai/us/cfr/17/75.11" TargetMode="External"/><Relationship Id="rId186" Type="http://schemas.openxmlformats.org/officeDocument/2006/relationships/hyperlink" Target="https://caffrey.ai/us/cfr/17/appendix_z_to_part_75" TargetMode="External"/><Relationship Id="rId31" Type="http://schemas.openxmlformats.org/officeDocument/2006/relationships/hyperlink" Target="https://caffrey.ai/us/fr/2014-05699" TargetMode="External"/><Relationship Id="rId112" Type="http://schemas.openxmlformats.org/officeDocument/2006/relationships/hyperlink" Target="https://caffrey.ai/us/fr/2019-22656" TargetMode="External"/><Relationship Id="rId111" Type="http://schemas.openxmlformats.org/officeDocument/2006/relationships/hyperlink" Target="https://caffrey.ai/us/fr/2020-10292" TargetMode="External"/><Relationship Id="rId250" Type="http://schemas.openxmlformats.org/officeDocument/2006/relationships/hyperlink" Target="https://caffrey.ai/us/fr/2022-21414" TargetMode="External"/><Relationship Id="rId114" Type="http://schemas.openxmlformats.org/officeDocument/2006/relationships/hyperlink" Target="https://caffrey.ai/us/fr/2023-08876" TargetMode="External"/><Relationship Id="rId22" Type="http://schemas.openxmlformats.org/officeDocument/2006/relationships/hyperlink" Target="https://caffrey.ai/us/fr/2023-12340" TargetMode="External"/><Relationship Id="rId73" Type="http://schemas.openxmlformats.org/officeDocument/2006/relationships/hyperlink" Target="https://caffrey.ai/us/fr/2023-19200" TargetMode="External"/><Relationship Id="rId72" Type="http://schemas.openxmlformats.org/officeDocument/2006/relationships/hyperlink" Target="https://caffrey.ai/us/fr/2023-22421" TargetMode="External"/><Relationship Id="rId98" Type="http://schemas.openxmlformats.org/officeDocument/2006/relationships/hyperlink" Target="https://caffrey.ai/us/fr/2023-23844" TargetMode="External"/><Relationship Id="rId193" Type="http://schemas.openxmlformats.org/officeDocument/2006/relationships/hyperlink" Target="https://caffrey.ai/us/fr/2023-28629" TargetMode="External"/><Relationship Id="rId158" Type="http://schemas.openxmlformats.org/officeDocument/2006/relationships/hyperlink" Target="https://caffrey.ai/us/fr/2024-14414" TargetMode="External"/><Relationship Id="rId231" Type="http://schemas.openxmlformats.org/officeDocument/2006/relationships/hyperlink" Target="https://caffrey.ai/us/fr/2024-16197" TargetMode="External"/><Relationship Id="rId140" Type="http://schemas.openxmlformats.org/officeDocument/2006/relationships/hyperlink" Target="https://caffrey.ai/us/fr/2025-14132" TargetMode="External"/><Relationship Id="rId251" Type="http://schemas.openxmlformats.org/officeDocument/2006/relationships/hyperlink" Target="https://caffrey.ai/us/fr/2025-20199" TargetMode="External"/><Relationship Id="rId41" Type="http://schemas.openxmlformats.org/officeDocument/2006/relationships/hyperlink" Target="https://caffrey.ai/us/fr/2025-21914" TargetMode="External"/><Relationship Id="rId75" Type="http://schemas.openxmlformats.org/officeDocument/2006/relationships/hyperlink" Target="https://caffrey.ai/us/fr/2025-23986" TargetMode="External"/><Relationship Id="rId53" Type="http://schemas.openxmlformats.org/officeDocument/2006/relationships/hyperlink" Target="https://caffrey.ai/us/fr/2026-03086" TargetMode="External"/><Relationship Id="rId71" Type="http://schemas.openxmlformats.org/officeDocument/2006/relationships/hyperlink" Target="https://caffrey.ai/us/fr/2026-04089" TargetMode="External"/><Relationship Id="rId159" Type="http://schemas.openxmlformats.org/officeDocument/2006/relationships/hyperlink" Target="https://caffrey.ai/us/fr/2026-06948" TargetMode="External"/><Relationship Id="rId45" Type="http://schemas.openxmlformats.org/officeDocument/2006/relationships/hyperlink" Target="https://caffrey.ai/us/usc/t12/s1817" TargetMode="External"/><Relationship Id="rId44" Type="http://schemas.openxmlformats.org/officeDocument/2006/relationships/hyperlink" Target="https://caffrey.ai/us/usc/t12/s1818" TargetMode="External"/><Relationship Id="rId40" Type="http://schemas.openxmlformats.org/officeDocument/2006/relationships/hyperlink" Target="https://caffrey.ai/us/usc/t12/s1831m" TargetMode="External"/><Relationship Id="rId60" Type="http://schemas.openxmlformats.org/officeDocument/2006/relationships/hyperlink" Target="https://caffrey.ai/us/usc/t12/s375b" TargetMode="External"/><Relationship Id="rId137" Type="http://schemas.openxmlformats.org/officeDocument/2006/relationships/hyperlink" Target="https://caffrey.ai/us/usc/t15/s78j-1" TargetMode="External"/><Relationship Id="rId224" Type="http://schemas.openxmlformats.org/officeDocument/2006/relationships/hyperlink" Target="https://caffrey.ai/us/usc/t15/s78m" TargetMode="External"/><Relationship Id="rId185" Type="http://schemas.openxmlformats.org/officeDocument/2006/relationships/hyperlink" Target="https://caffrey.ai/us/usc/t15/s78n" TargetMode="External"/><Relationship Id="rId204" Type="http://schemas.openxmlformats.org/officeDocument/2006/relationships/hyperlink" Target="https://www.ecfr.gov/current/title-12/chapter-II/subchapter-A/part-243/section-243.4" TargetMode="External"/><Relationship Id="rId34" Type="http://schemas.openxmlformats.org/officeDocument/2006/relationships/hyperlink" Target="https://www.ecfr.gov/current/title-12/chapter-II/subchapter-A/part-252" TargetMode="External"/><Relationship Id="rId102" Type="http://schemas.openxmlformats.org/officeDocument/2006/relationships/hyperlink" Target="https://www.ecfr.gov/current/title-12/chapter-II/subchapter-A/part-252/subpart-E/section-252.47" TargetMode="External"/><Relationship Id="rId131" Type="http://schemas.openxmlformats.org/officeDocument/2006/relationships/hyperlink" Target="https://www.ecfr.gov/current/title-12/chapter-III/subchapter-B/part-381" TargetMode="External"/><Relationship Id="rId205" Type="http://schemas.openxmlformats.org/officeDocument/2006/relationships/hyperlink" Target="https://www.ecfr.gov/current/title-12/chapter-III/subchapter-B/part-381/section-381.4" TargetMode="External"/><Relationship Id="rId36" Type="http://schemas.openxmlformats.org/officeDocument/2006/relationships/hyperlink" Target="https://www.fdic.gov/news/board-matters/2011/06july2011no7.pdf" TargetMode="External"/><Relationship Id="rId38" Type="http://schemas.openxmlformats.org/officeDocument/2006/relationships/hyperlink" Target="https://www.fdic.gov/news/financial-institution-letters/1995/fil9549a.html" TargetMode="External"/><Relationship Id="rId179" Type="http://schemas.openxmlformats.org/officeDocument/2006/relationships/hyperlink" Target="https://www.fdic.gov/news/financial-institution-letters/2010/fil10066a.pdf" TargetMode="External"/><Relationship Id="rId172" Type="http://schemas.openxmlformats.org/officeDocument/2006/relationships/hyperlink" Target="https://www.federalregister.gov/documents/2023/06/09/2023-12340/interagency-guidance-on-third-party-relationships-risk-management" TargetMode="External"/><Relationship Id="rId105" Type="http://schemas.openxmlformats.org/officeDocument/2006/relationships/hyperlink" Target="https://www.federalreserve.gov/aboutthefed/boardmeetings/files/draft-frb-fr-notice-20181031.pdf" TargetMode="External"/><Relationship Id="rId43" Type="http://schemas.openxmlformats.org/officeDocument/2006/relationships/hyperlink" Target="https://www.federalreserve.gov/boarddocs/press/bcreg/2002/20021127/attachment1.pdf" TargetMode="External"/><Relationship Id="rId94" Type="http://schemas.openxmlformats.org/officeDocument/2006/relationships/hyperlink" Target="https://www.federalreserve.gov/supervisionreg/srletters/SR2103.htm" TargetMode="External"/><Relationship Id="rId95" Type="http://schemas.openxmlformats.org/officeDocument/2006/relationships/hyperlink" Target="https://www.federalreserve.gov/supervisionreg/srletters/SR2103.pdf" TargetMode="External"/><Relationship Id="rId96" Type="http://schemas.openxmlformats.org/officeDocument/2006/relationships/hyperlink" Target="https://www.federalreserve.gov/supervisionreg/srletters/SR2103a1.pdf" TargetMode="External"/><Relationship Id="rId82" Type="http://schemas.openxmlformats.org/officeDocument/2006/relationships/hyperlink" Target="https://www.federalreserve.gov/supervisionreg/srletters/SR2103aCommentSummaryPublication.pdf" TargetMode="External"/><Relationship Id="rId143" Type="http://schemas.openxmlformats.org/officeDocument/2006/relationships/hyperlink" Target="https://www.federalreserve.gov/supervisionreg/srletters/SR2603.htm" TargetMode="External"/><Relationship Id="rId202" Type="http://schemas.openxmlformats.org/officeDocument/2006/relationships/hyperlink" Target="https://www.federalreserve.gov/supervisionreg/srletters/sr1408.pdf" TargetMode="External"/><Relationship Id="rId145" Type="http://schemas.openxmlformats.org/officeDocument/2006/relationships/hyperlink" Target="https://www.ffiec.gov/sites/default/files/media/press-releases/2016/2016-%20it-handbook-information-security-booklet.pdf" TargetMode="External"/><Relationship Id="rId68" Type="http://schemas.openxmlformats.org/officeDocument/2006/relationships/hyperlink" Target="https://www.govinfo.gov/content/pkg/CFR-2023-title12-vol1/pdf/CFR-2023-title12-vol1-part150.pdf" TargetMode="External"/><Relationship Id="rId42" Type="http://schemas.openxmlformats.org/officeDocument/2006/relationships/hyperlink" Target="https://www.govinfo.gov/content/pkg/COMPS-252/pdf/COMPS-252.pdf" TargetMode="External"/><Relationship Id="rId30" Type="http://schemas.openxmlformats.org/officeDocument/2006/relationships/hyperlink" Target="https://www.govinfo.gov/content/pkg/FR-2019-11-01/pdf/2019-23662.pdf" TargetMode="External"/><Relationship Id="rId33" Type="http://schemas.openxmlformats.org/officeDocument/2006/relationships/hyperlink" Target="https://www.govinfo.gov/content/pkg/FR-2025-07-15/pdf/2025-13223.pdf" TargetMode="External"/><Relationship Id="rId177" Type="http://schemas.openxmlformats.org/officeDocument/2006/relationships/hyperlink" Target="https://www.govinfo.gov/link/cfr/12/252?link-type=pdf&amp;sectionnum=30&amp;year=mostrecent" TargetMode="External"/><Relationship Id="rId29" Type="http://schemas.openxmlformats.org/officeDocument/2006/relationships/hyperlink" Target="https://www.govinfo.gov/link/fr/83/61408" TargetMode="External"/><Relationship Id="rId37" Type="http://schemas.openxmlformats.org/officeDocument/2006/relationships/hyperlink" Target="https://www.govinfo.gov/link/uscode/12/1831o-1" TargetMode="External"/><Relationship Id="rId39" Type="http://schemas.openxmlformats.org/officeDocument/2006/relationships/hyperlink" Target="https://www.govinfo.gov/link/uscode/12/1831p-1" TargetMode="External"/><Relationship Id="rId58" Type="http://schemas.openxmlformats.org/officeDocument/2006/relationships/hyperlink" Target="https://www.govinfo.gov/link/uscode/12/371c" TargetMode="External"/><Relationship Id="rId173" Type="http://schemas.openxmlformats.org/officeDocument/2006/relationships/hyperlink" Target="https://www.occ.gov/news-issuances/bulletins/2002/bulletin-2002-16.html" TargetMode="External"/><Relationship Id="rId174" Type="http://schemas.openxmlformats.org/officeDocument/2006/relationships/hyperlink" Target="https://www.occ.gov/news-issuances/bulletins/2017/bulletin-2017-43.html" TargetMode="External"/><Relationship Id="rId117" Type="http://schemas.openxmlformats.org/officeDocument/2006/relationships/hyperlink" Target="https://www.occ.gov/news-issuances/bulletins/2019/bulletin-2019-36.html" TargetMode="External"/><Relationship Id="rId127" Type="http://schemas.openxmlformats.org/officeDocument/2006/relationships/hyperlink" Target="https://www.occ.gov/news-issuances/bulletins/2025/bulletin-2025-45.html" TargetMode="External"/><Relationship Id="rId254" Type="http://schemas.openxmlformats.org/officeDocument/2006/relationships/hyperlink" Target="https://www.occ.gov/news-issuances/bulletins/2026/bulletin-2026-13.html" TargetMode="External"/><Relationship Id="rId67" Type="http://schemas.openxmlformats.org/officeDocument/2006/relationships/hyperlink" Target="https://www.occ.gov/news-issuances/federal-register/1996/61fr68543.pdf" TargetMode="External"/><Relationship Id="rId48" Type="http://schemas.openxmlformats.org/officeDocument/2006/relationships/hyperlink" Target="https://www.occ.gov/news-issuances/federal-register/2014/79fr54518.pdf" TargetMode="External"/><Relationship Id="rId27" Type="http://schemas.openxmlformats.org/officeDocument/2006/relationships/hyperlink" Target="https://www.occ.gov/publications-and-resources/publications/banker-education/files/pub-directors-book.pdf" TargetMode="External"/><Relationship Id="rId252" Type="http://schemas.openxmlformats.org/officeDocument/2006/relationships/hyperlink" Target="https://www.occ.gov/publications-and-resources/publications/comptrollers-handbook/files/interest-rate-risk/pub-ch-interest-rate-risk.pdf" TargetMode="External"/><Relationship Id="rId74" Type="http://schemas.openxmlformats.org/officeDocument/2006/relationships/hyperlink" Target="https://www.occ.gov/publications-and-resources/publications/comptrollers-licensing-manual/files/dirwaiv.pdf" TargetMode="External"/><Relationship Id="rId221" Type="http://schemas.openxmlformats.org/officeDocument/2006/relationships/hyperlink" Target="https://www.sec.gov/newsroom/speeches-statements/munter-audit-2021-10-26" TargetMode="External"/><Relationship Id="rId46" Type="http://schemas.openxmlformats.org/officeDocument/2006/relationships/hyperlink" Target="https://www.sec.gov/rules-regulations/2003/05/improper-influence-conduct-audits" TargetMode="External"/><Relationship Id="rId184" Type="http://schemas.openxmlformats.org/officeDocument/2006/relationships/hyperlink" Target="https://www.sec.gov/rules-regulations/staff-guidance/corporation-finance-interpretations/regulation-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Instrument Serif"/>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retendard"/>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2026-06-24T15:57:04Z</dcterms:created>
  <dcterms:modified xsi:type="dcterms:W3CDTF">2026-06-24T15:57:04Z</dcterms:modified>
</cp:coreProperties>
</file>

<file path=docProps/custom.xml><?xml version="1.0" encoding="utf-8"?>
<Properties xmlns="http://schemas.openxmlformats.org/officeDocument/2006/custom-properties" xmlns:vt="http://schemas.openxmlformats.org/officeDocument/2006/docPropsVTypes"/>
</file>