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150"/>
        <w:jc w:val="center"/>
      </w:pPr>
      <w:r>
        <w:rPr>
          <w:rFonts w:ascii="Arial" w:cs="Arial" w:eastAsia="Arial" w:hAnsi="Arial"/>
          <w:b/>
          <w:bCs/>
          <w:color w:val="1F3864"/>
          <w:sz w:val="44"/>
          <w:szCs w:val="44"/>
        </w:rPr>
        <w:t xml:space="preserve">Board Duties at Category I U.S. GSIBs</w:t>
      </w:r>
    </w:p>
    <w:p>
      <w:pPr>
        <w:spacing w:after="80"/>
        <w:jc w:val="center"/>
      </w:pPr>
      <w:r>
        <w:rPr>
          <w:rFonts w:ascii="Arial" w:cs="Arial" w:eastAsia="Arial" w:hAnsi="Arial"/>
          <w:b/>
          <w:bCs/>
          <w:color w:val="2E5496"/>
          <w:sz w:val="29"/>
          <w:szCs w:val="29"/>
        </w:rPr>
        <w:t xml:space="preserve">A Two-Layer Inventory: Binding Obligations and Supervisory Expectations</w:t>
      </w:r>
    </w:p>
    <w:p>
      <w:pPr>
        <w:spacing w:after="230"/>
        <w:jc w:val="center"/>
      </w:pPr>
      <w:r>
        <w:rPr>
          <w:rFonts w:ascii="Arial" w:cs="Arial" w:eastAsia="Arial" w:hAnsi="Arial"/>
          <w:i/>
          <w:iCs/>
          <w:color w:val="2E5496"/>
          <w:sz w:val="23"/>
          <w:szCs w:val="23"/>
        </w:rPr>
        <w:t xml:space="preserve">The eight U.S. GSIBs and their insured depository institution subsidiaries</w:t>
      </w:r>
    </w:p>
    <w:p>
      <w:pPr>
        <w:spacing w:after="60"/>
        <w:jc w:val="center"/>
      </w:pPr>
      <w:r>
        <w:rPr>
          <w:rFonts w:ascii="Arial" w:cs="Arial" w:eastAsia="Arial" w:hAnsi="Arial"/>
          <w:i/>
          <w:iCs/>
          <w:color w:val="595959"/>
          <w:sz w:val="20"/>
          <w:szCs w:val="20"/>
        </w:rPr>
        <w:t>Version 2.1 — adds a credit-risk domain, fiduciary (trust) governance, director-eligibility and attestation duties, a cordoned personal-liability section, and precision corrections, integrating the Caffrey2 supervisory-expectations memo; retains the legal-force and supervisory-consequence dimensions, duplicate clusters, burden model, reform roadmap, and verification table</w:t>
      </w:r>
    </w:p>
    <w:p>
      <w:pPr>
        <w:spacing w:after="460"/>
        <w:jc w:val="center"/>
      </w:pPr>
      <w:r>
        <w:rPr>
          <w:rFonts w:ascii="Arial" w:cs="Arial" w:eastAsia="Arial" w:hAnsi="Arial"/>
          <w:b/>
          <w:bCs/>
          <w:sz w:val="22"/>
          <w:szCs w:val="22"/>
        </w:rPr>
        <w:t>As of June 24, 2026 (v2.1)</w:t>
      </w:r>
    </w:p>
    <w:p>
      <w:pPr>
        <w:spacing w:after="120"/>
        <w:jc w:val="center"/>
      </w:pPr>
      <w:r>
        <w:rPr>
          <w:rFonts w:ascii="Arial" w:cs="Arial" w:eastAsia="Arial" w:hAnsi="Arial"/>
          <w:i/>
          <w:iCs/>
          <w:color w:val="808080"/>
          <w:sz w:val="20"/>
          <w:szCs w:val="20"/>
        </w:rPr>
        <w:t xml:space="preserve">JPMorgan Chase · Bank of America · Citigroup · Wells Fargo · Goldman Sachs · Morgan Stanley · BNY · State Street</w:t>
      </w:r>
    </w:p>
    <w:p>
      <w:r>
        <w:br w:type="page"/>
      </w:r>
    </w:p>
    <w:p>
      <w:pPr>
        <w:spacing w:after="160" w:before="0"/>
      </w:pPr>
      <w:r>
        <w:rPr>
          <w:rFonts w:ascii="Arial" w:cs="Arial" w:eastAsia="Arial" w:hAnsi="Arial"/>
          <w:b/>
          <w:bCs/>
          <w:color w:val="1F3864"/>
          <w:sz w:val="28"/>
          <w:szCs w:val="28"/>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Executive summary</w:t>
      </w:r>
    </w:p>
    <w:p>
      <w:pPr>
        <w:spacing w:after="120" w:before="0"/>
      </w:pPr>
      <w:r>
        <w:rPr>
          <w:rFonts w:ascii="Arial" w:cs="Arial" w:eastAsia="Arial" w:hAnsi="Arial"/>
          <w:sz w:val="22"/>
          <w:szCs w:val="22"/>
        </w:rPr>
        <w:t xml:space="preserve">This report consolidates the two layers of federal duty that bear on the boards of the eight Category I U.S. global systemically important banks (GSIBs) and their insured depository institution (IDI) subsidiaries. Part I catalogs binding obligations — statutes, regulations, and enforceable agency guidelines with the force of law. Part II catalogs supervisory expectations — guidance, examination standards, and rating frameworks that shape examinations but are not, by themselves, legally binding.</w:t>
      </w:r>
    </w:p>
    <w:p>
      <w:pPr>
        <w:spacing w:after="120" w:before="0"/>
      </w:pPr>
      <w:r>
        <w:rPr>
          <w:rFonts w:ascii="Arial" w:cs="Arial" w:eastAsia="Arial" w:hAnsi="Arial"/>
          <w:sz w:val="22"/>
          <w:szCs w:val="22"/>
        </w:rPr>
        <w:t>On the count. The headline number depends entirely on the unit of analysis, so this edition reports three figures rather than one: a narrow count of 68 in-force binding obligations; a medium count of 98 (binding obligations plus rule-backed expectations); and a broad count of 214 current board duties across both layers. The duties collapse into roughly 26 functional clusters — the unit most relevant to reform. (v2.1 re-tally: the v2.0 figures were 55 / 83 / 197 / 23; the increase reflects the credit-risk, fiduciary, and director-eligibility additions. The four personal-liability items are individual-director exposures, excluded from these board-duty totals.) None of these is an exact statutory tally; counting granularity (the risk committee is one duty or seven sub-duties) drives the spread.</w:t>
      </w:r>
    </w:p>
    <w:p>
      <w:pPr>
        <w:spacing w:after="120" w:before="0"/>
      </w:pPr>
      <w:r>
        <w:rPr>
          <w:rFonts w:ascii="Arial" w:cs="Arial" w:eastAsia="Arial" w:hAnsi="Arial"/>
          <w:sz w:val="22"/>
          <w:szCs w:val="22"/>
        </w:rPr>
        <w:t xml:space="preserve">Three dimensions, not two. Because binding-versus-guidance is too binary, every entry now carries a legal-force classification and a separate practical supervisory-consequence rating. A supervisory expectation may carry no legal force yet still drive an LFI rating, an MRA, and the contents of every board package — so its consequence can rival a rule's even though its legal force does not.</w:t>
      </w:r>
    </w:p>
    <w:p>
      <w:pPr>
        <w:spacing w:after="120" w:before="0"/>
      </w:pPr>
      <w:r>
        <w:rPr>
          <w:rFonts w:ascii="Arial" w:cs="Arial" w:eastAsia="Arial" w:hAnsi="Arial"/>
          <w:sz w:val="22"/>
          <w:szCs w:val="22"/>
        </w:rPr>
        <w:t xml:space="preserve">True redundancy versus parallel-but-justified. Not all overlap is sludge. Each overlapping duty is tagged: candidate redundancy (genuine duplication a reform could remove), parallel-but-justified (e.g., the FDIC's distinct interest in resolving the insured bank even if the parent's plan fails), or unique. The duplicate-cluster analysis in Part III separates the two so reformers target only the former.</w:t>
      </w:r>
    </w:p>
    <w:p>
      <w:pPr>
        <w:spacing w:after="120" w:before="0"/>
      </w:pPr>
      <w:r>
        <w:rPr>
          <w:rFonts w:ascii="Arial" w:cs="Arial" w:eastAsia="Arial" w:hAnsi="Arial"/>
          <w:sz w:val="22"/>
          <w:szCs w:val="22"/>
        </w:rPr>
        <w:t xml:space="preserve">Burden. The rebuilt board-hours model (Part III) is built from explicit cadence and preparation assumptions, expressed as a low–base–high range of roughly 289–446 director-hours per year, and clearly labeled illustrative. The reform-relevant figure is the duplication-driven increment, not the gross total, since most of these hours would exist under any sound governance regime.</w:t>
      </w:r>
    </w:p>
    <w:p>
      <w:pPr>
        <w:spacing w:after="120" w:before="0"/>
      </w:pPr>
      <w:r>
        <w:rPr>
          <w:rFonts w:ascii="Arial" w:cs="Arial" w:eastAsia="Arial" w:hAnsi="Arial"/>
          <w:sz w:val="22"/>
          <w:szCs w:val="22"/>
        </w:rPr>
        <w:t xml:space="preserve">Balance. A steelman of the opposing case (Part III) sets out why board expectations expanded after governance failures, why IDI separateness matters, and where consolidation could weaken accountability — so the reform argument is tested, not assumed.</w:t>
      </w:r>
    </w:p>
    <w:p>
      <w:pPr>
        <w:spacing w:after="120" w:before="0"/>
      </w:pPr>
      <w:r>
        <w:rPr>
          <w:rFonts w:ascii="Arial" w:cs="Arial" w:eastAsia="Arial" w:hAnsi="Arial"/>
          <w:sz w:val="22"/>
          <w:szCs w:val="22"/>
        </w:rPr>
        <w:t xml:space="preserve">Currency. The 2025–2026 period removed or left unimplemented several duties (OCC recovery planning rescinded; model-risk board duty dropped; FDIC 2023 corporate-governance proposal withdrawn; Dodd-Frank §956 and §165(m) unimplemented) and reweighted others (LFI recalibration; CFPB curtailment). The highest-stakes current-status claims are web-verified in the verification table; remaining rows carry source URLs where captured and are otherwise flagged unverified.</w:t>
      </w:r>
    </w:p>
    <w:p>
      <w:pPr>
        <w:pStyle w:val="Heading1"/>
      </w:pPr>
      <w:r>
        <w:t xml:space="preserve">Scope, method, and how to read this report</w:t>
      </w:r>
    </w:p>
    <w:p>
      <w:pPr>
        <w:spacing w:after="120" w:before="0"/>
      </w:pPr>
      <w:r>
        <w:rPr>
          <w:rFonts w:ascii="Arial" w:cs="Arial" w:eastAsia="Arial" w:hAnsi="Arial"/>
          <w:sz w:val="22"/>
          <w:szCs w:val="22"/>
        </w:rPr>
        <w:t xml:space="preserve">Scope. Both parts cover the boards of the eight Category I U.S. GSIBs (systemic-indicator score ≥130 bps under 12 CFR 217.402) and their IDI subsidiaries.</w:t>
      </w:r>
    </w:p>
    <w:p>
      <w:pPr>
        <w:spacing w:after="120" w:before="0"/>
      </w:pPr>
      <w:r>
        <w:rPr>
          <w:rFonts w:ascii="Arial" w:cs="Arial" w:eastAsia="Arial" w:hAnsi="Arial"/>
          <w:sz w:val="22"/>
          <w:szCs w:val="22"/>
        </w:rPr>
        <w:t xml:space="preserve">Method. Synthesized from multiple independent analyses per layer (for obligations: a citation-level inventory, a quantified inventory, a reform analysis, and a legal memo; for expectations: a source-verified inventory and a legal-conflict memo), then enriched with the legal-force, consequence, entity, cadence, cluster, redundancy, confidence, and source-URL fields described above.</w:t>
      </w:r>
    </w:p>
    <w:p>
      <w:r>
        <w:t>Changelog (v2.1, June 24, 2026). This edition integrates a fourth independent obligations inventory — the Caffrey2 supervisory-expectations memo. It adds a credit-risk domain, fiduciary (trust) governance, and director-eligibility/attestation/continuity duties to the binding inventory; adds credit-risk and additional consumer-compliance expectations; adds a cordoned personal- and individual-director-liability section (not counted as recurring board actions); sharpens the model-risk (express non-enforceability of SR 26-2 / OCC Bulletin 2026-13), resolution-cadence (biennial), BSA (two unreconciled rewrites), cyber-timeline, and OCC Appendix D reliance-accommodation entries; reconciles the duty counts against an independent annual-board-action count; and reorganizes the reform roadmap into instrument-based feasibility tiers. Newly added entries are Caffrey2-sourced and flagged for primary-source verification.</w:t>
      </w:r>
    </w:p>
    <w:p>
      <w:pPr>
        <w:spacing w:after="120" w:before="0"/>
      </w:pPr>
      <w:r>
        <w:rPr>
          <w:rFonts w:ascii="Arial" w:cs="Arial" w:eastAsia="Arial" w:hAnsi="Arial"/>
          <w:sz w:val="22"/>
          <w:szCs w:val="22"/>
        </w:rPr>
        <w:t xml:space="preserve">Binding vs. guidance. Per the Interagency Statement Clarifying the Role of Supervisory Guidance, guidance does not carry the force of law; statutory guidelines (e.g., the OCC Heightened Standards under FDI Act §39), however, are enforceable and are classified accordingly. Part I lists binding duties; Part II lists the expectation layer; cross-references avoid double-listing.</w:t>
      </w:r>
    </w:p>
    <w:p>
      <w:pPr>
        <w:spacing w:after="120" w:before="0"/>
      </w:pPr>
      <w:r>
        <w:rPr>
          <w:rFonts w:ascii="Arial" w:cs="Arial" w:eastAsia="Arial" w:hAnsi="Arial"/>
          <w:sz w:val="22"/>
          <w:szCs w:val="22"/>
        </w:rPr>
        <w:t xml:space="preserve">How to read entries. Each entry shows its identifier, board level, and entity; the duty; the source, citation, and source URL; and a metadata line giving legal force, supervisory consequence, cadence, cluster, redundancy type, and confidence. Identifiers match the Excel workbook.</w:t>
      </w:r>
    </w:p>
    <w:p>
      <w:pPr>
        <w:pStyle w:val="Heading1"/>
      </w:pPr>
      <w:r>
        <w:t xml:space="preserve">Counting taxonomy</w:t>
      </w:r>
    </w:p>
    <w:p>
      <w:pPr>
        <w:spacing w:after="120" w:before="0"/>
      </w:pPr>
      <w:r>
        <w:rPr>
          <w:rFonts w:ascii="Arial" w:cs="Arial" w:eastAsia="Arial" w:hAnsi="Arial"/>
          <w:sz w:val="22"/>
          <w:szCs w:val="22"/>
        </w:rPr>
        <w:t xml:space="preserve">The same inventory yields very different totals depending on the unit chosen. The four bases below are reported side by side so the headline number cannot be cherry-picked.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5760"/>
        <w:gridCol w:w="1200"/>
      </w:tblGrid>
      <w:tr>
        <w:tc>
          <w:tcPr>
            <w:tcW w:type="dxa" w:w="2400"/>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Basis</w:t>
            </w:r>
          </w:p>
        </w:tc>
        <w:tc>
          <w:tcPr>
            <w:tcW w:type="dxa" w:w="5760"/>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Definition</w:t>
            </w:r>
          </w:p>
        </w:tc>
        <w:tc>
          <w:tcPr>
            <w:tcW w:type="dxa" w:w="1200"/>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Count</w:t>
            </w:r>
          </w:p>
        </w:tc>
      </w:tr>
      <w:tr>
        <w:tc>
          <w:tcPr>
            <w:tcW w:type="dxa" w:w="24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Narrow</w:t>
            </w:r>
          </w:p>
        </w:tc>
        <w:tc>
          <w:tcPr>
            <w:tcW w:type="dxa" w:w="57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In-force binding obligations only (statute, regulation, enforceable guideline). Excludes rescinded/unimplemented and all guidance.</w:t>
            </w:r>
          </w:p>
        </w:tc>
        <w:tc>
          <w:tcPr>
            <w:tcW w:type="dxa" w:w="12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68</w:t>
            </w:r>
          </w:p>
        </w:tc>
      </w:tr>
      <w:tr>
        <w:tc>
          <w:tcPr>
            <w:tcW w:type="dxa" w:w="24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Medium</w:t>
            </w:r>
          </w:p>
        </w:tc>
        <w:tc>
          <w:tcPr>
            <w:tcW w:type="dxa" w:w="576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In-force binding obligations + supervisory expectations that are themselves rule-backed (cross-listed regulations).</w:t>
            </w:r>
          </w:p>
        </w:tc>
        <w:tc>
          <w:tcPr>
            <w:tcW w:type="dxa" w:w="12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98</w:t>
            </w:r>
          </w:p>
        </w:tc>
      </w:tr>
      <w:tr>
        <w:tc>
          <w:tcPr>
            <w:tcW w:type="dxa" w:w="24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Broad</w:t>
            </w:r>
          </w:p>
        </w:tc>
        <w:tc>
          <w:tcPr>
            <w:tcW w:type="dxa" w:w="57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All in-force board duties across both layers (binding obligations + all current supervisory expectations).</w:t>
            </w:r>
          </w:p>
        </w:tc>
        <w:tc>
          <w:tcPr>
            <w:tcW w:type="dxa" w:w="12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214</w:t>
            </w:r>
          </w:p>
        </w:tc>
      </w:tr>
      <w:tr>
        <w:tc>
          <w:tcPr>
            <w:tcW w:type="dxa" w:w="24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Consolidated duty-clusters</w:t>
            </w:r>
          </w:p>
        </w:tc>
        <w:tc>
          <w:tcPr>
            <w:tcW w:type="dxa" w:w="576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Distinct functional clusters the duties collapse into (the unit most relevant to reform).</w:t>
            </w:r>
          </w:p>
        </w:tc>
        <w:tc>
          <w:tcPr>
            <w:tcW w:type="dxa" w:w="12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26</w:t>
            </w:r>
          </w:p>
        </w:tc>
      </w:tr>
    </w:tbl>
    <w:p>
      <w:pPr>
        <w:spacing w:after="120" w:before="100"/>
      </w:pPr>
      <w:r>
        <w:rPr>
          <w:rFonts w:ascii="Arial" w:cs="Arial" w:eastAsia="Arial" w:hAnsi="Arial"/>
          <w:i/>
          <w:iCs/>
          <w:color w:val="595959"/>
          <w:sz w:val="19"/>
          <w:szCs w:val="19"/>
        </w:rPr>
        <w:t xml:space="preserve">Note: Counts depend on the unit of analysis and counting granularity (e.g., the risk committee is one duty or seven sub-duties). Figures are a relative map, not an exact statutory tally.</w:t>
      </w:r>
    </w:p>
    <w:p>
      <w:r>
        <w:t>Cross-check against an independent inventory (v2.1). A separately constructed citation-level memo (the Caffrey2 supervisory-expectations memo) counts discrete, separately-documented board or committee actions required at least annually by a binding instrument — excluding proposed, withdrawn, and rescinded items and non-enforceable sound-practice guidance, and not double-counting a single vehicle that binds both the holding-company and IDI boards. On that unit it reaches roughly 70—75 discrete actions across both board tiers (about 20—25 incremental at the IDI tier) and reflects the biennial — not annual — resolution-plan approval cadence (12 CFR 243.4(a)). That action-count basis sits between this report’s medium (98) and broad (214) duty counts and is consistent with them: it counts annual board actions, whereas the figures above count duties. The convergence of two independently-derived inventories increases confidence in the order of magnitude rather than any single headline number.</w:t>
      </w:r>
    </w:p>
    <w:p>
      <w:pPr>
        <w:pStyle w:val="Heading1"/>
        <w:spacing w:after="160"/>
      </w:pPr>
      <w:r>
        <w:rPr>
          <w:color w:val="1F3864"/>
        </w:rPr>
        <w:t xml:space="preserve">Part I — Binding Obligations</w:t>
      </w:r>
    </w:p>
    <w:p>
      <w:pPr>
        <w:spacing w:after="120" w:before="0"/>
      </w:pPr>
      <w:r>
        <w:rPr>
          <w:rFonts w:ascii="Arial" w:cs="Arial" w:eastAsia="Arial" w:hAnsi="Arial"/>
          <w:sz w:val="22"/>
          <w:szCs w:val="22"/>
        </w:rPr>
        <w:t>The 70 board obligations imposed by federal statute, regulation, and enforceable agency guideline, organized by domain (v2.0: 57; v2.1 adds the credit-risk, fiduciary (trust), and director-eligibility/attestation domains below). Regulation YY is the single largest source, followed by the OCC Heightened Standards and the SEC/SOX/listing requirements. The Executive-summary headline counts have been re-tallied in v2.1 to include these additions.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0"/>
        <w:gridCol w:w="1600"/>
        <w:gridCol w:w="1760"/>
      </w:tblGrid>
      <w:tr>
        <w:tc>
          <w:tcPr>
            <w:tcW w:type="dxa" w:w="6000"/>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Source</w:t>
            </w:r>
          </w:p>
        </w:tc>
        <w:tc>
          <w:tcPr>
            <w:tcW w:type="dxa" w:w="1600"/>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Approx. count</w:t>
            </w:r>
          </w:p>
        </w:tc>
        <w:tc>
          <w:tcPr>
            <w:tcW w:type="dxa" w:w="1760"/>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Note</w:t>
            </w:r>
          </w:p>
        </w:tc>
      </w:tr>
      <w:tr>
        <w:tc>
          <w:tcPr>
            <w:tcW w:type="dxa" w:w="60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Regulation YY (12 CFR part 252)</w:t>
            </w:r>
          </w:p>
        </w:tc>
        <w:tc>
          <w:tcPr>
            <w:tcW w:type="dxa" w:w="16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16</w:t>
            </w:r>
          </w:p>
        </w:tc>
        <w:tc>
          <w:tcPr>
            <w:tcW w:type="dxa" w:w="17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largest single source</w:t>
            </w:r>
          </w:p>
        </w:tc>
      </w:tr>
      <w:tr>
        <w:tc>
          <w:tcPr>
            <w:tcW w:type="dxa" w:w="60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OCC Heightened Standards (12 CFR 30 App. D)</w:t>
            </w:r>
          </w:p>
        </w:tc>
        <w:tc>
          <w:tcPr>
            <w:tcW w:type="dxa" w:w="16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13</w:t>
            </w:r>
          </w:p>
        </w:tc>
        <w:tc>
          <w:tcPr>
            <w:tcW w:type="dxa" w:w="176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enforceable guidelines</w:t>
            </w:r>
          </w:p>
        </w:tc>
      </w:tr>
      <w:tr>
        <w:tc>
          <w:tcPr>
            <w:tcW w:type="dxa" w:w="60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SEC / SOX / listing standards</w:t>
            </w:r>
          </w:p>
        </w:tc>
        <w:tc>
          <w:tcPr>
            <w:tcW w:type="dxa" w:w="16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11</w:t>
            </w:r>
          </w:p>
        </w:tc>
        <w:tc>
          <w:tcPr>
            <w:tcW w:type="dxa" w:w="17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issuer-level</w:t>
            </w:r>
          </w:p>
        </w:tc>
      </w:tr>
      <w:tr>
        <w:tc>
          <w:tcPr>
            <w:tcW w:type="dxa" w:w="60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FDICIA / Part 363</w:t>
            </w:r>
          </w:p>
        </w:tc>
        <w:tc>
          <w:tcPr>
            <w:tcW w:type="dxa" w:w="16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6</w:t>
            </w:r>
          </w:p>
        </w:tc>
        <w:tc>
          <w:tcPr>
            <w:tcW w:type="dxa" w:w="176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IDI audit</w:t>
            </w:r>
          </w:p>
        </w:tc>
      </w:tr>
      <w:tr>
        <w:tc>
          <w:tcPr>
            <w:tcW w:type="dxa" w:w="60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BSA/AML rules (31 CFR 1010)</w:t>
            </w:r>
          </w:p>
        </w:tc>
        <w:tc>
          <w:tcPr>
            <w:tcW w:type="dxa" w:w="16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5</w:t>
            </w:r>
          </w:p>
        </w:tc>
        <w:tc>
          <w:tcPr>
            <w:tcW w:type="dxa" w:w="17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
            </w:r>
          </w:p>
        </w:tc>
      </w:tr>
      <w:tr>
        <w:tc>
          <w:tcPr>
            <w:tcW w:type="dxa" w:w="60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Dodd-Frank statute (165, 952, 956, Volcker)</w:t>
            </w:r>
          </w:p>
        </w:tc>
        <w:tc>
          <w:tcPr>
            <w:tcW w:type="dxa" w:w="16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7</w:t>
            </w:r>
          </w:p>
        </w:tc>
        <w:tc>
          <w:tcPr>
            <w:tcW w:type="dxa" w:w="176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statutory anchors</w:t>
            </w:r>
          </w:p>
        </w:tc>
      </w:tr>
      <w:tr>
        <w:tc>
          <w:tcPr>
            <w:tcW w:type="dxa" w:w="60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Information security / cyber (GLBA, SEC, incident rule)</w:t>
            </w:r>
          </w:p>
        </w:tc>
        <w:tc>
          <w:tcPr>
            <w:tcW w:type="dxa" w:w="16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4</w:t>
            </w:r>
          </w:p>
        </w:tc>
        <w:tc>
          <w:tcPr>
            <w:tcW w:type="dxa" w:w="17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
            </w:r>
          </w:p>
        </w:tc>
      </w:tr>
      <w:tr>
        <w:tc>
          <w:tcPr>
            <w:tcW w:type="dxa" w:w="60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Reg O / Reg W / source of strength / S&amp;S guidelines</w:t>
            </w:r>
          </w:p>
        </w:tc>
        <w:tc>
          <w:tcPr>
            <w:tcW w:type="dxa" w:w="16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6</w:t>
            </w:r>
          </w:p>
        </w:tc>
        <w:tc>
          <w:tcPr>
            <w:tcW w:type="dxa" w:w="176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
            </w:r>
          </w:p>
        </w:tc>
      </w:tr>
    </w:tbl>
    <w:p>
      <w:pPr>
        <w:sectPr>
          <w:footerReference w:type="default" r:id="rId7"/>
          <w:pgSz w:w="12240" w:h="15840" w:orient="portrait"/>
          <w:pgMar w:top="1440" w:right="1440" w:bottom="1440" w:left="1440" w:header="708" w:footer="708" w:gutter="0"/>
          <w:pgNumType/>
          <w:docGrid w:linePitch="360"/>
        </w:sectPr>
      </w:pPr>
    </w:p>
    <w:p>
      <w:pPr>
        <w:pStyle w:val="Heading1"/>
      </w:pPr>
      <w:r>
        <w:t xml:space="preserve">Obligations matrix — domain × board level</w:t>
      </w:r>
    </w:p>
    <w:p>
      <w:pPr>
        <w:spacing w:after="120" w:before="0"/>
      </w:pPr>
      <w:r>
        <w:rPr>
          <w:rFonts w:ascii="Arial" w:cs="Arial" w:eastAsia="Arial" w:hAnsi="Arial"/>
          <w:i/>
          <w:iCs/>
          <w:color w:val="595959"/>
          <w:sz w:val="20"/>
          <w:szCs w:val="20"/>
        </w:rPr>
        <w:t xml:space="preserve">* = rescinded or not implemented. Entity level (holding company / insured bank / SEC issuer) is in each entry and the workbook.</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500"/>
        <w:gridCol w:w="1597"/>
        <w:gridCol w:w="1597"/>
        <w:gridCol w:w="1597"/>
        <w:gridCol w:w="1597"/>
        <w:gridCol w:w="1597"/>
        <w:gridCol w:w="1597"/>
        <w:gridCol w:w="1597"/>
      </w:tblGrid>
      <w:tr>
        <w:tc>
          <w:tcPr>
            <w:tcW w:type="dxa" w:w="2500"/>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Domain</w:t>
            </w:r>
          </w:p>
        </w:tc>
        <w:tc>
          <w:tcPr>
            <w:tcW w:type="dxa" w:w="1597"/>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Full board</w:t>
            </w:r>
          </w:p>
        </w:tc>
        <w:tc>
          <w:tcPr>
            <w:tcW w:type="dxa" w:w="1597"/>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Audit cmte.</w:t>
            </w:r>
          </w:p>
        </w:tc>
        <w:tc>
          <w:tcPr>
            <w:tcW w:type="dxa" w:w="1597"/>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Risk cmte.</w:t>
            </w:r>
          </w:p>
        </w:tc>
        <w:tc>
          <w:tcPr>
            <w:tcW w:type="dxa" w:w="1597"/>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Comp. cmte.</w:t>
            </w:r>
          </w:p>
        </w:tc>
        <w:tc>
          <w:tcPr>
            <w:tcW w:type="dxa" w:w="1597"/>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Nom./Gov. cmte.</w:t>
            </w:r>
          </w:p>
        </w:tc>
        <w:tc>
          <w:tcPr>
            <w:tcW w:type="dxa" w:w="1597"/>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Other cmte.</w:t>
            </w:r>
          </w:p>
        </w:tc>
        <w:tc>
          <w:tcPr>
            <w:tcW w:type="dxa" w:w="1597"/>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Director-type</w:t>
            </w:r>
          </w:p>
        </w:tc>
      </w:tr>
      <w:tr>
        <w:tc>
          <w:tcPr>
            <w:tcW w:type="dxa" w:w="2500"/>
            <w:tcBorders>
              <w:top w:val="single" w:color="BFBFBF" w:sz="1"/>
              <w:left w:val="single" w:color="BFBFBF" w:sz="1"/>
              <w:bottom w:val="single" w:color="BFBFBF" w:sz="1"/>
              <w:right w:val="single" w:color="BFBFBF" w:sz="1"/>
            </w:tcBorders>
            <w:shd w:fill="D6E0F0" w:val="clear"/>
            <w:tcMar>
              <w:top w:type="dxa" w:w="50"/>
              <w:left w:type="dxa" w:w="80"/>
              <w:bottom w:type="dxa" w:w="50"/>
              <w:right w:type="dxa" w:w="80"/>
            </w:tcMar>
          </w:tcPr>
          <w:p>
            <w:pPr>
              <w:spacing w:after="0"/>
              <w:jc w:val="left"/>
            </w:pPr>
            <w:r>
              <w:rPr>
                <w:rFonts w:ascii="Arial" w:cs="Arial" w:eastAsia="Arial" w:hAnsi="Arial"/>
                <w:b/>
                <w:bCs/>
                <w:color w:val="1F3864"/>
                <w:sz w:val="13"/>
                <w:szCs w:val="13"/>
              </w:rPr>
              <w:t xml:space="preserve">Risk governance &amp; risk committee</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RGC-06, RGC-07, RGC-08, RGC-09, RGC-10</w:t>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RGC-01, RGC-02, RGC-03, RGC-04, RGC-05, RGC-07, RGC-08, RGC-09</w:t>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RGC-01, RGC-03, RGC-05</w:t>
            </w:r>
          </w:p>
        </w:tc>
      </w:tr>
      <w:tr>
        <w:tc>
          <w:tcPr>
            <w:tcW w:type="dxa" w:w="2500"/>
            <w:tcBorders>
              <w:top w:val="single" w:color="BFBFBF" w:sz="1"/>
              <w:left w:val="single" w:color="BFBFBF" w:sz="1"/>
              <w:bottom w:val="single" w:color="BFBFBF" w:sz="1"/>
              <w:right w:val="single" w:color="BFBFBF" w:sz="1"/>
            </w:tcBorders>
            <w:shd w:fill="D6E0F0" w:val="clear"/>
            <w:tcMar>
              <w:top w:type="dxa" w:w="50"/>
              <w:left w:type="dxa" w:w="80"/>
              <w:bottom w:type="dxa" w:w="50"/>
              <w:right w:type="dxa" w:w="80"/>
            </w:tcMar>
          </w:tcPr>
          <w:p>
            <w:pPr>
              <w:spacing w:after="0"/>
              <w:jc w:val="left"/>
            </w:pPr>
            <w:r>
              <w:rPr>
                <w:rFonts w:ascii="Arial" w:cs="Arial" w:eastAsia="Arial" w:hAnsi="Arial"/>
                <w:b/>
                <w:bCs/>
                <w:color w:val="1F3864"/>
                <w:sz w:val="13"/>
                <w:szCs w:val="13"/>
              </w:rPr>
              <w:t xml:space="preserve">Capital planning &amp; stress testing</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CAP-01, CAP-02, CAP-03, CAP-04, CAP-05</w:t>
            </w:r>
          </w:p>
        </w:tc>
        <w:tc>
          <w:tcPr>
            <w:tcW w:type="dxa" w:w="1597"/>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CAP-02, CAP-03</w:t>
            </w:r>
          </w:p>
        </w:tc>
        <w:tc>
          <w:tcPr>
            <w:tcW w:type="dxa" w:w="1597"/>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r>
      <w:tr>
        <w:tc>
          <w:tcPr>
            <w:tcW w:type="dxa" w:w="2500"/>
            <w:tcBorders>
              <w:top w:val="single" w:color="BFBFBF" w:sz="1"/>
              <w:left w:val="single" w:color="BFBFBF" w:sz="1"/>
              <w:bottom w:val="single" w:color="BFBFBF" w:sz="1"/>
              <w:right w:val="single" w:color="BFBFBF" w:sz="1"/>
            </w:tcBorders>
            <w:shd w:fill="D6E0F0" w:val="clear"/>
            <w:tcMar>
              <w:top w:type="dxa" w:w="50"/>
              <w:left w:type="dxa" w:w="80"/>
              <w:bottom w:type="dxa" w:w="50"/>
              <w:right w:type="dxa" w:w="80"/>
            </w:tcMar>
          </w:tcPr>
          <w:p>
            <w:pPr>
              <w:spacing w:after="0"/>
              <w:jc w:val="left"/>
            </w:pPr>
            <w:r>
              <w:rPr>
                <w:rFonts w:ascii="Arial" w:cs="Arial" w:eastAsia="Arial" w:hAnsi="Arial"/>
                <w:b/>
                <w:bCs/>
                <w:color w:val="1F3864"/>
                <w:sz w:val="13"/>
                <w:szCs w:val="13"/>
              </w:rPr>
              <w:t xml:space="preserve">Liquidity risk management</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LIQ-01, LIQ-02, LIQ-03</w:t>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LIQ-04</w:t>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r>
      <w:tr>
        <w:tc>
          <w:tcPr>
            <w:tcW w:type="dxa" w:w="2500"/>
            <w:tcBorders>
              <w:top w:val="single" w:color="BFBFBF" w:sz="1"/>
              <w:left w:val="single" w:color="BFBFBF" w:sz="1"/>
              <w:bottom w:val="single" w:color="BFBFBF" w:sz="1"/>
              <w:right w:val="single" w:color="BFBFBF" w:sz="1"/>
            </w:tcBorders>
            <w:shd w:fill="D6E0F0" w:val="clear"/>
            <w:tcMar>
              <w:top w:type="dxa" w:w="50"/>
              <w:left w:type="dxa" w:w="80"/>
              <w:bottom w:type="dxa" w:w="50"/>
              <w:right w:type="dxa" w:w="80"/>
            </w:tcMar>
          </w:tcPr>
          <w:p>
            <w:pPr>
              <w:spacing w:after="0"/>
              <w:jc w:val="left"/>
            </w:pPr>
            <w:r>
              <w:rPr>
                <w:rFonts w:ascii="Arial" w:cs="Arial" w:eastAsia="Arial" w:hAnsi="Arial"/>
                <w:b/>
                <w:bCs/>
                <w:color w:val="1F3864"/>
                <w:sz w:val="13"/>
                <w:szCs w:val="13"/>
              </w:rPr>
              <w:t xml:space="preserve">Resolution &amp; recovery planning</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RES-01, RES-02, RES-03*</w:t>
            </w:r>
          </w:p>
        </w:tc>
        <w:tc>
          <w:tcPr>
            <w:tcW w:type="dxa" w:w="1597"/>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RES-02</w:t>
            </w:r>
          </w:p>
        </w:tc>
        <w:tc>
          <w:tcPr>
            <w:tcW w:type="dxa" w:w="1597"/>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r>
      <w:tr>
        <w:tc>
          <w:tcPr>
            <w:tcW w:type="dxa" w:w="2500"/>
            <w:tcBorders>
              <w:top w:val="single" w:color="BFBFBF" w:sz="1"/>
              <w:left w:val="single" w:color="BFBFBF" w:sz="1"/>
              <w:bottom w:val="single" w:color="BFBFBF" w:sz="1"/>
              <w:right w:val="single" w:color="BFBFBF" w:sz="1"/>
            </w:tcBorders>
            <w:shd w:fill="D6E0F0" w:val="clear"/>
            <w:tcMar>
              <w:top w:type="dxa" w:w="50"/>
              <w:left w:type="dxa" w:w="80"/>
              <w:bottom w:type="dxa" w:w="50"/>
              <w:right w:type="dxa" w:w="80"/>
            </w:tcMar>
          </w:tcPr>
          <w:p>
            <w:pPr>
              <w:spacing w:after="0"/>
              <w:jc w:val="left"/>
            </w:pPr>
            <w:r>
              <w:rPr>
                <w:rFonts w:ascii="Arial" w:cs="Arial" w:eastAsia="Arial" w:hAnsi="Arial"/>
                <w:b/>
                <w:bCs/>
                <w:color w:val="1F3864"/>
                <w:sz w:val="13"/>
                <w:szCs w:val="13"/>
              </w:rPr>
              <w:t xml:space="preserve">TLAC, single-counterparty &amp; GSIB structural limits</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TLA-01, TLA-02, TLA-03</w:t>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r>
      <w:tr>
        <w:tc>
          <w:tcPr>
            <w:tcW w:type="dxa" w:w="2500"/>
            <w:tcBorders>
              <w:top w:val="single" w:color="BFBFBF" w:sz="1"/>
              <w:left w:val="single" w:color="BFBFBF" w:sz="1"/>
              <w:bottom w:val="single" w:color="BFBFBF" w:sz="1"/>
              <w:right w:val="single" w:color="BFBFBF" w:sz="1"/>
            </w:tcBorders>
            <w:shd w:fill="D6E0F0" w:val="clear"/>
            <w:tcMar>
              <w:top w:type="dxa" w:w="50"/>
              <w:left w:type="dxa" w:w="80"/>
              <w:bottom w:type="dxa" w:w="50"/>
              <w:right w:type="dxa" w:w="80"/>
            </w:tcMar>
          </w:tcPr>
          <w:p>
            <w:pPr>
              <w:spacing w:after="0"/>
              <w:jc w:val="left"/>
            </w:pPr>
            <w:r>
              <w:rPr>
                <w:rFonts w:ascii="Arial" w:cs="Arial" w:eastAsia="Arial" w:hAnsi="Arial"/>
                <w:b/>
                <w:bCs/>
                <w:color w:val="1F3864"/>
                <w:sz w:val="13"/>
                <w:szCs w:val="13"/>
              </w:rPr>
              <w:t xml:space="preserve">Volcker &amp; trading-compliance attestation</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VOL-01</w:t>
            </w:r>
          </w:p>
        </w:tc>
        <w:tc>
          <w:tcPr>
            <w:tcW w:type="dxa" w:w="1597"/>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r>
      <w:tr>
        <w:tc>
          <w:tcPr>
            <w:tcW w:type="dxa" w:w="2500"/>
            <w:tcBorders>
              <w:top w:val="single" w:color="BFBFBF" w:sz="1"/>
              <w:left w:val="single" w:color="BFBFBF" w:sz="1"/>
              <w:bottom w:val="single" w:color="BFBFBF" w:sz="1"/>
              <w:right w:val="single" w:color="BFBFBF" w:sz="1"/>
            </w:tcBorders>
            <w:shd w:fill="D6E0F0" w:val="clear"/>
            <w:tcMar>
              <w:top w:type="dxa" w:w="50"/>
              <w:left w:type="dxa" w:w="80"/>
              <w:bottom w:type="dxa" w:w="50"/>
              <w:right w:type="dxa" w:w="80"/>
            </w:tcMar>
          </w:tcPr>
          <w:p>
            <w:pPr>
              <w:spacing w:after="0"/>
              <w:jc w:val="left"/>
            </w:pPr>
            <w:r>
              <w:rPr>
                <w:rFonts w:ascii="Arial" w:cs="Arial" w:eastAsia="Arial" w:hAnsi="Arial"/>
                <w:b/>
                <w:bCs/>
                <w:color w:val="1F3864"/>
                <w:sz w:val="13"/>
                <w:szCs w:val="13"/>
              </w:rPr>
              <w:t xml:space="preserve">Board composition &amp; independence</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IND-01, IND-02, IND-03, IND-04, IND-06, IND-08, IND-09</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IND-05, IND-09</w:t>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IND-06, IND-07</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IND-06</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IND-08</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IND-01, IND-02, IND-04, IND-05, IND-06, IND-07, IND-08</w:t>
            </w:r>
          </w:p>
        </w:tc>
      </w:tr>
      <w:tr>
        <w:tc>
          <w:tcPr>
            <w:tcW w:type="dxa" w:w="2500"/>
            <w:tcBorders>
              <w:top w:val="single" w:color="BFBFBF" w:sz="1"/>
              <w:left w:val="single" w:color="BFBFBF" w:sz="1"/>
              <w:bottom w:val="single" w:color="BFBFBF" w:sz="1"/>
              <w:right w:val="single" w:color="BFBFBF" w:sz="1"/>
            </w:tcBorders>
            <w:shd w:fill="D6E0F0" w:val="clear"/>
            <w:tcMar>
              <w:top w:type="dxa" w:w="50"/>
              <w:left w:type="dxa" w:w="80"/>
              <w:bottom w:type="dxa" w:w="50"/>
              <w:right w:type="dxa" w:w="80"/>
            </w:tcMar>
          </w:tcPr>
          <w:p>
            <w:pPr>
              <w:spacing w:after="0"/>
              <w:jc w:val="left"/>
            </w:pPr>
            <w:r>
              <w:rPr>
                <w:rFonts w:ascii="Arial" w:cs="Arial" w:eastAsia="Arial" w:hAnsi="Arial"/>
                <w:b/>
                <w:bCs/>
                <w:color w:val="1F3864"/>
                <w:sz w:val="13"/>
                <w:szCs w:val="13"/>
              </w:rPr>
              <w:t xml:space="preserve">Audit committee &amp; internal control over financial reporting</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AUD-02</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AUD-01, AUD-03, AUD-04, AUD-05, AUD-06, AUD-07, AUD-08</w:t>
            </w:r>
          </w:p>
        </w:tc>
        <w:tc>
          <w:tcPr>
            <w:tcW w:type="dxa" w:w="1597"/>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AUD-01, AUD-02, AUD-03</w:t>
            </w:r>
          </w:p>
        </w:tc>
      </w:tr>
      <w:tr>
        <w:tc>
          <w:tcPr>
            <w:tcW w:type="dxa" w:w="2500"/>
            <w:tcBorders>
              <w:top w:val="single" w:color="BFBFBF" w:sz="1"/>
              <w:left w:val="single" w:color="BFBFBF" w:sz="1"/>
              <w:bottom w:val="single" w:color="BFBFBF" w:sz="1"/>
              <w:right w:val="single" w:color="BFBFBF" w:sz="1"/>
            </w:tcBorders>
            <w:shd w:fill="D6E0F0" w:val="clear"/>
            <w:tcMar>
              <w:top w:type="dxa" w:w="50"/>
              <w:left w:type="dxa" w:w="80"/>
              <w:bottom w:type="dxa" w:w="50"/>
              <w:right w:type="dxa" w:w="80"/>
            </w:tcMar>
          </w:tcPr>
          <w:p>
            <w:pPr>
              <w:spacing w:after="0"/>
              <w:jc w:val="left"/>
            </w:pPr>
            <w:r>
              <w:rPr>
                <w:rFonts w:ascii="Arial" w:cs="Arial" w:eastAsia="Arial" w:hAnsi="Arial"/>
                <w:b/>
                <w:bCs/>
                <w:color w:val="1F3864"/>
                <w:sz w:val="13"/>
                <w:szCs w:val="13"/>
              </w:rPr>
              <w:t xml:space="preserve">Cybersecurity &amp; information security</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CYB-01, CYB-02, CYB-03, CYB-04</w:t>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CYB-01, CYB-02</w:t>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r>
      <w:tr>
        <w:tc>
          <w:tcPr>
            <w:tcW w:type="dxa" w:w="2500"/>
            <w:tcBorders>
              <w:top w:val="single" w:color="BFBFBF" w:sz="1"/>
              <w:left w:val="single" w:color="BFBFBF" w:sz="1"/>
              <w:bottom w:val="single" w:color="BFBFBF" w:sz="1"/>
              <w:right w:val="single" w:color="BFBFBF" w:sz="1"/>
            </w:tcBorders>
            <w:shd w:fill="D6E0F0" w:val="clear"/>
            <w:tcMar>
              <w:top w:type="dxa" w:w="50"/>
              <w:left w:type="dxa" w:w="80"/>
              <w:bottom w:type="dxa" w:w="50"/>
              <w:right w:type="dxa" w:w="80"/>
            </w:tcMar>
          </w:tcPr>
          <w:p>
            <w:pPr>
              <w:spacing w:after="0"/>
              <w:jc w:val="left"/>
            </w:pPr>
            <w:r>
              <w:rPr>
                <w:rFonts w:ascii="Arial" w:cs="Arial" w:eastAsia="Arial" w:hAnsi="Arial"/>
                <w:b/>
                <w:bCs/>
                <w:color w:val="1F3864"/>
                <w:sz w:val="13"/>
                <w:szCs w:val="13"/>
              </w:rPr>
              <w:t xml:space="preserve">BSA/AML program</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BSA-01, BSA-02, BSA-03, BSA-04, BSA-05</w:t>
            </w:r>
          </w:p>
        </w:tc>
        <w:tc>
          <w:tcPr>
            <w:tcW w:type="dxa" w:w="1597"/>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BSA-03</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BSA-04, BSA-05</w:t>
            </w:r>
          </w:p>
        </w:tc>
      </w:tr>
      <w:tr>
        <w:tc>
          <w:tcPr>
            <w:tcW w:type="dxa" w:w="2500"/>
            <w:tcBorders>
              <w:top w:val="single" w:color="BFBFBF" w:sz="1"/>
              <w:left w:val="single" w:color="BFBFBF" w:sz="1"/>
              <w:bottom w:val="single" w:color="BFBFBF" w:sz="1"/>
              <w:right w:val="single" w:color="BFBFBF" w:sz="1"/>
            </w:tcBorders>
            <w:shd w:fill="D6E0F0" w:val="clear"/>
            <w:tcMar>
              <w:top w:type="dxa" w:w="50"/>
              <w:left w:type="dxa" w:w="80"/>
              <w:bottom w:type="dxa" w:w="50"/>
              <w:right w:type="dxa" w:w="80"/>
            </w:tcMar>
          </w:tcPr>
          <w:p>
            <w:pPr>
              <w:spacing w:after="0"/>
              <w:jc w:val="left"/>
            </w:pPr>
            <w:r>
              <w:rPr>
                <w:rFonts w:ascii="Arial" w:cs="Arial" w:eastAsia="Arial" w:hAnsi="Arial"/>
                <w:b/>
                <w:bCs/>
                <w:color w:val="1F3864"/>
                <w:sz w:val="13"/>
                <w:szCs w:val="13"/>
              </w:rPr>
              <w:t xml:space="preserve">Insider lending &amp; affiliate transactions (Reg O / Reg W)</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AFF-01, AFF-02</w:t>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AFF-01</w:t>
            </w:r>
          </w:p>
        </w:tc>
      </w:tr>
      <w:tr>
        <w:tc>
          <w:tcPr>
            <w:tcW w:type="dxa" w:w="2500"/>
            <w:tcBorders>
              <w:top w:val="single" w:color="BFBFBF" w:sz="1"/>
              <w:left w:val="single" w:color="BFBFBF" w:sz="1"/>
              <w:bottom w:val="single" w:color="BFBFBF" w:sz="1"/>
              <w:right w:val="single" w:color="BFBFBF" w:sz="1"/>
            </w:tcBorders>
            <w:shd w:fill="D6E0F0" w:val="clear"/>
            <w:tcMar>
              <w:top w:type="dxa" w:w="50"/>
              <w:left w:type="dxa" w:w="80"/>
              <w:bottom w:type="dxa" w:w="50"/>
              <w:right w:type="dxa" w:w="80"/>
            </w:tcMar>
          </w:tcPr>
          <w:p>
            <w:pPr>
              <w:spacing w:after="0"/>
              <w:jc w:val="left"/>
            </w:pPr>
            <w:r>
              <w:rPr>
                <w:rFonts w:ascii="Arial" w:cs="Arial" w:eastAsia="Arial" w:hAnsi="Arial"/>
                <w:b/>
                <w:bCs/>
                <w:color w:val="1F3864"/>
                <w:sz w:val="13"/>
                <w:szCs w:val="13"/>
              </w:rPr>
              <w:t xml:space="preserve">Incentive compensation</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INC-01*</w:t>
            </w:r>
          </w:p>
        </w:tc>
        <w:tc>
          <w:tcPr>
            <w:tcW w:type="dxa" w:w="1597"/>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r>
      <w:tr>
        <w:tc>
          <w:tcPr>
            <w:tcW w:type="dxa" w:w="2500"/>
            <w:tcBorders>
              <w:top w:val="single" w:color="BFBFBF" w:sz="1"/>
              <w:left w:val="single" w:color="BFBFBF" w:sz="1"/>
              <w:bottom w:val="single" w:color="BFBFBF" w:sz="1"/>
              <w:right w:val="single" w:color="BFBFBF" w:sz="1"/>
            </w:tcBorders>
            <w:shd w:fill="D6E0F0" w:val="clear"/>
            <w:tcMar>
              <w:top w:type="dxa" w:w="50"/>
              <w:left w:type="dxa" w:w="80"/>
              <w:bottom w:type="dxa" w:w="50"/>
              <w:right w:type="dxa" w:w="80"/>
            </w:tcMar>
          </w:tcPr>
          <w:p>
            <w:pPr>
              <w:spacing w:after="0"/>
              <w:jc w:val="left"/>
            </w:pPr>
            <w:r>
              <w:rPr>
                <w:rFonts w:ascii="Arial" w:cs="Arial" w:eastAsia="Arial" w:hAnsi="Arial"/>
                <w:b/>
                <w:bCs/>
                <w:color w:val="1F3864"/>
                <w:sz w:val="13"/>
                <w:szCs w:val="13"/>
              </w:rPr>
              <w:t xml:space="preserve">Cross-cutting safety &amp; soundness / source of strength</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SS-01, SS-02</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SS-01</w:t>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SS-01</w:t>
            </w:r>
          </w:p>
        </w:tc>
      </w:tr>
    </w:tbl>
    <w:p>
      <w:pPr>
        <w:sectPr>
          <w:footerReference w:type="default" r:id="rId8"/>
          <w:type w:val="nextPage"/>
          <w:pgSz w:w="15840" w:h="12240" w:orient="landscape"/>
          <w:pgMar w:top="1080" w:right="1080" w:bottom="1080" w:left="1080" w:header="708" w:footer="708" w:gutter="0"/>
          <w:pgNumType/>
          <w:docGrid w:linePitch="360"/>
        </w:sectPr>
      </w:pPr>
    </w:p>
    <w:p>
      <w:pPr>
        <w:pStyle w:val="Heading1"/>
      </w:pPr>
      <w:r>
        <w:t xml:space="preserve">Obligations — detailed inventory by domain</w:t>
      </w:r>
    </w:p>
    <w:p>
      <w:pPr>
        <w:pStyle w:val="Heading2"/>
      </w:pPr>
      <w:r>
        <w:t xml:space="preserve">1. Risk governance &amp; risk committee</w:t>
      </w:r>
    </w:p>
    <w:p>
      <w:pPr>
        <w:keepNext/>
        <w:spacing w:after="16" w:before="104"/>
      </w:pPr>
      <w:r>
        <w:rPr>
          <w:rFonts w:ascii="Arial" w:cs="Arial" w:eastAsia="Arial" w:hAnsi="Arial"/>
          <w:b/>
          <w:bCs/>
          <w:color w:val="1F3864"/>
          <w:sz w:val="21"/>
          <w:szCs w:val="21"/>
        </w:rPr>
        <w:t xml:space="preserve">RGC-01  —  Risk committee  ·  BHC</w:t>
      </w:r>
      <w:r>
        <w:rPr>
          <w:sz w:val="2"/>
          <w:szCs w:val="2"/>
        </w:rPr>
        <w:t xml:space="preserve"/>
      </w:r>
    </w:p>
    <w:p>
      <w:pPr>
        <w:spacing w:after="24"/>
      </w:pPr>
      <w:r>
        <w:rPr>
          <w:rFonts w:ascii="Arial" w:cs="Arial" w:eastAsia="Arial" w:hAnsi="Arial"/>
          <w:sz w:val="21"/>
          <w:szCs w:val="21"/>
        </w:rPr>
        <w:t xml:space="preserve">Statutory requirement that a publicly traded BHC of the relevant size maintain a board risk committee; the statutory engine for the Regulation YY risk-committee rules.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Dodd-Frank Act section 165(h), 12 U.S.C. 5365(h)(1).</w:t>
      </w:r>
      <w:r>
        <w:rPr>
          <w:rFonts w:ascii="Arial" w:cs="Arial" w:eastAsia="Arial" w:hAnsi="Arial"/>
          <w:i/>
          <w:iCs/>
          <w:color w:val="BF8F00"/>
          <w:sz w:val="15"/>
          <w:szCs w:val="15"/>
        </w:rPr>
        <w:t xml:space="preserve">  [URL not captured]</w:t>
      </w:r>
    </w:p>
    <w:p>
      <w:pPr>
        <w:spacing w:after="6"/>
      </w:pPr>
      <w:r>
        <w:rPr>
          <w:rFonts w:ascii="Arial" w:cs="Arial" w:eastAsia="Arial" w:hAnsi="Arial"/>
          <w:i/>
          <w:iCs/>
          <w:color w:val="7030A0"/>
          <w:sz w:val="17"/>
          <w:szCs w:val="17"/>
        </w:rPr>
        <w:t xml:space="preserve">Legal force: Statute  ·  Consequence: Enforcement (cease-and-desist, CMP); rating downgrade  ·  Cadence: Periodic / ongoing  ·  Cluster: Risk committee architecture  ·  Redundancy: Candidate redundancy  ·  Confidence: High</w:t>
      </w:r>
    </w:p>
    <w:p>
      <w:pPr>
        <w:spacing w:after="104"/>
      </w:pPr>
      <w:r>
        <w:rPr>
          <w:rFonts w:ascii="Arial" w:cs="Arial" w:eastAsia="Arial" w:hAnsi="Arial"/>
          <w:i/>
          <w:iCs/>
          <w:color w:val="595959"/>
          <w:sz w:val="17"/>
          <w:szCs w:val="17"/>
        </w:rPr>
        <w:t xml:space="preserve">Overlap: Duplicates Reg YY 252.33 (implementing rule) and OCC App. D risk-governance framework.  Reform: Treat 165(h) as the single statutory anchor; avoid restating its content in multiple instruments.</w:t>
      </w:r>
    </w:p>
    <w:p>
      <w:pPr>
        <w:keepNext/>
        <w:spacing w:after="16" w:before="104"/>
      </w:pPr>
      <w:r>
        <w:rPr>
          <w:rFonts w:ascii="Arial" w:cs="Arial" w:eastAsia="Arial" w:hAnsi="Arial"/>
          <w:b/>
          <w:bCs/>
          <w:color w:val="1F3864"/>
          <w:sz w:val="21"/>
          <w:szCs w:val="21"/>
        </w:rPr>
        <w:t xml:space="preserve">RGC-02  —  Risk committee  ·  BHC</w:t>
      </w:r>
      <w:r>
        <w:rPr>
          <w:sz w:val="2"/>
          <w:szCs w:val="2"/>
        </w:rPr>
        <w:t xml:space="preserve"/>
      </w:r>
    </w:p>
    <w:p>
      <w:pPr>
        <w:spacing w:after="24"/>
      </w:pPr>
      <w:r>
        <w:rPr>
          <w:rFonts w:ascii="Arial" w:cs="Arial" w:eastAsia="Arial" w:hAnsi="Arial"/>
          <w:sz w:val="21"/>
          <w:szCs w:val="21"/>
        </w:rPr>
        <w:t xml:space="preserve">Risk committee approves and periodically reviews the enterprise risk-management policies of the firm's global operations and oversees the global risk-management framework.</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Regulation YY (EPS), 12 CFR part 252 subpart D, 12 CFR 252.33(a)(1).</w:t>
      </w:r>
      <w:r>
        <w:rPr>
          <w:rFonts w:ascii="Arial" w:cs="Arial" w:eastAsia="Arial" w:hAnsi="Arial"/>
          <w:i/>
          <w:iCs/>
          <w:color w:val="3B6FB0"/>
          <w:sz w:val="15"/>
          <w:szCs w:val="15"/>
        </w:rPr>
        <w:t xml:space="preserve"> [https://www.ecfr.gov/current/title-12/chapter-II/part-252]</w:t>
      </w:r>
    </w:p>
    <w:p>
      <w:pPr>
        <w:spacing w:after="6"/>
      </w:pPr>
      <w:r>
        <w:rPr>
          <w:rFonts w:ascii="Arial" w:cs="Arial" w:eastAsia="Arial" w:hAnsi="Arial"/>
          <w:i/>
          <w:iCs/>
          <w:color w:val="7030A0"/>
          <w:sz w:val="17"/>
          <w:szCs w:val="17"/>
        </w:rPr>
        <w:t xml:space="preserve">Legal force: Regulation  ·  Consequence: Enforcement (cease-and-desist, CMP); rating downgrade  ·  Cadence: Periodic / ongoing  ·  Cluster: Risk committee architecture  ·  Redundancy: Candidate redundancy  ·  Confidence: High</w:t>
      </w:r>
    </w:p>
    <w:p>
      <w:pPr>
        <w:spacing w:after="104"/>
      </w:pPr>
      <w:r>
        <w:rPr>
          <w:rFonts w:ascii="Arial" w:cs="Arial" w:eastAsia="Arial" w:hAnsi="Arial"/>
          <w:i/>
          <w:iCs/>
          <w:color w:val="595959"/>
          <w:sz w:val="17"/>
          <w:szCs w:val="17"/>
        </w:rPr>
        <w:t xml:space="preserve">Overlap: Overlaps OCC App. D II.A (bank-level risk-governance framework).  Reform: Permit one enterprise risk-committee approval to satisfy the parallel IDI framework, with an IDI annex.</w:t>
      </w:r>
    </w:p>
    <w:p>
      <w:pPr>
        <w:keepNext/>
        <w:spacing w:after="16" w:before="104"/>
      </w:pPr>
      <w:r>
        <w:rPr>
          <w:rFonts w:ascii="Arial" w:cs="Arial" w:eastAsia="Arial" w:hAnsi="Arial"/>
          <w:b/>
          <w:bCs/>
          <w:color w:val="1F3864"/>
          <w:sz w:val="21"/>
          <w:szCs w:val="21"/>
        </w:rPr>
        <w:t xml:space="preserve">RGC-03  —  Risk committee  ·  BHC</w:t>
      </w:r>
      <w:r>
        <w:rPr>
          <w:sz w:val="2"/>
          <w:szCs w:val="2"/>
        </w:rPr>
        <w:t xml:space="preserve"/>
      </w:r>
    </w:p>
    <w:p>
      <w:pPr>
        <w:spacing w:after="24"/>
      </w:pPr>
      <w:r>
        <w:rPr>
          <w:rFonts w:ascii="Arial" w:cs="Arial" w:eastAsia="Arial" w:hAnsi="Arial"/>
          <w:sz w:val="21"/>
          <w:szCs w:val="21"/>
        </w:rPr>
        <w:t xml:space="preserve">Risk committee must have a formal written charter approved by the board, be a standalone independent committee, report directly to the board, meet at least quarterly, and fully document its proceedings.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Regulation YY, 12 CFR part 252 subpart D, 12 CFR 252.33(a)(3).</w:t>
      </w:r>
      <w:r>
        <w:rPr>
          <w:rFonts w:ascii="Arial" w:cs="Arial" w:eastAsia="Arial" w:hAnsi="Arial"/>
          <w:i/>
          <w:iCs/>
          <w:color w:val="3B6FB0"/>
          <w:sz w:val="15"/>
          <w:szCs w:val="15"/>
        </w:rPr>
        <w:t xml:space="preserve"> [https://www.ecfr.gov/current/title-12/chapter-II/part-252]</w:t>
      </w:r>
    </w:p>
    <w:p>
      <w:pPr>
        <w:spacing w:after="6"/>
      </w:pPr>
      <w:r>
        <w:rPr>
          <w:rFonts w:ascii="Arial" w:cs="Arial" w:eastAsia="Arial" w:hAnsi="Arial"/>
          <w:i/>
          <w:iCs/>
          <w:color w:val="7030A0"/>
          <w:sz w:val="17"/>
          <w:szCs w:val="17"/>
        </w:rPr>
        <w:t xml:space="preserve">Legal force: Regulation  ·  Consequence: Enforcement (cease-and-desist, CMP); rating downgrade  ·  Cadence: Quarterly  ·  Cluster: Risk committee architecture  ·  Redundancy: Candidate redundancy  ·  Confidence: High</w:t>
      </w:r>
    </w:p>
    <w:p>
      <w:pPr>
        <w:spacing w:after="104"/>
      </w:pPr>
      <w:r>
        <w:rPr>
          <w:rFonts w:ascii="Arial" w:cs="Arial" w:eastAsia="Arial" w:hAnsi="Arial"/>
          <w:i/>
          <w:iCs/>
          <w:color w:val="595959"/>
          <w:sz w:val="17"/>
          <w:szCs w:val="17"/>
        </w:rPr>
        <w:t xml:space="preserve">Overlap: Structural duplication with OCC App. D governance-framework expectations.  Reform: Harmonize charter/structure requirements across Fed and OCC at the consolidated level.</w:t>
      </w:r>
    </w:p>
    <w:p>
      <w:pPr>
        <w:keepNext/>
        <w:spacing w:after="16" w:before="104"/>
      </w:pPr>
      <w:r>
        <w:rPr>
          <w:rFonts w:ascii="Arial" w:cs="Arial" w:eastAsia="Arial" w:hAnsi="Arial"/>
          <w:b/>
          <w:bCs/>
          <w:color w:val="1F3864"/>
          <w:sz w:val="21"/>
          <w:szCs w:val="21"/>
        </w:rPr>
        <w:t xml:space="preserve">RGC-04  —  Risk committee  ·  BHC</w:t>
      </w:r>
      <w:r>
        <w:rPr>
          <w:sz w:val="2"/>
          <w:szCs w:val="2"/>
        </w:rPr>
        <w:t xml:space="preserve"/>
      </w:r>
    </w:p>
    <w:p>
      <w:pPr>
        <w:spacing w:after="24"/>
      </w:pPr>
      <w:r>
        <w:rPr>
          <w:rFonts w:ascii="Arial" w:cs="Arial" w:eastAsia="Arial" w:hAnsi="Arial"/>
          <w:sz w:val="21"/>
          <w:szCs w:val="21"/>
        </w:rPr>
        <w:t xml:space="preserve">Risk committee must receive and review reports from the chief risk officer at least quarterly.</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Regulation YY, 12 CFR part 252 subpart D, 12 CFR 252.33(a)(3)(iv).</w:t>
      </w:r>
      <w:r>
        <w:rPr>
          <w:rFonts w:ascii="Arial" w:cs="Arial" w:eastAsia="Arial" w:hAnsi="Arial"/>
          <w:i/>
          <w:iCs/>
          <w:color w:val="3B6FB0"/>
          <w:sz w:val="15"/>
          <w:szCs w:val="15"/>
        </w:rPr>
        <w:t xml:space="preserve"> [https://www.ecfr.gov/current/title-12/chapter-II/part-252]</w:t>
      </w:r>
    </w:p>
    <w:p>
      <w:pPr>
        <w:spacing w:after="6"/>
      </w:pPr>
      <w:r>
        <w:rPr>
          <w:rFonts w:ascii="Arial" w:cs="Arial" w:eastAsia="Arial" w:hAnsi="Arial"/>
          <w:i/>
          <w:iCs/>
          <w:color w:val="7030A0"/>
          <w:sz w:val="17"/>
          <w:szCs w:val="17"/>
        </w:rPr>
        <w:t xml:space="preserve">Legal force: Regulation  ·  Consequence: Enforcement (cease-and-desist, CMP); rating downgrade  ·  Cadence: Quarterly  ·  Cluster: Risk committee architecture  ·  Redundancy: Candidate redundancy  ·  Confidence: High</w:t>
      </w:r>
    </w:p>
    <w:p>
      <w:pPr>
        <w:spacing w:after="104"/>
      </w:pPr>
      <w:r>
        <w:rPr>
          <w:rFonts w:ascii="Arial" w:cs="Arial" w:eastAsia="Arial" w:hAnsi="Arial"/>
          <w:i/>
          <w:iCs/>
          <w:color w:val="595959"/>
          <w:sz w:val="17"/>
          <w:szCs w:val="17"/>
        </w:rPr>
        <w:t xml:space="preserve">Overlap: Cadence overlaps OCC App. D quarterly risk monitoring.  Reform: Single quarterly risk-reporting cadence covering both levels.</w:t>
      </w:r>
    </w:p>
    <w:p>
      <w:pPr>
        <w:keepNext/>
        <w:spacing w:after="16" w:before="104"/>
      </w:pPr>
      <w:r>
        <w:rPr>
          <w:rFonts w:ascii="Arial" w:cs="Arial" w:eastAsia="Arial" w:hAnsi="Arial"/>
          <w:b/>
          <w:bCs/>
          <w:color w:val="1F3864"/>
          <w:sz w:val="21"/>
          <w:szCs w:val="21"/>
        </w:rPr>
        <w:t xml:space="preserve">RGC-05  —  Risk committee  ·  BHC</w:t>
      </w:r>
      <w:r>
        <w:rPr>
          <w:sz w:val="2"/>
          <w:szCs w:val="2"/>
        </w:rPr>
        <w:t xml:space="preserve"/>
      </w:r>
    </w:p>
    <w:p>
      <w:pPr>
        <w:spacing w:after="24"/>
      </w:pPr>
      <w:r>
        <w:rPr>
          <w:rFonts w:ascii="Arial" w:cs="Arial" w:eastAsia="Arial" w:hAnsi="Arial"/>
          <w:sz w:val="21"/>
          <w:szCs w:val="21"/>
        </w:rPr>
        <w:t xml:space="preserve">Risk committee must be chaired by an independent director who meets SEC/NYSE independence standards and has risk-management experience.</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Regulation YY, 12 CFR part 252 subpart D, 12 CFR 252.33(a)(4)(ii).</w:t>
      </w:r>
      <w:r>
        <w:rPr>
          <w:rFonts w:ascii="Arial" w:cs="Arial" w:eastAsia="Arial" w:hAnsi="Arial"/>
          <w:i/>
          <w:iCs/>
          <w:color w:val="3B6FB0"/>
          <w:sz w:val="15"/>
          <w:szCs w:val="15"/>
        </w:rPr>
        <w:t xml:space="preserve"> [https://www.ecfr.gov/current/title-12/chapter-II/part-252]</w:t>
      </w:r>
    </w:p>
    <w:p>
      <w:pPr>
        <w:spacing w:after="6"/>
      </w:pPr>
      <w:r>
        <w:rPr>
          <w:rFonts w:ascii="Arial" w:cs="Arial" w:eastAsia="Arial" w:hAnsi="Arial"/>
          <w:i/>
          <w:iCs/>
          <w:color w:val="7030A0"/>
          <w:sz w:val="17"/>
          <w:szCs w:val="17"/>
        </w:rPr>
        <w:t xml:space="preserve">Legal force: Regulation  ·  Consequence: Enforcement (cease-and-desist, CMP); rating downgrade  ·  Cadence: Periodic / ongoing  ·  Cluster: Risk committee architecture  ·  Redundancy: Candidate redundancy  ·  Confidence: High</w:t>
      </w:r>
    </w:p>
    <w:p>
      <w:pPr>
        <w:spacing w:after="104"/>
      </w:pPr>
      <w:r>
        <w:rPr>
          <w:rFonts w:ascii="Arial" w:cs="Arial" w:eastAsia="Arial" w:hAnsi="Arial"/>
          <w:i/>
          <w:iCs/>
          <w:color w:val="595959"/>
          <w:sz w:val="17"/>
          <w:szCs w:val="17"/>
        </w:rPr>
        <w:t xml:space="preserve">Overlap: One of six non-uniform independence tests applied to the same directors.  Reform: Adopt a single prudential independence definition (see independence-test table).</w:t>
      </w:r>
    </w:p>
    <w:p>
      <w:pPr>
        <w:keepNext/>
        <w:spacing w:after="16" w:before="104"/>
      </w:pPr>
      <w:r>
        <w:rPr>
          <w:rFonts w:ascii="Arial" w:cs="Arial" w:eastAsia="Arial" w:hAnsi="Arial"/>
          <w:b/>
          <w:bCs/>
          <w:color w:val="1F3864"/>
          <w:sz w:val="21"/>
          <w:szCs w:val="21"/>
        </w:rPr>
        <w:t xml:space="preserve">RGC-06  —  Full board  ·  BHC</w:t>
      </w:r>
      <w:r>
        <w:rPr>
          <w:sz w:val="2"/>
          <w:szCs w:val="2"/>
        </w:rPr>
        <w:t xml:space="preserve"/>
      </w:r>
    </w:p>
    <w:p>
      <w:pPr>
        <w:spacing w:after="24"/>
      </w:pPr>
      <w:r>
        <w:rPr>
          <w:rFonts w:ascii="Arial" w:cs="Arial" w:eastAsia="Arial" w:hAnsi="Arial"/>
          <w:sz w:val="21"/>
          <w:szCs w:val="21"/>
        </w:rPr>
        <w:t xml:space="preserve">Board must appoint a chief risk officer with experience managing risk at large, complex firms.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Regulation YY, 12 CFR part 252 subpart D, 12 CFR 252.33(b)(1).</w:t>
      </w:r>
      <w:r>
        <w:rPr>
          <w:rFonts w:ascii="Arial" w:cs="Arial" w:eastAsia="Arial" w:hAnsi="Arial"/>
          <w:i/>
          <w:iCs/>
          <w:color w:val="3B6FB0"/>
          <w:sz w:val="15"/>
          <w:szCs w:val="15"/>
        </w:rPr>
        <w:t xml:space="preserve"> [https://www.ecfr.gov/current/title-12/chapter-II/part-252]</w:t>
      </w:r>
    </w:p>
    <w:p>
      <w:pPr>
        <w:spacing w:after="6"/>
      </w:pPr>
      <w:r>
        <w:rPr>
          <w:rFonts w:ascii="Arial" w:cs="Arial" w:eastAsia="Arial" w:hAnsi="Arial"/>
          <w:i/>
          <w:iCs/>
          <w:color w:val="7030A0"/>
          <w:sz w:val="17"/>
          <w:szCs w:val="17"/>
        </w:rPr>
        <w:t xml:space="preserve">Legal force: Regulation  ·  Consequence: Enforcement (cease-and-desist, CMP); rating downgrade  ·  Cadence: Event-driven  ·  Cluster: CRO / CRE appointment &amp; compensation  ·  Redundancy: Candidate redundancy  ·  Confidence: High</w:t>
      </w:r>
    </w:p>
    <w:p>
      <w:pPr>
        <w:spacing w:after="104"/>
      </w:pPr>
      <w:r>
        <w:rPr>
          <w:rFonts w:ascii="Arial" w:cs="Arial" w:eastAsia="Arial" w:hAnsi="Arial"/>
          <w:i/>
          <w:iCs/>
          <w:color w:val="595959"/>
          <w:sz w:val="17"/>
          <w:szCs w:val="17"/>
        </w:rPr>
        <w:t xml:space="preserve">Overlap: Overlaps OCC App. D CRE appointment/compensation approval.  Reform: Consolidate CRO/CRE appointment into Reg YY; OCC incorporates by reference.</w:t>
      </w:r>
    </w:p>
    <w:p>
      <w:pPr>
        <w:keepNext/>
        <w:spacing w:after="16" w:before="104"/>
      </w:pPr>
      <w:r>
        <w:rPr>
          <w:rFonts w:ascii="Arial" w:cs="Arial" w:eastAsia="Arial" w:hAnsi="Arial"/>
          <w:b/>
          <w:bCs/>
          <w:color w:val="1F3864"/>
          <w:sz w:val="21"/>
          <w:szCs w:val="21"/>
        </w:rPr>
        <w:t xml:space="preserve">RGC-07  —  Full board or risk committee  ·  IDI</w:t>
      </w:r>
      <w:r>
        <w:rPr>
          <w:sz w:val="2"/>
          <w:szCs w:val="2"/>
        </w:rPr>
        <w:t xml:space="preserve"/>
      </w:r>
    </w:p>
    <w:p>
      <w:pPr>
        <w:spacing w:after="24"/>
      </w:pPr>
      <w:r>
        <w:rPr>
          <w:rFonts w:ascii="Arial" w:cs="Arial" w:eastAsia="Arial" w:hAnsi="Arial"/>
          <w:sz w:val="21"/>
          <w:szCs w:val="21"/>
        </w:rPr>
        <w:t xml:space="preserve">Board must require management to establish, and must approve, a formal written risk-governance framework, and approve significant changes.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OCC Heightened Standards, 12 CFR part 30, App. D, App. D, sec. II.A.</w:t>
      </w:r>
      <w:r>
        <w:rPr>
          <w:rFonts w:ascii="Arial" w:cs="Arial" w:eastAsia="Arial" w:hAnsi="Arial"/>
          <w:i/>
          <w:iCs/>
          <w:color w:val="3B6FB0"/>
          <w:sz w:val="15"/>
          <w:szCs w:val="15"/>
        </w:rPr>
        <w:t xml:space="preserve"> [https://www.ecfr.gov/current/title-12/chapter-I/part-30/appendix-Appendix%20D%20to%20Part%2030]</w:t>
      </w:r>
    </w:p>
    <w:p>
      <w:pPr>
        <w:spacing w:after="6"/>
      </w:pPr>
      <w:r>
        <w:rPr>
          <w:rFonts w:ascii="Arial" w:cs="Arial" w:eastAsia="Arial" w:hAnsi="Arial"/>
          <w:i/>
          <w:iCs/>
          <w:color w:val="7030A0"/>
          <w:sz w:val="17"/>
          <w:szCs w:val="17"/>
        </w:rPr>
        <w:t xml:space="preserve">Legal force: Enforceable guideline  ·  Consequence: Enforcement (cease-and-desist, CMP); rating downgrade  ·  Cadence: Periodic / ongoing  ·  Cluster: Risk-governance framework / strategy  ·  Redundancy: Candidate redundancy  ·  Confidence: Medium</w:t>
      </w:r>
    </w:p>
    <w:p>
      <w:pPr>
        <w:spacing w:after="104"/>
      </w:pPr>
      <w:r>
        <w:rPr>
          <w:rFonts w:ascii="Arial" w:cs="Arial" w:eastAsia="Arial" w:hAnsi="Arial"/>
          <w:i/>
          <w:iCs/>
          <w:color w:val="595959"/>
          <w:sz w:val="17"/>
          <w:szCs w:val="17"/>
        </w:rPr>
        <w:t xml:space="preserve">Overlap: Parallel to Reg YY 252.33 at the parent level.  Reform: Permit holding-company framework approval to satisfy the IDI framework where boards overlap.  Note: Enforceable via 12 U.S.C. 1831p-1; the OCC can issue enforcement actions without rulemaking process.</w:t>
      </w:r>
    </w:p>
    <w:p>
      <w:pPr>
        <w:keepNext/>
        <w:spacing w:after="16" w:before="104"/>
      </w:pPr>
      <w:r>
        <w:rPr>
          <w:rFonts w:ascii="Arial" w:cs="Arial" w:eastAsia="Arial" w:hAnsi="Arial"/>
          <w:b/>
          <w:bCs/>
          <w:color w:val="1F3864"/>
          <w:sz w:val="21"/>
          <w:szCs w:val="21"/>
        </w:rPr>
        <w:t xml:space="preserve">RGC-08  —  Full board or risk committee  ·  IDI</w:t>
      </w:r>
      <w:r>
        <w:rPr>
          <w:sz w:val="2"/>
          <w:szCs w:val="2"/>
        </w:rPr>
        <w:t xml:space="preserve"/>
      </w:r>
    </w:p>
    <w:p>
      <w:pPr>
        <w:spacing w:after="24"/>
      </w:pPr>
      <w:r>
        <w:rPr>
          <w:rFonts w:ascii="Arial" w:cs="Arial" w:eastAsia="Arial" w:hAnsi="Arial"/>
          <w:sz w:val="21"/>
          <w:szCs w:val="21"/>
        </w:rPr>
        <w:t xml:space="preserve">Board or risk committee reviews and approves the risk-appetite statement at least annually and receives risk monitoring at least quarterly.</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OCC Heightened Standards, 12 CFR part 30, App. D, App. D, secs. II.E, II.G.</w:t>
      </w:r>
      <w:r>
        <w:rPr>
          <w:rFonts w:ascii="Arial" w:cs="Arial" w:eastAsia="Arial" w:hAnsi="Arial"/>
          <w:i/>
          <w:iCs/>
          <w:color w:val="3B6FB0"/>
          <w:sz w:val="15"/>
          <w:szCs w:val="15"/>
        </w:rPr>
        <w:t xml:space="preserve"> [https://www.ecfr.gov/current/title-12/chapter-I/part-30/appendix-Appendix%20D%20to%20Part%2030]</w:t>
      </w:r>
    </w:p>
    <w:p>
      <w:pPr>
        <w:spacing w:after="6"/>
      </w:pPr>
      <w:r>
        <w:rPr>
          <w:rFonts w:ascii="Arial" w:cs="Arial" w:eastAsia="Arial" w:hAnsi="Arial"/>
          <w:i/>
          <w:iCs/>
          <w:color w:val="7030A0"/>
          <w:sz w:val="17"/>
          <w:szCs w:val="17"/>
        </w:rPr>
        <w:t xml:space="preserve">Legal force: Regulation  ·  Consequence: Enforcement (cease-and-desist, CMP); rating downgrade  ·  Cadence: Annual  ·  Cluster: Risk appetite statement  ·  Redundancy: Candidate redundancy  ·  Confidence: Medium</w:t>
      </w:r>
    </w:p>
    <w:p>
      <w:pPr>
        <w:spacing w:after="104"/>
      </w:pPr>
      <w:r>
        <w:rPr>
          <w:rFonts w:ascii="Arial" w:cs="Arial" w:eastAsia="Arial" w:hAnsi="Arial"/>
          <w:i/>
          <w:iCs/>
          <w:color w:val="595959"/>
          <w:sz w:val="17"/>
          <w:szCs w:val="17"/>
        </w:rPr>
        <w:t xml:space="preserve">Overlap: Risk-appetite approval also arises under SR 21-3 (expectation) and the Reg YY liquidity-tolerance approval — three sources.  Reform: Single interagency risk-appetite template; one board-approved document satisfies all.</w:t>
      </w:r>
    </w:p>
    <w:p>
      <w:pPr>
        <w:keepNext/>
        <w:spacing w:after="16" w:before="104"/>
      </w:pPr>
      <w:r>
        <w:rPr>
          <w:rFonts w:ascii="Arial" w:cs="Arial" w:eastAsia="Arial" w:hAnsi="Arial"/>
          <w:b/>
          <w:bCs/>
          <w:color w:val="1F3864"/>
          <w:sz w:val="21"/>
          <w:szCs w:val="21"/>
        </w:rPr>
        <w:t xml:space="preserve">RGC-09  —  Full board or risk committee  ·  IDI</w:t>
      </w:r>
      <w:r>
        <w:rPr>
          <w:sz w:val="2"/>
          <w:szCs w:val="2"/>
        </w:rPr>
        <w:t xml:space="preserve"/>
      </w:r>
    </w:p>
    <w:p>
      <w:pPr>
        <w:spacing w:after="24"/>
      </w:pPr>
      <w:r>
        <w:rPr>
          <w:rFonts w:ascii="Arial" w:cs="Arial" w:eastAsia="Arial" w:hAnsi="Arial"/>
          <w:sz w:val="21"/>
          <w:szCs w:val="21"/>
        </w:rPr>
        <w:t xml:space="preserve">Board or risk committee approves the appointment, removal, and annual compensation of the chief risk executive(s).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OCC Heightened Standards, 12 CFR part 30, App. D, App. D, sec. I.E.7(c).</w:t>
      </w:r>
      <w:r>
        <w:rPr>
          <w:rFonts w:ascii="Arial" w:cs="Arial" w:eastAsia="Arial" w:hAnsi="Arial"/>
          <w:i/>
          <w:iCs/>
          <w:color w:val="3B6FB0"/>
          <w:sz w:val="15"/>
          <w:szCs w:val="15"/>
        </w:rPr>
        <w:t xml:space="preserve"> [https://www.ecfr.gov/current/title-12/chapter-I/part-30/appendix-Appendix%20D%20to%20Part%2030]</w:t>
      </w:r>
    </w:p>
    <w:p>
      <w:pPr>
        <w:spacing w:after="6"/>
      </w:pPr>
      <w:r>
        <w:rPr>
          <w:rFonts w:ascii="Arial" w:cs="Arial" w:eastAsia="Arial" w:hAnsi="Arial"/>
          <w:i/>
          <w:iCs/>
          <w:color w:val="7030A0"/>
          <w:sz w:val="17"/>
          <w:szCs w:val="17"/>
        </w:rPr>
        <w:t xml:space="preserve">Legal force: Regulation  ·  Consequence: Enforcement (cease-and-desist, CMP); rating downgrade  ·  Cadence: Annual  ·  Cluster: CRO / CRE appointment &amp; compensation  ·  Redundancy: Candidate redundancy  ·  Confidence: Medium</w:t>
      </w:r>
    </w:p>
    <w:p>
      <w:pPr>
        <w:spacing w:after="104"/>
      </w:pPr>
      <w:r>
        <w:rPr>
          <w:rFonts w:ascii="Arial" w:cs="Arial" w:eastAsia="Arial" w:hAnsi="Arial"/>
          <w:i/>
          <w:iCs/>
          <w:color w:val="595959"/>
          <w:sz w:val="17"/>
          <w:szCs w:val="17"/>
        </w:rPr>
        <w:t xml:space="preserve">Overlap: Overlaps Reg YY 252.33(b) CRO appointment.  Reform: Consolidate CRO/CRE appointment/pay approval across levels.</w:t>
      </w:r>
    </w:p>
    <w:p>
      <w:pPr>
        <w:keepNext/>
        <w:spacing w:after="16" w:before="104"/>
      </w:pPr>
      <w:r>
        <w:rPr>
          <w:rFonts w:ascii="Arial" w:cs="Arial" w:eastAsia="Arial" w:hAnsi="Arial"/>
          <w:b/>
          <w:bCs/>
          <w:color w:val="1F3864"/>
          <w:sz w:val="21"/>
          <w:szCs w:val="21"/>
        </w:rPr>
        <w:t xml:space="preserve">RGC-10  —  Full board  ·  IDI</w:t>
      </w:r>
      <w:r>
        <w:rPr>
          <w:sz w:val="2"/>
          <w:szCs w:val="2"/>
        </w:rPr>
        <w:t xml:space="preserve"/>
      </w:r>
    </w:p>
    <w:p>
      <w:pPr>
        <w:spacing w:after="24"/>
      </w:pPr>
      <w:r>
        <w:rPr>
          <w:rFonts w:ascii="Arial" w:cs="Arial" w:eastAsia="Arial" w:hAnsi="Arial"/>
          <w:sz w:val="21"/>
          <w:szCs w:val="21"/>
        </w:rPr>
        <w:t xml:space="preserve">Board reviews and approves the bank's three-year strategic plan with a comprehensive risk assessment and monitors implementation at least annually.</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OCC Heightened Standards, 12 CFR part 30, App. D, App. D, sec. II.D.</w:t>
      </w:r>
      <w:r>
        <w:rPr>
          <w:rFonts w:ascii="Arial" w:cs="Arial" w:eastAsia="Arial" w:hAnsi="Arial"/>
          <w:i/>
          <w:iCs/>
          <w:color w:val="3B6FB0"/>
          <w:sz w:val="15"/>
          <w:szCs w:val="15"/>
        </w:rPr>
        <w:t xml:space="preserve"> [https://www.ecfr.gov/current/title-12/chapter-I/part-30/appendix-Appendix%20D%20to%20Part%2030]</w:t>
      </w:r>
    </w:p>
    <w:p>
      <w:pPr>
        <w:spacing w:after="6"/>
      </w:pPr>
      <w:r>
        <w:rPr>
          <w:rFonts w:ascii="Arial" w:cs="Arial" w:eastAsia="Arial" w:hAnsi="Arial"/>
          <w:i/>
          <w:iCs/>
          <w:color w:val="7030A0"/>
          <w:sz w:val="17"/>
          <w:szCs w:val="17"/>
        </w:rPr>
        <w:t xml:space="preserve">Legal force: Regulation  ·  Consequence: Enforcement (cease-and-desist, CMP); rating downgrade  ·  Cadence: Annual  ·  Cluster: Risk-governance framework / strategy  ·  Redundancy: Candidate redundancy  ·  Confidence: Medium</w:t>
      </w:r>
    </w:p>
    <w:p>
      <w:pPr>
        <w:spacing w:after="104"/>
      </w:pPr>
      <w:r>
        <w:rPr>
          <w:rFonts w:ascii="Arial" w:cs="Arial" w:eastAsia="Arial" w:hAnsi="Arial"/>
          <w:i/>
          <w:iCs/>
          <w:color w:val="595959"/>
          <w:sz w:val="17"/>
          <w:szCs w:val="17"/>
        </w:rPr>
        <w:t xml:space="preserve">Overlap: Overlaps consolidated strategy expectations (SR 21-3 / SR 12-17).  Reform: Permit one enterprise strategic-plan approval with an IDI addendum.</w:t>
      </w:r>
    </w:p>
    <w:p>
      <w:pPr>
        <w:pStyle w:val="Heading2"/>
      </w:pPr>
      <w:r>
        <w:t xml:space="preserve">2. Capital planning &amp; stress testing</w:t>
      </w:r>
    </w:p>
    <w:p>
      <w:pPr>
        <w:keepNext/>
        <w:spacing w:after="16" w:before="104"/>
      </w:pPr>
      <w:r>
        <w:rPr>
          <w:rFonts w:ascii="Arial" w:cs="Arial" w:eastAsia="Arial" w:hAnsi="Arial"/>
          <w:b/>
          <w:bCs/>
          <w:color w:val="1F3864"/>
          <w:sz w:val="21"/>
          <w:szCs w:val="21"/>
        </w:rPr>
        <w:t xml:space="preserve">CAP-01  —  Full board  ·  BHC</w:t>
      </w:r>
      <w:r>
        <w:rPr>
          <w:sz w:val="2"/>
          <w:szCs w:val="2"/>
        </w:rPr>
        <w:t xml:space="preserve"/>
      </w:r>
    </w:p>
    <w:p>
      <w:pPr>
        <w:spacing w:after="24"/>
      </w:pPr>
      <w:r>
        <w:rPr>
          <w:rFonts w:ascii="Arial" w:cs="Arial" w:eastAsia="Arial" w:hAnsi="Arial"/>
          <w:sz w:val="21"/>
          <w:szCs w:val="21"/>
        </w:rPr>
        <w:t xml:space="preserve">Board oversight that the firm's stress-testing framework is adequate and integrated into capital planning.</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Dodd-Frank Act section 165(i), 12 U.S.C. 5365(i).</w:t>
      </w:r>
      <w:r>
        <w:rPr>
          <w:rFonts w:ascii="Arial" w:cs="Arial" w:eastAsia="Arial" w:hAnsi="Arial"/>
          <w:i/>
          <w:iCs/>
          <w:color w:val="BF8F00"/>
          <w:sz w:val="15"/>
          <w:szCs w:val="15"/>
        </w:rPr>
        <w:t xml:space="preserve">  [URL not captured]</w:t>
      </w:r>
    </w:p>
    <w:p>
      <w:pPr>
        <w:spacing w:after="6"/>
      </w:pPr>
      <w:r>
        <w:rPr>
          <w:rFonts w:ascii="Arial" w:cs="Arial" w:eastAsia="Arial" w:hAnsi="Arial"/>
          <w:i/>
          <w:iCs/>
          <w:color w:val="7030A0"/>
          <w:sz w:val="17"/>
          <w:szCs w:val="17"/>
        </w:rPr>
        <w:t xml:space="preserve">Legal force: Statute  ·  Consequence: Enforcement (cease-and-desist, CMP); rating downgrade  ·  Cadence: Periodic / ongoing  ·  Cluster: Capital planning &amp; stress testing  ·  Redundancy: Candidate redundancy (intra-level)  ·  Confidence: High</w:t>
      </w:r>
    </w:p>
    <w:p>
      <w:pPr>
        <w:spacing w:after="104"/>
      </w:pPr>
      <w:r>
        <w:rPr>
          <w:rFonts w:ascii="Arial" w:cs="Arial" w:eastAsia="Arial" w:hAnsi="Arial"/>
          <w:i/>
          <w:iCs/>
          <w:color w:val="595959"/>
          <w:sz w:val="17"/>
          <w:szCs w:val="17"/>
        </w:rPr>
        <w:t xml:space="preserve">Overlap: Overlaps Reg YY company-run stress test and the SOX/FDICIA controls cycles.  Reform: Align stress-test, CCAR, and SOX cycles; one integrated board review.</w:t>
      </w:r>
    </w:p>
    <w:p>
      <w:pPr>
        <w:keepNext/>
        <w:spacing w:after="16" w:before="104"/>
      </w:pPr>
      <w:r>
        <w:rPr>
          <w:rFonts w:ascii="Arial" w:cs="Arial" w:eastAsia="Arial" w:hAnsi="Arial"/>
          <w:b/>
          <w:bCs/>
          <w:color w:val="1F3864"/>
          <w:sz w:val="21"/>
          <w:szCs w:val="21"/>
        </w:rPr>
        <w:t xml:space="preserve">CAP-02  —  Full board or designated committee  ·  BHC</w:t>
      </w:r>
      <w:r>
        <w:rPr>
          <w:sz w:val="2"/>
          <w:szCs w:val="2"/>
        </w:rPr>
        <w:t xml:space="preserve"/>
      </w:r>
    </w:p>
    <w:p>
      <w:pPr>
        <w:spacing w:after="24"/>
      </w:pPr>
      <w:r>
        <w:rPr>
          <w:rFonts w:ascii="Arial" w:cs="Arial" w:eastAsia="Arial" w:hAnsi="Arial"/>
          <w:sz w:val="21"/>
          <w:szCs w:val="21"/>
        </w:rPr>
        <w:t xml:space="preserve">Board or a designated committee must, at least annually and before submission, review the robustness of the capital-adequacy process, ensure deficiencies are remedied, and approve the capital plan.</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Capital plan rule, 12 CFR 225.8 (Reg Y), 12 CFR 225.8(e)(1)(iii).</w:t>
      </w:r>
      <w:r>
        <w:rPr>
          <w:rFonts w:ascii="Arial" w:cs="Arial" w:eastAsia="Arial" w:hAnsi="Arial"/>
          <w:i/>
          <w:iCs/>
          <w:color w:val="3B6FB0"/>
          <w:sz w:val="15"/>
          <w:szCs w:val="15"/>
        </w:rPr>
        <w:t xml:space="preserve"> [https://www.ecfr.gov/current/title-12/chapter-II/part-225/section-225.8]</w:t>
      </w:r>
    </w:p>
    <w:p>
      <w:pPr>
        <w:spacing w:after="6"/>
      </w:pPr>
      <w:r>
        <w:rPr>
          <w:rFonts w:ascii="Arial" w:cs="Arial" w:eastAsia="Arial" w:hAnsi="Arial"/>
          <w:i/>
          <w:iCs/>
          <w:color w:val="7030A0"/>
          <w:sz w:val="17"/>
          <w:szCs w:val="17"/>
        </w:rPr>
        <w:t xml:space="preserve">Legal force: Regulation  ·  Consequence: Enforcement (cease-and-desist, CMP); rating downgrade  ·  Cadence: Annual  ·  Cluster: Capital planning &amp; stress testing  ·  Redundancy: Candidate redundancy (intra-level)  ·  Confidence: High</w:t>
      </w:r>
    </w:p>
    <w:p>
      <w:pPr>
        <w:spacing w:after="104"/>
      </w:pPr>
      <w:r>
        <w:rPr>
          <w:rFonts w:ascii="Arial" w:cs="Arial" w:eastAsia="Arial" w:hAnsi="Arial"/>
          <w:i/>
          <w:iCs/>
          <w:color w:val="595959"/>
          <w:sz w:val="17"/>
          <w:szCs w:val="17"/>
        </w:rPr>
        <w:t xml:space="preserve">Overlap: Elaborated by SR 15-18 (expectation): quarterly briefings, capital-policy review.  Reform: Separate board capital-action decisions from technical methodology reporting (push methodology to management).  Note: CCAR FR Y-14A carries a CFO (officer) attestation, not a board attestation.</w:t>
      </w:r>
    </w:p>
    <w:p>
      <w:pPr>
        <w:keepNext/>
        <w:spacing w:after="16" w:before="104"/>
      </w:pPr>
      <w:r>
        <w:rPr>
          <w:rFonts w:ascii="Arial" w:cs="Arial" w:eastAsia="Arial" w:hAnsi="Arial"/>
          <w:b/>
          <w:bCs/>
          <w:color w:val="1F3864"/>
          <w:sz w:val="21"/>
          <w:szCs w:val="21"/>
        </w:rPr>
        <w:t xml:space="preserve">CAP-03  —  Full board or designated committee  ·  BHC</w:t>
      </w:r>
      <w:r>
        <w:rPr>
          <w:sz w:val="2"/>
          <w:szCs w:val="2"/>
        </w:rPr>
        <w:t xml:space="preserve"/>
      </w:r>
    </w:p>
    <w:p>
      <w:pPr>
        <w:spacing w:after="24"/>
      </w:pPr>
      <w:r>
        <w:rPr>
          <w:rFonts w:ascii="Arial" w:cs="Arial" w:eastAsia="Arial" w:hAnsi="Arial"/>
          <w:sz w:val="21"/>
          <w:szCs w:val="21"/>
        </w:rPr>
        <w:t xml:space="preserve">The capital plan must contain a board-approved capital policy.</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Capital plan rule, 12 CFR 225.8 (Reg Y), 12 CFR 225.8(d).</w:t>
      </w:r>
      <w:r>
        <w:rPr>
          <w:rFonts w:ascii="Arial" w:cs="Arial" w:eastAsia="Arial" w:hAnsi="Arial"/>
          <w:i/>
          <w:iCs/>
          <w:color w:val="3B6FB0"/>
          <w:sz w:val="15"/>
          <w:szCs w:val="15"/>
        </w:rPr>
        <w:t xml:space="preserve"> [https://www.ecfr.gov/current/title-12/chapter-II/part-225/section-225.8]</w:t>
      </w:r>
    </w:p>
    <w:p>
      <w:pPr>
        <w:spacing w:after="6"/>
      </w:pPr>
      <w:r>
        <w:rPr>
          <w:rFonts w:ascii="Arial" w:cs="Arial" w:eastAsia="Arial" w:hAnsi="Arial"/>
          <w:i/>
          <w:iCs/>
          <w:color w:val="7030A0"/>
          <w:sz w:val="17"/>
          <w:szCs w:val="17"/>
        </w:rPr>
        <w:t xml:space="preserve">Legal force: Regulation  ·  Consequence: Enforcement (cease-and-desist, CMP); rating downgrade  ·  Cadence: Periodic / ongoing  ·  Cluster: Capital planning &amp; stress testing  ·  Redundancy: Candidate redundancy (intra-level)  ·  Confidence: High</w:t>
      </w:r>
    </w:p>
    <w:p>
      <w:pPr>
        <w:spacing w:after="104"/>
      </w:pPr>
      <w:r>
        <w:rPr>
          <w:rFonts w:ascii="Arial" w:cs="Arial" w:eastAsia="Arial" w:hAnsi="Arial"/>
          <w:i/>
          <w:iCs/>
          <w:color w:val="595959"/>
          <w:sz w:val="17"/>
          <w:szCs w:val="17"/>
        </w:rPr>
        <w:t xml:space="preserve">Overlap: Capital-policy approval also stated in SR 15-18 (expectation).  Reform: One board-approved capital policy satisfies rule and guidance.</w:t>
      </w:r>
    </w:p>
    <w:p>
      <w:pPr>
        <w:keepNext/>
        <w:spacing w:after="16" w:before="104"/>
      </w:pPr>
      <w:r>
        <w:rPr>
          <w:rFonts w:ascii="Arial" w:cs="Arial" w:eastAsia="Arial" w:hAnsi="Arial"/>
          <w:b/>
          <w:bCs/>
          <w:color w:val="1F3864"/>
          <w:sz w:val="21"/>
          <w:szCs w:val="21"/>
        </w:rPr>
        <w:t xml:space="preserve">CAP-04  —  Full board  ·  BHC</w:t>
      </w:r>
      <w:r>
        <w:rPr>
          <w:sz w:val="2"/>
          <w:szCs w:val="2"/>
        </w:rPr>
        <w:t xml:space="preserve"/>
      </w:r>
    </w:p>
    <w:p>
      <w:pPr>
        <w:spacing w:after="24"/>
      </w:pPr>
      <w:r>
        <w:rPr>
          <w:rFonts w:ascii="Arial" w:cs="Arial" w:eastAsia="Arial" w:hAnsi="Arial"/>
          <w:sz w:val="21"/>
          <w:szCs w:val="21"/>
        </w:rPr>
        <w:t xml:space="preserve">Board (and senior management) oversee the company-run stress-testing processes and results.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Regulation YY, 12 CFR part 252 subpart F, 12 CFR 252.54.</w:t>
      </w:r>
      <w:r>
        <w:rPr>
          <w:rFonts w:ascii="Arial" w:cs="Arial" w:eastAsia="Arial" w:hAnsi="Arial"/>
          <w:i/>
          <w:iCs/>
          <w:color w:val="3B6FB0"/>
          <w:sz w:val="15"/>
          <w:szCs w:val="15"/>
        </w:rPr>
        <w:t xml:space="preserve"> [https://www.ecfr.gov/current/title-12/chapter-II/part-252]</w:t>
      </w:r>
    </w:p>
    <w:p>
      <w:pPr>
        <w:spacing w:after="6"/>
      </w:pPr>
      <w:r>
        <w:rPr>
          <w:rFonts w:ascii="Arial" w:cs="Arial" w:eastAsia="Arial" w:hAnsi="Arial"/>
          <w:i/>
          <w:iCs/>
          <w:color w:val="7030A0"/>
          <w:sz w:val="17"/>
          <w:szCs w:val="17"/>
        </w:rPr>
        <w:t xml:space="preserve">Legal force: Regulation  ·  Consequence: Enforcement (cease-and-desist, CMP); rating downgrade  ·  Cadence: Periodic / ongoing  ·  Cluster: Capital planning &amp; stress testing  ·  Redundancy: Candidate redundancy (intra-level)  ·  Confidence: High</w:t>
      </w:r>
    </w:p>
    <w:p>
      <w:pPr>
        <w:spacing w:after="104"/>
      </w:pPr>
      <w:r>
        <w:rPr>
          <w:rFonts w:ascii="Arial" w:cs="Arial" w:eastAsia="Arial" w:hAnsi="Arial"/>
          <w:i/>
          <w:iCs/>
          <w:color w:val="595959"/>
          <w:sz w:val="17"/>
          <w:szCs w:val="17"/>
        </w:rPr>
        <w:t xml:space="preserve">Overlap: Overlaps 165(i) and capital-plan governance.  Reform: Consolidate stress-test governance into the capital-plan board cycle.</w:t>
      </w:r>
    </w:p>
    <w:p>
      <w:pPr>
        <w:keepNext/>
        <w:spacing w:after="16" w:before="104"/>
      </w:pPr>
      <w:r>
        <w:rPr>
          <w:rFonts w:ascii="Arial" w:cs="Arial" w:eastAsia="Arial" w:hAnsi="Arial"/>
          <w:b/>
          <w:bCs/>
          <w:color w:val="1F3864"/>
          <w:sz w:val="21"/>
          <w:szCs w:val="21"/>
        </w:rPr>
        <w:t xml:space="preserve">CAP-05  —  Full board  ·  BHC</w:t>
      </w:r>
      <w:r>
        <w:rPr>
          <w:sz w:val="2"/>
          <w:szCs w:val="2"/>
        </w:rPr>
        <w:t xml:space="preserve"/>
      </w:r>
    </w:p>
    <w:p>
      <w:pPr>
        <w:spacing w:after="24"/>
      </w:pPr>
      <w:r>
        <w:rPr>
          <w:rFonts w:ascii="Arial" w:cs="Arial" w:eastAsia="Arial" w:hAnsi="Arial"/>
          <w:sz w:val="21"/>
          <w:szCs w:val="21"/>
        </w:rPr>
        <w:t xml:space="preserve">Board (firm) must ensure submission of the data required for the Federal Reserve's supervisory stress tests.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Regulation YY, 12 CFR part 252 subpart E, 12 CFR 252.44.</w:t>
      </w:r>
      <w:r>
        <w:rPr>
          <w:rFonts w:ascii="Arial" w:cs="Arial" w:eastAsia="Arial" w:hAnsi="Arial"/>
          <w:i/>
          <w:iCs/>
          <w:color w:val="3B6FB0"/>
          <w:sz w:val="15"/>
          <w:szCs w:val="15"/>
        </w:rPr>
        <w:t xml:space="preserve"> [https://www.ecfr.gov/current/title-12/chapter-II/part-252]</w:t>
      </w:r>
    </w:p>
    <w:p>
      <w:pPr>
        <w:spacing w:after="6"/>
      </w:pPr>
      <w:r>
        <w:rPr>
          <w:rFonts w:ascii="Arial" w:cs="Arial" w:eastAsia="Arial" w:hAnsi="Arial"/>
          <w:i/>
          <w:iCs/>
          <w:color w:val="7030A0"/>
          <w:sz w:val="17"/>
          <w:szCs w:val="17"/>
        </w:rPr>
        <w:t xml:space="preserve">Legal force: Regulation  ·  Consequence: Enforcement (cease-and-desist, CMP); rating downgrade  ·  Cadence: Periodic / ongoing  ·  Cluster: Capital planning &amp; stress testing  ·  Redundancy: Candidate redundancy (intra-level)  ·  Confidence: High</w:t>
      </w:r>
    </w:p>
    <w:p>
      <w:pPr>
        <w:spacing w:after="104"/>
      </w:pPr>
      <w:r>
        <w:rPr>
          <w:rFonts w:ascii="Arial" w:cs="Arial" w:eastAsia="Arial" w:hAnsi="Arial"/>
          <w:i/>
          <w:iCs/>
          <w:color w:val="595959"/>
          <w:sz w:val="17"/>
          <w:szCs w:val="17"/>
        </w:rPr>
        <w:t xml:space="preserve">Overlap: FR Y-14 documentation overlaps capital-plan and model-risk records.  Reform: FR Y-14 documentation-reduction proposal (2025) trims supporting workpapers.</w:t>
      </w:r>
    </w:p>
    <w:p>
      <w:pPr>
        <w:pStyle w:val="Heading2"/>
      </w:pPr>
      <w:r>
        <w:t xml:space="preserve">3. Liquidity risk management</w:t>
      </w:r>
    </w:p>
    <w:p>
      <w:pPr>
        <w:keepNext/>
        <w:spacing w:after="16" w:before="104"/>
      </w:pPr>
      <w:r>
        <w:rPr>
          <w:rFonts w:ascii="Arial" w:cs="Arial" w:eastAsia="Arial" w:hAnsi="Arial"/>
          <w:b/>
          <w:bCs/>
          <w:color w:val="1F3864"/>
          <w:sz w:val="21"/>
          <w:szCs w:val="21"/>
        </w:rPr>
        <w:t xml:space="preserve">LIQ-01  —  Full board  ·  BHC</w:t>
      </w:r>
      <w:r>
        <w:rPr>
          <w:sz w:val="2"/>
          <w:szCs w:val="2"/>
        </w:rPr>
        <w:t xml:space="preserve"/>
      </w:r>
    </w:p>
    <w:p>
      <w:pPr>
        <w:spacing w:after="24"/>
      </w:pPr>
      <w:r>
        <w:rPr>
          <w:rFonts w:ascii="Arial" w:cs="Arial" w:eastAsia="Arial" w:hAnsi="Arial"/>
          <w:sz w:val="21"/>
          <w:szCs w:val="21"/>
        </w:rPr>
        <w:t xml:space="preserve">Board must approve the firm's liquidity risk tolerance at least annually.</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Regulation YY, 12 CFR part 252 subpart D, 12 CFR 252.34(a)(1).</w:t>
      </w:r>
      <w:r>
        <w:rPr>
          <w:rFonts w:ascii="Arial" w:cs="Arial" w:eastAsia="Arial" w:hAnsi="Arial"/>
          <w:i/>
          <w:iCs/>
          <w:color w:val="3B6FB0"/>
          <w:sz w:val="15"/>
          <w:szCs w:val="15"/>
        </w:rPr>
        <w:t xml:space="preserve"> [https://www.ecfr.gov/current/title-12/chapter-II/part-252]</w:t>
      </w:r>
    </w:p>
    <w:p>
      <w:pPr>
        <w:spacing w:after="6"/>
      </w:pPr>
      <w:r>
        <w:rPr>
          <w:rFonts w:ascii="Arial" w:cs="Arial" w:eastAsia="Arial" w:hAnsi="Arial"/>
          <w:i/>
          <w:iCs/>
          <w:color w:val="7030A0"/>
          <w:sz w:val="17"/>
          <w:szCs w:val="17"/>
        </w:rPr>
        <w:t xml:space="preserve">Legal force: Regulation  ·  Consequence: Enforcement (cease-and-desist, CMP); rating downgrade  ·  Cadence: Annual  ·  Cluster: Liquidity risk management  ·  Redundancy: Candidate redundancy  ·  Confidence: High</w:t>
      </w:r>
    </w:p>
    <w:p>
      <w:pPr>
        <w:spacing w:after="104"/>
      </w:pPr>
      <w:r>
        <w:rPr>
          <w:rFonts w:ascii="Arial" w:cs="Arial" w:eastAsia="Arial" w:hAnsi="Arial"/>
          <w:i/>
          <w:iCs/>
          <w:color w:val="595959"/>
          <w:sz w:val="17"/>
          <w:szCs w:val="17"/>
        </w:rPr>
        <w:t xml:space="preserve">Overlap: Overlaps SR 10-6 (expectation) board ownership of liquidity risk and OCC liquidity expectations.  Reform: One board liquidity-risk-tolerance approval satisfies rule and guidance.</w:t>
      </w:r>
    </w:p>
    <w:p>
      <w:pPr>
        <w:keepNext/>
        <w:spacing w:after="16" w:before="104"/>
      </w:pPr>
      <w:r>
        <w:rPr>
          <w:rFonts w:ascii="Arial" w:cs="Arial" w:eastAsia="Arial" w:hAnsi="Arial"/>
          <w:b/>
          <w:bCs/>
          <w:color w:val="1F3864"/>
          <w:sz w:val="21"/>
          <w:szCs w:val="21"/>
        </w:rPr>
        <w:t xml:space="preserve">LIQ-02  —  Full board  ·  BHC</w:t>
      </w:r>
      <w:r>
        <w:rPr>
          <w:sz w:val="2"/>
          <w:szCs w:val="2"/>
        </w:rPr>
        <w:t xml:space="preserve"/>
      </w:r>
    </w:p>
    <w:p>
      <w:pPr>
        <w:spacing w:after="24"/>
      </w:pPr>
      <w:r>
        <w:rPr>
          <w:rFonts w:ascii="Arial" w:cs="Arial" w:eastAsia="Arial" w:hAnsi="Arial"/>
          <w:sz w:val="21"/>
          <w:szCs w:val="21"/>
        </w:rPr>
        <w:t xml:space="preserve">Board must review, at least semi-annually, whether the firm is operating within its established liquidity risk tolerance.</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Regulation YY, 12 CFR part 252 subpart D, 12 CFR 252.34(a)(1)(ii).</w:t>
      </w:r>
      <w:r>
        <w:rPr>
          <w:rFonts w:ascii="Arial" w:cs="Arial" w:eastAsia="Arial" w:hAnsi="Arial"/>
          <w:i/>
          <w:iCs/>
          <w:color w:val="3B6FB0"/>
          <w:sz w:val="15"/>
          <w:szCs w:val="15"/>
        </w:rPr>
        <w:t xml:space="preserve"> [https://www.ecfr.gov/current/title-12/chapter-II/part-252]</w:t>
      </w:r>
    </w:p>
    <w:p>
      <w:pPr>
        <w:spacing w:after="6"/>
      </w:pPr>
      <w:r>
        <w:rPr>
          <w:rFonts w:ascii="Arial" w:cs="Arial" w:eastAsia="Arial" w:hAnsi="Arial"/>
          <w:i/>
          <w:iCs/>
          <w:color w:val="7030A0"/>
          <w:sz w:val="17"/>
          <w:szCs w:val="17"/>
        </w:rPr>
        <w:t xml:space="preserve">Legal force: Regulation  ·  Consequence: Enforcement (cease-and-desist, CMP); rating downgrade  ·  Cadence: Annual  ·  Cluster: Liquidity risk management  ·  Redundancy: Candidate redundancy  ·  Confidence: High</w:t>
      </w:r>
    </w:p>
    <w:p>
      <w:pPr>
        <w:spacing w:after="104"/>
      </w:pPr>
      <w:r>
        <w:rPr>
          <w:rFonts w:ascii="Arial" w:cs="Arial" w:eastAsia="Arial" w:hAnsi="Arial"/>
          <w:i/>
          <w:iCs/>
          <w:color w:val="595959"/>
          <w:sz w:val="17"/>
          <w:szCs w:val="17"/>
        </w:rPr>
        <w:t xml:space="preserve">Overlap: Cadence overlaps quarterly liquidity reporting under SR 10-6.  Reform: Single liquidity reporting/review cadence.</w:t>
      </w:r>
    </w:p>
    <w:p>
      <w:pPr>
        <w:keepNext/>
        <w:spacing w:after="16" w:before="104"/>
      </w:pPr>
      <w:r>
        <w:rPr>
          <w:rFonts w:ascii="Arial" w:cs="Arial" w:eastAsia="Arial" w:hAnsi="Arial"/>
          <w:b/>
          <w:bCs/>
          <w:color w:val="1F3864"/>
          <w:sz w:val="21"/>
          <w:szCs w:val="21"/>
        </w:rPr>
        <w:t xml:space="preserve">LIQ-03  —  Full board  ·  BHC</w:t>
      </w:r>
      <w:r>
        <w:rPr>
          <w:sz w:val="2"/>
          <w:szCs w:val="2"/>
        </w:rPr>
        <w:t xml:space="preserve"/>
      </w:r>
    </w:p>
    <w:p>
      <w:pPr>
        <w:spacing w:after="24"/>
      </w:pPr>
      <w:r>
        <w:rPr>
          <w:rFonts w:ascii="Arial" w:cs="Arial" w:eastAsia="Arial" w:hAnsi="Arial"/>
          <w:sz w:val="21"/>
          <w:szCs w:val="21"/>
        </w:rPr>
        <w:t xml:space="preserve">Board must approve and periodically review the liquidity risk-management strategies, policies, and procedures.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Regulation YY, 12 CFR part 252 subpart D, 12 CFR 252.34(a)(2).</w:t>
      </w:r>
      <w:r>
        <w:rPr>
          <w:rFonts w:ascii="Arial" w:cs="Arial" w:eastAsia="Arial" w:hAnsi="Arial"/>
          <w:i/>
          <w:iCs/>
          <w:color w:val="3B6FB0"/>
          <w:sz w:val="15"/>
          <w:szCs w:val="15"/>
        </w:rPr>
        <w:t xml:space="preserve"> [https://www.ecfr.gov/current/title-12/chapter-II/part-252]</w:t>
      </w:r>
    </w:p>
    <w:p>
      <w:pPr>
        <w:spacing w:after="6"/>
      </w:pPr>
      <w:r>
        <w:rPr>
          <w:rFonts w:ascii="Arial" w:cs="Arial" w:eastAsia="Arial" w:hAnsi="Arial"/>
          <w:i/>
          <w:iCs/>
          <w:color w:val="7030A0"/>
          <w:sz w:val="17"/>
          <w:szCs w:val="17"/>
        </w:rPr>
        <w:t xml:space="preserve">Legal force: Regulation  ·  Consequence: Enforcement (cease-and-desist, CMP); rating downgrade  ·  Cadence: Periodic / ongoing  ·  Cluster: Liquidity risk management  ·  Redundancy: Candidate redundancy  ·  Confidence: High</w:t>
      </w:r>
    </w:p>
    <w:p>
      <w:pPr>
        <w:spacing w:after="104"/>
      </w:pPr>
      <w:r>
        <w:rPr>
          <w:rFonts w:ascii="Arial" w:cs="Arial" w:eastAsia="Arial" w:hAnsi="Arial"/>
          <w:i/>
          <w:iCs/>
          <w:color w:val="595959"/>
          <w:sz w:val="17"/>
          <w:szCs w:val="17"/>
        </w:rPr>
        <w:t xml:space="preserve">Overlap: Substantially the same duty stated in SR 10-6 (expectation) at two levels.  Reform: Consolidate; cross-reference rather than restate.</w:t>
      </w:r>
    </w:p>
    <w:p>
      <w:pPr>
        <w:keepNext/>
        <w:spacing w:after="16" w:before="104"/>
      </w:pPr>
      <w:r>
        <w:rPr>
          <w:rFonts w:ascii="Arial" w:cs="Arial" w:eastAsia="Arial" w:hAnsi="Arial"/>
          <w:b/>
          <w:bCs/>
          <w:color w:val="1F3864"/>
          <w:sz w:val="21"/>
          <w:szCs w:val="21"/>
        </w:rPr>
        <w:t xml:space="preserve">LIQ-04  —  Risk committee  ·  BHC</w:t>
      </w:r>
      <w:r>
        <w:rPr>
          <w:sz w:val="2"/>
          <w:szCs w:val="2"/>
        </w:rPr>
        <w:t xml:space="preserve"/>
      </w:r>
    </w:p>
    <w:p>
      <w:pPr>
        <w:spacing w:after="24"/>
      </w:pPr>
      <w:r>
        <w:rPr>
          <w:rFonts w:ascii="Arial" w:cs="Arial" w:eastAsia="Arial" w:hAnsi="Arial"/>
          <w:sz w:val="21"/>
          <w:szCs w:val="21"/>
        </w:rPr>
        <w:t xml:space="preserve">Risk committee (or a designated subcommittee of board members) must approve the contingency funding plan at least annually and approve material revisions before implementation.</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Regulation YY, 12 CFR part 252 subpart D, 12 CFR 252.34(b).</w:t>
      </w:r>
      <w:r>
        <w:rPr>
          <w:rFonts w:ascii="Arial" w:cs="Arial" w:eastAsia="Arial" w:hAnsi="Arial"/>
          <w:i/>
          <w:iCs/>
          <w:color w:val="3B6FB0"/>
          <w:sz w:val="15"/>
          <w:szCs w:val="15"/>
        </w:rPr>
        <w:t xml:space="preserve"> [https://www.ecfr.gov/current/title-12/chapter-II/part-252]</w:t>
      </w:r>
    </w:p>
    <w:p>
      <w:pPr>
        <w:spacing w:after="6"/>
      </w:pPr>
      <w:r>
        <w:rPr>
          <w:rFonts w:ascii="Arial" w:cs="Arial" w:eastAsia="Arial" w:hAnsi="Arial"/>
          <w:i/>
          <w:iCs/>
          <w:color w:val="7030A0"/>
          <w:sz w:val="17"/>
          <w:szCs w:val="17"/>
        </w:rPr>
        <w:t xml:space="preserve">Legal force: Regulation  ·  Consequence: Enforcement (cease-and-desist, CMP); rating downgrade  ·  Cadence: Annual  ·  Cluster: Resolution, recovery &amp; contingency funding  ·  Redundancy: Mixed (parallel-but-justified + candidate redundancy)  ·  Confidence: High</w:t>
      </w:r>
    </w:p>
    <w:p>
      <w:pPr>
        <w:spacing w:after="104"/>
      </w:pPr>
      <w:r>
        <w:rPr>
          <w:rFonts w:ascii="Arial" w:cs="Arial" w:eastAsia="Arial" w:hAnsi="Arial"/>
          <w:i/>
          <w:iCs/>
          <w:color w:val="595959"/>
          <w:sz w:val="17"/>
          <w:szCs w:val="17"/>
        </w:rPr>
        <w:t xml:space="preserve">Overlap: One of three related resilience plans (CFP / recovery / resolution) on different cycles.  Reform: Integrate CFP, recovery, and resolution into a single 'resilience planning' board cycle.</w:t>
      </w:r>
    </w:p>
    <w:p>
      <w:pPr>
        <w:pStyle w:val="Heading2"/>
      </w:pPr>
      <w:r>
        <w:t xml:space="preserve">4. Resolution &amp; recovery planning</w:t>
      </w:r>
    </w:p>
    <w:p>
      <w:pPr>
        <w:keepNext/>
        <w:spacing w:after="16" w:before="104"/>
      </w:pPr>
      <w:r>
        <w:rPr>
          <w:rFonts w:ascii="Arial" w:cs="Arial" w:eastAsia="Arial" w:hAnsi="Arial"/>
          <w:b/>
          <w:bCs/>
          <w:color w:val="1F3864"/>
          <w:sz w:val="21"/>
          <w:szCs w:val="21"/>
        </w:rPr>
        <w:t xml:space="preserve">RES-01  —  Full board  ·  BHC</w:t>
      </w:r>
      <w:r>
        <w:rPr>
          <w:sz w:val="2"/>
          <w:szCs w:val="2"/>
        </w:rPr>
        <w:t xml:space="preserve"/>
      </w:r>
    </w:p>
    <w:p>
      <w:pPr>
        <w:spacing w:after="24"/>
      </w:pPr>
      <w:r>
        <w:rPr>
          <w:rFonts w:ascii="Arial" w:cs="Arial" w:eastAsia="Arial" w:hAnsi="Arial"/>
          <w:sz w:val="21"/>
          <w:szCs w:val="21"/>
        </w:rPr>
        <w:t xml:space="preserve">The Title I resolution plan (living will) must be approved by the board of directors and noted in the minutes before submission. Non-delegable; applies to a document that can exceed 100,000 pages.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Dodd-Frank section 165(d); Regulation QQ, 12 CFR part 243, 12 U.S.C. 5365(d); 12 CFR 243.4(f).</w:t>
      </w:r>
      <w:r>
        <w:rPr>
          <w:rFonts w:ascii="Arial" w:cs="Arial" w:eastAsia="Arial" w:hAnsi="Arial"/>
          <w:i/>
          <w:iCs/>
          <w:color w:val="3B6FB0"/>
          <w:sz w:val="15"/>
          <w:szCs w:val="15"/>
        </w:rPr>
        <w:t xml:space="preserve"> [https://www.ecfr.gov/current/title-12/chapter-II/part-243]</w:t>
      </w:r>
    </w:p>
    <w:p>
      <w:pPr>
        <w:spacing w:after="6"/>
      </w:pPr>
      <w:r>
        <w:rPr>
          <w:rFonts w:ascii="Arial" w:cs="Arial" w:eastAsia="Arial" w:hAnsi="Arial"/>
          <w:i/>
          <w:iCs/>
          <w:color w:val="7030A0"/>
          <w:sz w:val="17"/>
          <w:szCs w:val="17"/>
        </w:rPr>
        <w:t xml:space="preserve">Legal force: Regulation  ·  Consequence: Enforcement (cease-and-desist, CMP); rating downgrade  ·  Cadence: Event-driven  ·  Cluster: Resolution, recovery &amp; contingency funding  ·  Redundancy: Parallel but justified (distinct FDIC interest)  ·  Confidence: High</w:t>
      </w:r>
    </w:p>
    <w:p>
      <w:pPr>
        <w:spacing w:after="104"/>
      </w:pPr>
      <w:r>
        <w:rPr>
          <w:rFonts w:ascii="Arial" w:cs="Arial" w:eastAsia="Arial" w:hAnsi="Arial"/>
          <w:i/>
          <w:iCs/>
          <w:color w:val="595959"/>
          <w:sz w:val="17"/>
          <w:szCs w:val="17"/>
        </w:rPr>
        <w:t>Overlap: Parallel to the FDIC IDI resolution plan (RES-02): two minuted approvals, two cadences, two rules, overlapping content.  Reform: Permit a single board approval covering both the Title I and IDI submissions, with an IDI annex.  Cadence note (v2.1): board approval is required on the biennial Title I filing cycle (12 CFR 243.4(a)), not annually; the burden model annualizes this cluster accordingly.</w:t>
      </w:r>
    </w:p>
    <w:p>
      <w:pPr>
        <w:keepNext/>
        <w:spacing w:after="16" w:before="104"/>
      </w:pPr>
      <w:r>
        <w:rPr>
          <w:rFonts w:ascii="Arial" w:cs="Arial" w:eastAsia="Arial" w:hAnsi="Arial"/>
          <w:b/>
          <w:bCs/>
          <w:color w:val="1F3864"/>
          <w:sz w:val="21"/>
          <w:szCs w:val="21"/>
        </w:rPr>
        <w:t xml:space="preserve">RES-02  —  Full board or appropriate committee  ·  IDI</w:t>
      </w:r>
      <w:r>
        <w:rPr>
          <w:sz w:val="2"/>
          <w:szCs w:val="2"/>
        </w:rPr>
        <w:t xml:space="preserve"/>
      </w:r>
    </w:p>
    <w:p>
      <w:pPr>
        <w:spacing w:after="24"/>
      </w:pPr>
      <w:r>
        <w:rPr>
          <w:rFonts w:ascii="Arial" w:cs="Arial" w:eastAsia="Arial" w:hAnsi="Arial"/>
          <w:sz w:val="21"/>
          <w:szCs w:val="21"/>
        </w:rPr>
        <w:t xml:space="preserve">The covered IDI's resolution submission must include board/committee escalation procedures and (per the rule's governance content) board approval of the submission.</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FDIC IDI Resolution Plan Rule, 12 CFR 360.10, 12 CFR 360.10(c)(5).</w:t>
      </w:r>
      <w:r>
        <w:rPr>
          <w:rFonts w:ascii="Arial" w:cs="Arial" w:eastAsia="Arial" w:hAnsi="Arial"/>
          <w:i/>
          <w:iCs/>
          <w:color w:val="3B6FB0"/>
          <w:sz w:val="15"/>
          <w:szCs w:val="15"/>
        </w:rPr>
        <w:t xml:space="preserve"> [https://www.ecfr.gov/current/title-12/chapter-III/part-360/section-360.10]</w:t>
      </w:r>
    </w:p>
    <w:p>
      <w:pPr>
        <w:spacing w:after="6"/>
      </w:pPr>
      <w:r>
        <w:rPr>
          <w:rFonts w:ascii="Arial" w:cs="Arial" w:eastAsia="Arial" w:hAnsi="Arial"/>
          <w:i/>
          <w:iCs/>
          <w:color w:val="7030A0"/>
          <w:sz w:val="17"/>
          <w:szCs w:val="17"/>
        </w:rPr>
        <w:t xml:space="preserve">Legal force: Regulation  ·  Consequence: Enforcement (cease-and-desist, CMP); rating downgrade  ·  Cadence: Periodic / ongoing  ·  Cluster: Resolution, recovery &amp; contingency funding  ·  Redundancy: Parallel but justified (distinct FDIC interest)  ·  Confidence: High</w:t>
      </w:r>
    </w:p>
    <w:p>
      <w:pPr>
        <w:spacing w:after="104"/>
      </w:pPr>
      <w:r>
        <w:rPr>
          <w:rFonts w:ascii="Arial" w:cs="Arial" w:eastAsia="Arial" w:hAnsi="Arial"/>
          <w:i/>
          <w:iCs/>
          <w:color w:val="595959"/>
          <w:sz w:val="17"/>
          <w:szCs w:val="17"/>
        </w:rPr>
        <w:t xml:space="preserve">Overlap: Direct duplication with the parent Title I plan for GSIB-owned banks.  Reform: Shared resolution submission; one board approval.</w:t>
      </w:r>
    </w:p>
    <w:p>
      <w:pPr>
        <w:keepNext/>
        <w:spacing w:after="16" w:before="104"/>
      </w:pPr>
      <w:r>
        <w:rPr>
          <w:rFonts w:ascii="Arial" w:cs="Arial" w:eastAsia="Arial" w:hAnsi="Arial"/>
          <w:b/>
          <w:bCs/>
          <w:color w:val="1F3864"/>
          <w:sz w:val="21"/>
          <w:szCs w:val="21"/>
        </w:rPr>
        <w:t xml:space="preserve">RES-03  —  n/a (rescinded)  ·  IDI</w:t>
      </w:r>
      <w:r>
        <w:rPr>
          <w:rFonts w:ascii="Arial" w:cs="Arial" w:eastAsia="Arial" w:hAnsi="Arial"/>
          <w:b/>
          <w:bCs/>
          <w:color w:val="C00000"/>
          <w:sz w:val="17"/>
          <w:szCs w:val="17"/>
        </w:rPr>
        <w:t xml:space="preserve">  [RESCINDED EFFECTIVE MAY 1, 2026 (91 FR DOC. 2026-06281; OCC BULLETIN 2026-10)]</w:t>
      </w:r>
    </w:p>
    <w:p>
      <w:pPr>
        <w:spacing w:after="24"/>
      </w:pPr>
      <w:r>
        <w:rPr>
          <w:rFonts w:ascii="Arial" w:cs="Arial" w:eastAsia="Arial" w:hAnsi="Arial"/>
          <w:sz w:val="21"/>
          <w:szCs w:val="21"/>
        </w:rPr>
        <w:t xml:space="preserve">RESCINDED: the board's duty to review and approve the IDI recovery plan at least annually no longer exists. The only remaining recovery-planning hook is the holding-company SR 14-8 oversight expectation (catalogued in the supervisory-expectations inventory).</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OCC Recovery Planning Guidelines, 12 CFR part 30, App. E, App. E (rescinded).</w:t>
      </w:r>
      <w:r>
        <w:rPr>
          <w:rFonts w:ascii="Arial" w:cs="Arial" w:eastAsia="Arial" w:hAnsi="Arial"/>
          <w:i/>
          <w:iCs/>
          <w:color w:val="3B6FB0"/>
          <w:sz w:val="15"/>
          <w:szCs w:val="15"/>
        </w:rPr>
        <w:t xml:space="preserve"> [https://www.occ.gov/news-issuances/bulletins/2026/bulletin-2026-10.html]</w:t>
      </w:r>
    </w:p>
    <w:p>
      <w:pPr>
        <w:spacing w:after="6"/>
      </w:pPr>
      <w:r>
        <w:rPr>
          <w:rFonts w:ascii="Arial" w:cs="Arial" w:eastAsia="Arial" w:hAnsi="Arial"/>
          <w:i/>
          <w:iCs/>
          <w:color w:val="7030A0"/>
          <w:sz w:val="17"/>
          <w:szCs w:val="17"/>
        </w:rPr>
        <w:t xml:space="preserve">Legal force: Rescinded  ·  Consequence: None (not in force)  ·  Cadence: Annual  ·  Cluster: Resolution, recovery &amp; contingency funding  ·  Redundancy: Mixed (parallel-but-justified + candidate redundancy)  ·  Confidence: High (web-verified)</w:t>
      </w:r>
    </w:p>
    <w:p>
      <w:pPr>
        <w:spacing w:after="104"/>
      </w:pPr>
      <w:r>
        <w:rPr>
          <w:rFonts w:ascii="Arial" w:cs="Arial" w:eastAsia="Arial" w:hAnsi="Arial"/>
          <w:i/>
          <w:iCs/>
          <w:color w:val="595959"/>
          <w:sz w:val="17"/>
          <w:szCs w:val="17"/>
        </w:rPr>
        <w:t xml:space="preserve">Overlap: Was duplicative of SR 14-8 until rescission; now parent-only and guidance-only.  Reform: Already removed; confirm no residual re-imposition via the Heightened Standards.</w:t>
      </w:r>
    </w:p>
    <w:p>
      <w:pPr>
        <w:pStyle w:val="Heading2"/>
      </w:pPr>
      <w:r>
        <w:t xml:space="preserve">5. TLAC, single-counterparty &amp; GSIB structural limits</w:t>
      </w:r>
    </w:p>
    <w:p>
      <w:pPr>
        <w:keepNext/>
        <w:spacing w:after="16" w:before="104"/>
      </w:pPr>
      <w:r>
        <w:rPr>
          <w:rFonts w:ascii="Arial" w:cs="Arial" w:eastAsia="Arial" w:hAnsi="Arial"/>
          <w:b/>
          <w:bCs/>
          <w:color w:val="1F3864"/>
          <w:sz w:val="21"/>
          <w:szCs w:val="21"/>
        </w:rPr>
        <w:t xml:space="preserve">TLA-01  —  Full board  ·  BHC</w:t>
      </w:r>
      <w:r>
        <w:rPr>
          <w:sz w:val="2"/>
          <w:szCs w:val="2"/>
        </w:rPr>
        <w:t xml:space="preserve"/>
      </w:r>
    </w:p>
    <w:p>
      <w:pPr>
        <w:spacing w:after="24"/>
      </w:pPr>
      <w:r>
        <w:rPr>
          <w:rFonts w:ascii="Arial" w:cs="Arial" w:eastAsia="Arial" w:hAnsi="Arial"/>
          <w:sz w:val="21"/>
          <w:szCs w:val="21"/>
        </w:rPr>
        <w:t xml:space="preserve">Board oversight of compliance with external long-term debt and total loss-absorbing capacity (TLAC) requirements.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Regulation YY, 12 CFR part 252 subpart G, 12 CFR 252.62-252.63.</w:t>
      </w:r>
      <w:r>
        <w:rPr>
          <w:rFonts w:ascii="Arial" w:cs="Arial" w:eastAsia="Arial" w:hAnsi="Arial"/>
          <w:i/>
          <w:iCs/>
          <w:color w:val="3B6FB0"/>
          <w:sz w:val="15"/>
          <w:szCs w:val="15"/>
        </w:rPr>
        <w:t xml:space="preserve"> [https://www.ecfr.gov/current/title-12/chapter-II/part-252]</w:t>
      </w:r>
    </w:p>
    <w:p>
      <w:pPr>
        <w:spacing w:after="6"/>
      </w:pPr>
      <w:r>
        <w:rPr>
          <w:rFonts w:ascii="Arial" w:cs="Arial" w:eastAsia="Arial" w:hAnsi="Arial"/>
          <w:i/>
          <w:iCs/>
          <w:color w:val="7030A0"/>
          <w:sz w:val="17"/>
          <w:szCs w:val="17"/>
        </w:rPr>
        <w:t xml:space="preserve">Legal force: Regulation  ·  Consequence: Enforcement (cease-and-desist, CMP); rating downgrade  ·  Cadence: Periodic / ongoing  ·  Cluster: Unique structural duties  ·  Redundancy: Unique / limited overlap  ·  Confidence: High</w:t>
      </w:r>
    </w:p>
    <w:p>
      <w:pPr>
        <w:spacing w:after="104"/>
      </w:pPr>
      <w:r>
        <w:rPr>
          <w:rFonts w:ascii="Arial" w:cs="Arial" w:eastAsia="Arial" w:hAnsi="Arial"/>
          <w:i/>
          <w:iCs/>
          <w:color w:val="595959"/>
          <w:sz w:val="17"/>
          <w:szCs w:val="17"/>
        </w:rPr>
        <w:t xml:space="preserve">Overlap: Oversight folds into capital/resolution governance.  Reform: Fold into the capital-plan board cycle.</w:t>
      </w:r>
    </w:p>
    <w:p>
      <w:pPr>
        <w:keepNext/>
        <w:spacing w:after="16" w:before="104"/>
      </w:pPr>
      <w:r>
        <w:rPr>
          <w:rFonts w:ascii="Arial" w:cs="Arial" w:eastAsia="Arial" w:hAnsi="Arial"/>
          <w:b/>
          <w:bCs/>
          <w:color w:val="1F3864"/>
          <w:sz w:val="21"/>
          <w:szCs w:val="21"/>
        </w:rPr>
        <w:t xml:space="preserve">TLA-02  —  Full board  ·  BHC</w:t>
      </w:r>
      <w:r>
        <w:rPr>
          <w:sz w:val="2"/>
          <w:szCs w:val="2"/>
        </w:rPr>
        <w:t xml:space="preserve"/>
      </w:r>
    </w:p>
    <w:p>
      <w:pPr>
        <w:spacing w:after="24"/>
      </w:pPr>
      <w:r>
        <w:rPr>
          <w:rFonts w:ascii="Arial" w:cs="Arial" w:eastAsia="Arial" w:hAnsi="Arial"/>
          <w:sz w:val="21"/>
          <w:szCs w:val="21"/>
        </w:rPr>
        <w:t xml:space="preserve">Board oversight of compliance with the clean-holding-company restrictions on the corporate practices of U.S. GSIBs.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Regulation YY, 12 CFR part 252 subpart G, 12 CFR 252.64.</w:t>
      </w:r>
      <w:r>
        <w:rPr>
          <w:rFonts w:ascii="Arial" w:cs="Arial" w:eastAsia="Arial" w:hAnsi="Arial"/>
          <w:i/>
          <w:iCs/>
          <w:color w:val="3B6FB0"/>
          <w:sz w:val="15"/>
          <w:szCs w:val="15"/>
        </w:rPr>
        <w:t xml:space="preserve"> [https://www.ecfr.gov/current/title-12/chapter-II/part-252]</w:t>
      </w:r>
    </w:p>
    <w:p>
      <w:pPr>
        <w:spacing w:after="6"/>
      </w:pPr>
      <w:r>
        <w:rPr>
          <w:rFonts w:ascii="Arial" w:cs="Arial" w:eastAsia="Arial" w:hAnsi="Arial"/>
          <w:i/>
          <w:iCs/>
          <w:color w:val="7030A0"/>
          <w:sz w:val="17"/>
          <w:szCs w:val="17"/>
        </w:rPr>
        <w:t xml:space="preserve">Legal force: Regulation  ·  Consequence: Enforcement (cease-and-desist, CMP); rating downgrade  ·  Cadence: Periodic / ongoing  ·  Cluster: Unique structural duties  ·  Redundancy: Unique / limited overlap  ·  Confidence: High</w:t>
      </w:r>
    </w:p>
    <w:p>
      <w:pPr>
        <w:spacing w:after="104"/>
      </w:pPr>
      <w:r>
        <w:rPr>
          <w:rFonts w:ascii="Arial" w:cs="Arial" w:eastAsia="Arial" w:hAnsi="Arial"/>
          <w:i/>
          <w:iCs/>
          <w:color w:val="595959"/>
          <w:sz w:val="17"/>
          <w:szCs w:val="17"/>
        </w:rPr>
        <w:t xml:space="preserve">Overlap: Minimal; GSIB-specific.  Reform: Retain; distinct structural purpose.</w:t>
      </w:r>
    </w:p>
    <w:p>
      <w:pPr>
        <w:keepNext/>
        <w:spacing w:after="16" w:before="104"/>
      </w:pPr>
      <w:r>
        <w:rPr>
          <w:rFonts w:ascii="Arial" w:cs="Arial" w:eastAsia="Arial" w:hAnsi="Arial"/>
          <w:b/>
          <w:bCs/>
          <w:color w:val="1F3864"/>
          <w:sz w:val="21"/>
          <w:szCs w:val="21"/>
        </w:rPr>
        <w:t xml:space="preserve">TLA-03  —  Full board  ·  BHC</w:t>
      </w:r>
      <w:r>
        <w:rPr>
          <w:sz w:val="2"/>
          <w:szCs w:val="2"/>
        </w:rPr>
        <w:t xml:space="preserve"/>
      </w:r>
    </w:p>
    <w:p>
      <w:pPr>
        <w:spacing w:after="24"/>
      </w:pPr>
      <w:r>
        <w:rPr>
          <w:rFonts w:ascii="Arial" w:cs="Arial" w:eastAsia="Arial" w:hAnsi="Arial"/>
          <w:sz w:val="21"/>
          <w:szCs w:val="21"/>
        </w:rPr>
        <w:t xml:space="preserve">Board oversight of compliance with single-counterparty credit-exposure limits.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Regulation YY, 12 CFR part 252 subpart H, 12 CFR 252.70-252.78.</w:t>
      </w:r>
      <w:r>
        <w:rPr>
          <w:rFonts w:ascii="Arial" w:cs="Arial" w:eastAsia="Arial" w:hAnsi="Arial"/>
          <w:i/>
          <w:iCs/>
          <w:color w:val="3B6FB0"/>
          <w:sz w:val="15"/>
          <w:szCs w:val="15"/>
        </w:rPr>
        <w:t xml:space="preserve"> [https://www.ecfr.gov/current/title-12/chapter-II/part-252]</w:t>
      </w:r>
    </w:p>
    <w:p>
      <w:pPr>
        <w:spacing w:after="6"/>
      </w:pPr>
      <w:r>
        <w:rPr>
          <w:rFonts w:ascii="Arial" w:cs="Arial" w:eastAsia="Arial" w:hAnsi="Arial"/>
          <w:i/>
          <w:iCs/>
          <w:color w:val="7030A0"/>
          <w:sz w:val="17"/>
          <w:szCs w:val="17"/>
        </w:rPr>
        <w:t xml:space="preserve">Legal force: Regulation  ·  Consequence: Enforcement (cease-and-desist, CMP); rating downgrade  ·  Cadence: Periodic / ongoing  ·  Cluster: Unique structural duties  ·  Redundancy: Unique / limited overlap  ·  Confidence: High</w:t>
      </w:r>
    </w:p>
    <w:p>
      <w:pPr>
        <w:spacing w:after="104"/>
      </w:pPr>
      <w:r>
        <w:rPr>
          <w:rFonts w:ascii="Arial" w:cs="Arial" w:eastAsia="Arial" w:hAnsi="Arial"/>
          <w:i/>
          <w:iCs/>
          <w:color w:val="595959"/>
          <w:sz w:val="17"/>
          <w:szCs w:val="17"/>
        </w:rPr>
        <w:t xml:space="preserve">Overlap: Oversight overlaps enterprise risk-limit monitoring.  Reform: Cover within risk-committee limit monitoring.</w:t>
      </w:r>
    </w:p>
    <w:p>
      <w:pPr>
        <w:pStyle w:val="Heading2"/>
      </w:pPr>
      <w:r>
        <w:t xml:space="preserve">6. Volcker &amp; trading-compliance attestation</w:t>
      </w:r>
    </w:p>
    <w:p>
      <w:pPr>
        <w:keepNext/>
        <w:spacing w:after="16" w:before="104"/>
      </w:pPr>
      <w:r>
        <w:rPr>
          <w:rFonts w:ascii="Arial" w:cs="Arial" w:eastAsia="Arial" w:hAnsi="Arial"/>
          <w:b/>
          <w:bCs/>
          <w:color w:val="1F3864"/>
          <w:sz w:val="21"/>
          <w:szCs w:val="21"/>
        </w:rPr>
        <w:t xml:space="preserve">VOL-01  —  Full board  ·  BHC &amp; IDI</w:t>
      </w:r>
      <w:r>
        <w:rPr>
          <w:sz w:val="2"/>
          <w:szCs w:val="2"/>
        </w:rPr>
        <w:t xml:space="preserve"/>
      </w:r>
    </w:p>
    <w:p>
      <w:pPr>
        <w:spacing w:after="24"/>
      </w:pPr>
      <w:r>
        <w:rPr>
          <w:rFonts w:ascii="Arial" w:cs="Arial" w:eastAsia="Arial" w:hAnsi="Arial"/>
          <w:sz w:val="21"/>
          <w:szCs w:val="21"/>
        </w:rPr>
        <w:t xml:space="preserve">Board must approve and oversee a Volcker Rule compliance program; for the largest firms the CEO must attest annually to the program's effectiveness.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Bank Holding Company Act section 13 (Volcker Rule), 12 U.S.C. 1851; 12 CFR part 248 (subpart D).</w:t>
      </w:r>
      <w:r>
        <w:rPr>
          <w:rFonts w:ascii="Arial" w:cs="Arial" w:eastAsia="Arial" w:hAnsi="Arial"/>
          <w:i/>
          <w:iCs/>
          <w:color w:val="3B6FB0"/>
          <w:sz w:val="15"/>
          <w:szCs w:val="15"/>
        </w:rPr>
        <w:t xml:space="preserve"> [https://www.ecfr.gov/current/title-12/chapter-II/part-248]</w:t>
      </w:r>
    </w:p>
    <w:p>
      <w:pPr>
        <w:spacing w:after="6"/>
      </w:pPr>
      <w:r>
        <w:rPr>
          <w:rFonts w:ascii="Arial" w:cs="Arial" w:eastAsia="Arial" w:hAnsi="Arial"/>
          <w:i/>
          <w:iCs/>
          <w:color w:val="7030A0"/>
          <w:sz w:val="17"/>
          <w:szCs w:val="17"/>
        </w:rPr>
        <w:t xml:space="preserve">Legal force: Regulation  ·  Consequence: Enforcement (cease-and-desist, CMP); rating downgrade  ·  Cadence: Annual  ·  Cluster: Unique structural duties  ·  Redundancy: Unique / limited overlap  ·  Confidence: High</w:t>
      </w:r>
    </w:p>
    <w:p>
      <w:pPr>
        <w:spacing w:after="104"/>
      </w:pPr>
      <w:r>
        <w:rPr>
          <w:rFonts w:ascii="Arial" w:cs="Arial" w:eastAsia="Arial" w:hAnsi="Arial"/>
          <w:i/>
          <w:iCs/>
          <w:color w:val="595959"/>
          <w:sz w:val="17"/>
          <w:szCs w:val="17"/>
        </w:rPr>
        <w:t xml:space="preserve">Overlap: CEO attestation overlaps the resolution-plan and SOX certification cycles.  Reform: Align the Volcker attestation cycle with other annual board certifications.</w:t>
      </w:r>
    </w:p>
    <w:p>
      <w:pPr>
        <w:pStyle w:val="Heading2"/>
      </w:pPr>
      <w:r>
        <w:t xml:space="preserve">7. Board composition &amp; independence</w:t>
      </w:r>
    </w:p>
    <w:p>
      <w:pPr>
        <w:keepNext/>
        <w:spacing w:after="16" w:before="104"/>
      </w:pPr>
      <w:r>
        <w:rPr>
          <w:rFonts w:ascii="Arial" w:cs="Arial" w:eastAsia="Arial" w:hAnsi="Arial"/>
          <w:b/>
          <w:bCs/>
          <w:color w:val="1F3864"/>
          <w:sz w:val="21"/>
          <w:szCs w:val="21"/>
        </w:rPr>
        <w:t xml:space="preserve">IND-01  —  Full board (composition)  ·  IDI</w:t>
      </w:r>
      <w:r>
        <w:rPr>
          <w:sz w:val="2"/>
          <w:szCs w:val="2"/>
        </w:rPr>
        <w:t xml:space="preserve"/>
      </w:r>
    </w:p>
    <w:p>
      <w:pPr>
        <w:spacing w:after="24"/>
      </w:pPr>
      <w:r>
        <w:rPr>
          <w:rFonts w:ascii="Arial" w:cs="Arial" w:eastAsia="Arial" w:hAnsi="Arial"/>
          <w:sz w:val="21"/>
          <w:szCs w:val="21"/>
        </w:rPr>
        <w:t xml:space="preserve">At least two members of the board must be independent (3-year no-officer/employee test; no immediate-family executive tie; independent under a national exchange's listing standards).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OCC Heightened Standards, 12 CFR part 30, App. D, App. D, sec. III.D.</w:t>
      </w:r>
      <w:r>
        <w:rPr>
          <w:rFonts w:ascii="Arial" w:cs="Arial" w:eastAsia="Arial" w:hAnsi="Arial"/>
          <w:i/>
          <w:iCs/>
          <w:color w:val="3B6FB0"/>
          <w:sz w:val="15"/>
          <w:szCs w:val="15"/>
        </w:rPr>
        <w:t xml:space="preserve"> [https://www.ecfr.gov/current/title-12/chapter-I/part-30/appendix-Appendix%20D%20to%20Part%2030]</w:t>
      </w:r>
    </w:p>
    <w:p>
      <w:pPr>
        <w:spacing w:after="6"/>
      </w:pPr>
      <w:r>
        <w:rPr>
          <w:rFonts w:ascii="Arial" w:cs="Arial" w:eastAsia="Arial" w:hAnsi="Arial"/>
          <w:i/>
          <w:iCs/>
          <w:color w:val="7030A0"/>
          <w:sz w:val="17"/>
          <w:szCs w:val="17"/>
        </w:rPr>
        <w:t xml:space="preserve">Legal force: Regulation  ·  Consequence: Enforcement (cease-and-desist, CMP); rating downgrade  ·  Cadence: Periodic / ongoing  ·  Cluster: Director independence (cross-cutting)  ·  Redundancy: Candidate redundancy  ·  Confidence: Medium</w:t>
      </w:r>
    </w:p>
    <w:p>
      <w:pPr>
        <w:spacing w:after="104"/>
      </w:pPr>
      <w:r>
        <w:rPr>
          <w:rFonts w:ascii="Arial" w:cs="Arial" w:eastAsia="Arial" w:hAnsi="Arial"/>
          <w:i/>
          <w:iCs/>
          <w:color w:val="595959"/>
          <w:sz w:val="17"/>
          <w:szCs w:val="17"/>
        </w:rPr>
        <w:t xml:space="preserve">Overlap: One of six non-uniform independence tests.  Reform: Single prudential independence definition.</w:t>
      </w:r>
    </w:p>
    <w:p>
      <w:pPr>
        <w:keepNext/>
        <w:spacing w:after="16" w:before="104"/>
      </w:pPr>
      <w:r>
        <w:rPr>
          <w:rFonts w:ascii="Arial" w:cs="Arial" w:eastAsia="Arial" w:hAnsi="Arial"/>
          <w:b/>
          <w:bCs/>
          <w:color w:val="1F3864"/>
          <w:sz w:val="21"/>
          <w:szCs w:val="21"/>
        </w:rPr>
        <w:t xml:space="preserve">IND-02  —  Full board  ·  IDI</w:t>
      </w:r>
      <w:r>
        <w:rPr>
          <w:sz w:val="2"/>
          <w:szCs w:val="2"/>
        </w:rPr>
        <w:t xml:space="preserve"/>
      </w:r>
    </w:p>
    <w:p>
      <w:pPr>
        <w:spacing w:after="24"/>
      </w:pPr>
      <w:r>
        <w:rPr>
          <w:rFonts w:ascii="Arial" w:cs="Arial" w:eastAsia="Arial" w:hAnsi="Arial"/>
          <w:sz w:val="21"/>
          <w:szCs w:val="21"/>
        </w:rPr>
        <w:t xml:space="preserve">Board must establish and adhere to a formal, ongoing training program for all directors.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OCC Heightened Standards, 12 CFR part 30, App. D, App. D, sec. III.E.</w:t>
      </w:r>
      <w:r>
        <w:rPr>
          <w:rFonts w:ascii="Arial" w:cs="Arial" w:eastAsia="Arial" w:hAnsi="Arial"/>
          <w:i/>
          <w:iCs/>
          <w:color w:val="3B6FB0"/>
          <w:sz w:val="15"/>
          <w:szCs w:val="15"/>
        </w:rPr>
        <w:t xml:space="preserve"> [https://www.ecfr.gov/current/title-12/chapter-I/part-30/appendix-Appendix%20D%20to%20Part%2030]</w:t>
      </w:r>
    </w:p>
    <w:p>
      <w:pPr>
        <w:spacing w:after="6"/>
      </w:pPr>
      <w:r>
        <w:rPr>
          <w:rFonts w:ascii="Arial" w:cs="Arial" w:eastAsia="Arial" w:hAnsi="Arial"/>
          <w:i/>
          <w:iCs/>
          <w:color w:val="7030A0"/>
          <w:sz w:val="17"/>
          <w:szCs w:val="17"/>
        </w:rPr>
        <w:t xml:space="preserve">Legal force: Regulation  ·  Consequence: Enforcement (cease-and-desist, CMP); rating downgrade  ·  Cadence: Periodic / ongoing  ·  Cluster: Director training  ·  Redundancy: Candidate redundancy  ·  Confidence: Medium</w:t>
      </w:r>
    </w:p>
    <w:p>
      <w:pPr>
        <w:spacing w:after="104"/>
      </w:pPr>
      <w:r>
        <w:rPr>
          <w:rFonts w:ascii="Arial" w:cs="Arial" w:eastAsia="Arial" w:hAnsi="Arial"/>
          <w:i/>
          <w:iCs/>
          <w:color w:val="595959"/>
          <w:sz w:val="17"/>
          <w:szCs w:val="17"/>
        </w:rPr>
        <w:t xml:space="preserve">Overlap: Overlaps SR 21-3 / Director's Book training expectations and BSA training.  Reform: One consolidated director-training program.</w:t>
      </w:r>
    </w:p>
    <w:p>
      <w:pPr>
        <w:keepNext/>
        <w:spacing w:after="16" w:before="104"/>
      </w:pPr>
      <w:r>
        <w:rPr>
          <w:rFonts w:ascii="Arial" w:cs="Arial" w:eastAsia="Arial" w:hAnsi="Arial"/>
          <w:b/>
          <w:bCs/>
          <w:color w:val="1F3864"/>
          <w:sz w:val="21"/>
          <w:szCs w:val="21"/>
        </w:rPr>
        <w:t xml:space="preserve">IND-03  —  Full board  ·  IDI</w:t>
      </w:r>
      <w:r>
        <w:rPr>
          <w:sz w:val="2"/>
          <w:szCs w:val="2"/>
        </w:rPr>
        <w:t xml:space="preserve"/>
      </w:r>
    </w:p>
    <w:p>
      <w:pPr>
        <w:spacing w:after="24"/>
      </w:pPr>
      <w:r>
        <w:rPr>
          <w:rFonts w:ascii="Arial" w:cs="Arial" w:eastAsia="Arial" w:hAnsi="Arial"/>
          <w:sz w:val="21"/>
          <w:szCs w:val="21"/>
        </w:rPr>
        <w:t xml:space="preserve">Board must conduct an annual self-assessment of its effectiveness in meeting the Section III standards.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OCC Heightened Standards, 12 CFR part 30, App. D, App. D, sec. III.F.</w:t>
      </w:r>
      <w:r>
        <w:rPr>
          <w:rFonts w:ascii="Arial" w:cs="Arial" w:eastAsia="Arial" w:hAnsi="Arial"/>
          <w:i/>
          <w:iCs/>
          <w:color w:val="3B6FB0"/>
          <w:sz w:val="15"/>
          <w:szCs w:val="15"/>
        </w:rPr>
        <w:t xml:space="preserve"> [https://www.ecfr.gov/current/title-12/chapter-I/part-30/appendix-Appendix%20D%20to%20Part%2030]</w:t>
      </w:r>
    </w:p>
    <w:p>
      <w:pPr>
        <w:spacing w:after="6"/>
      </w:pPr>
      <w:r>
        <w:rPr>
          <w:rFonts w:ascii="Arial" w:cs="Arial" w:eastAsia="Arial" w:hAnsi="Arial"/>
          <w:i/>
          <w:iCs/>
          <w:color w:val="7030A0"/>
          <w:sz w:val="17"/>
          <w:szCs w:val="17"/>
        </w:rPr>
        <w:t xml:space="preserve">Legal force: Regulation  ·  Consequence: Enforcement (cease-and-desist, CMP); rating downgrade  ·  Cadence: Annual  ·  Cluster: Board self-assessment / effectiveness  ·  Redundancy: Candidate redundancy  ·  Confidence: Medium</w:t>
      </w:r>
    </w:p>
    <w:p>
      <w:pPr>
        <w:spacing w:after="104"/>
      </w:pPr>
      <w:r>
        <w:rPr>
          <w:rFonts w:ascii="Arial" w:cs="Arial" w:eastAsia="Arial" w:hAnsi="Arial"/>
          <w:i/>
          <w:iCs/>
          <w:color w:val="595959"/>
          <w:sz w:val="17"/>
          <w:szCs w:val="17"/>
        </w:rPr>
        <w:t xml:space="preserve">Overlap: Overlaps SR 21-3 board self-assessment (expectation).  Reform: Single interagency board-effectiveness self-assessment.</w:t>
      </w:r>
    </w:p>
    <w:p>
      <w:pPr>
        <w:keepNext/>
        <w:spacing w:after="16" w:before="104"/>
      </w:pPr>
      <w:r>
        <w:rPr>
          <w:rFonts w:ascii="Arial" w:cs="Arial" w:eastAsia="Arial" w:hAnsi="Arial"/>
          <w:b/>
          <w:bCs/>
          <w:color w:val="1F3864"/>
          <w:sz w:val="21"/>
          <w:szCs w:val="21"/>
        </w:rPr>
        <w:t xml:space="preserve">IND-04  —  Each director  ·  IDI</w:t>
      </w:r>
      <w:r>
        <w:rPr>
          <w:sz w:val="2"/>
          <w:szCs w:val="2"/>
        </w:rPr>
        <w:t xml:space="preserve"/>
      </w:r>
    </w:p>
    <w:p>
      <w:pPr>
        <w:spacing w:after="24"/>
      </w:pPr>
      <w:r>
        <w:rPr>
          <w:rFonts w:ascii="Arial" w:cs="Arial" w:eastAsia="Arial" w:hAnsi="Arial"/>
          <w:sz w:val="21"/>
          <w:szCs w:val="21"/>
        </w:rPr>
        <w:t xml:space="preserve">Each member of the board should exercise sound, independent judgment.</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OCC Heightened Standards, 12 CFR part 30, App. D, App. D, sec. III.C.</w:t>
      </w:r>
      <w:r>
        <w:rPr>
          <w:rFonts w:ascii="Arial" w:cs="Arial" w:eastAsia="Arial" w:hAnsi="Arial"/>
          <w:i/>
          <w:iCs/>
          <w:color w:val="3B6FB0"/>
          <w:sz w:val="15"/>
          <w:szCs w:val="15"/>
        </w:rPr>
        <w:t xml:space="preserve"> [https://www.ecfr.gov/current/title-12/chapter-I/part-30/appendix-Appendix%20D%20to%20Part%2030]</w:t>
      </w:r>
    </w:p>
    <w:p>
      <w:pPr>
        <w:spacing w:after="6"/>
      </w:pPr>
      <w:r>
        <w:rPr>
          <w:rFonts w:ascii="Arial" w:cs="Arial" w:eastAsia="Arial" w:hAnsi="Arial"/>
          <w:i/>
          <w:iCs/>
          <w:color w:val="7030A0"/>
          <w:sz w:val="17"/>
          <w:szCs w:val="17"/>
        </w:rPr>
        <w:t xml:space="preserve">Legal force: Regulation  ·  Consequence: Enforcement (cease-and-desist, CMP); rating downgrade  ·  Cadence: Periodic / ongoing  ·  Cluster: Director independence (cross-cutting)  ·  Redundancy: Candidate redundancy  ·  Confidence: Medium</w:t>
      </w:r>
    </w:p>
    <w:p>
      <w:pPr>
        <w:spacing w:after="104"/>
      </w:pPr>
      <w:r>
        <w:rPr>
          <w:rFonts w:ascii="Arial" w:cs="Arial" w:eastAsia="Arial" w:hAnsi="Arial"/>
          <w:i/>
          <w:iCs/>
          <w:color w:val="595959"/>
          <w:sz w:val="17"/>
          <w:szCs w:val="17"/>
        </w:rPr>
        <w:t xml:space="preserve">Overlap: Conceptual overlap with FDIC director-duty standards.  Reform: Retain as principle.</w:t>
      </w:r>
    </w:p>
    <w:p>
      <w:pPr>
        <w:keepNext/>
        <w:spacing w:after="16" w:before="104"/>
      </w:pPr>
      <w:r>
        <w:rPr>
          <w:rFonts w:ascii="Arial" w:cs="Arial" w:eastAsia="Arial" w:hAnsi="Arial"/>
          <w:b/>
          <w:bCs/>
          <w:color w:val="1F3864"/>
          <w:sz w:val="21"/>
          <w:szCs w:val="21"/>
        </w:rPr>
        <w:t xml:space="preserve">IND-05  —  Audit committee  ·  Issuer</w:t>
      </w:r>
      <w:r>
        <w:rPr>
          <w:sz w:val="2"/>
          <w:szCs w:val="2"/>
        </w:rPr>
        <w:t xml:space="preserve"/>
      </w:r>
    </w:p>
    <w:p>
      <w:pPr>
        <w:spacing w:after="24"/>
      </w:pPr>
      <w:r>
        <w:rPr>
          <w:rFonts w:ascii="Arial" w:cs="Arial" w:eastAsia="Arial" w:hAnsi="Arial"/>
          <w:sz w:val="21"/>
          <w:szCs w:val="21"/>
        </w:rPr>
        <w:t xml:space="preserve">All audit-committee members must be independent, and the committee must have authority to engage independent counsel and advisers.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Sarbanes-Oxley section 301, SOX sec. 301; 17 CFR 240.10A-3.</w:t>
      </w:r>
      <w:r>
        <w:rPr>
          <w:rFonts w:ascii="Arial" w:cs="Arial" w:eastAsia="Arial" w:hAnsi="Arial"/>
          <w:i/>
          <w:iCs/>
          <w:color w:val="3B6FB0"/>
          <w:sz w:val="15"/>
          <w:szCs w:val="15"/>
        </w:rPr>
        <w:t xml:space="preserve"> [https://www.govinfo.gov/content/pkg/PLAW-107publ204/pdf/PLAW-107publ204.pdf]</w:t>
      </w:r>
    </w:p>
    <w:p>
      <w:pPr>
        <w:spacing w:after="6"/>
      </w:pPr>
      <w:r>
        <w:rPr>
          <w:rFonts w:ascii="Arial" w:cs="Arial" w:eastAsia="Arial" w:hAnsi="Arial"/>
          <w:i/>
          <w:iCs/>
          <w:color w:val="7030A0"/>
          <w:sz w:val="17"/>
          <w:szCs w:val="17"/>
        </w:rPr>
        <w:t xml:space="preserve">Legal force: Regulation  ·  Consequence: SEC enforcement; disclosure/securities liability  ·  Cadence: Periodic / ongoing  ·  Cluster: Director independence (cross-cutting)  ·  Redundancy: Candidate redundancy  ·  Confidence: High</w:t>
      </w:r>
    </w:p>
    <w:p>
      <w:pPr>
        <w:spacing w:after="104"/>
      </w:pPr>
      <w:r>
        <w:rPr>
          <w:rFonts w:ascii="Arial" w:cs="Arial" w:eastAsia="Arial" w:hAnsi="Arial"/>
          <w:i/>
          <w:iCs/>
          <w:color w:val="595959"/>
          <w:sz w:val="17"/>
          <w:szCs w:val="17"/>
        </w:rPr>
        <w:t xml:space="preserve">Overlap: Different independence test than FDICIA 'outside director' and Reg YY chair test.  Reform: Harmonize independence definitions across SEC and banking agencies.</w:t>
      </w:r>
    </w:p>
    <w:p>
      <w:pPr>
        <w:keepNext/>
        <w:spacing w:after="16" w:before="104"/>
      </w:pPr>
      <w:r>
        <w:rPr>
          <w:rFonts w:ascii="Arial" w:cs="Arial" w:eastAsia="Arial" w:hAnsi="Arial"/>
          <w:b/>
          <w:bCs/>
          <w:color w:val="1F3864"/>
          <w:sz w:val="21"/>
          <w:szCs w:val="21"/>
        </w:rPr>
        <w:t xml:space="preserve">IND-06  —  Full board; compensation committee; nominating committee  ·  Issuer</w:t>
      </w:r>
      <w:r>
        <w:rPr>
          <w:sz w:val="2"/>
          <w:szCs w:val="2"/>
        </w:rPr>
        <w:t xml:space="preserve"/>
      </w:r>
    </w:p>
    <w:p>
      <w:pPr>
        <w:spacing w:after="24"/>
      </w:pPr>
      <w:r>
        <w:rPr>
          <w:rFonts w:ascii="Arial" w:cs="Arial" w:eastAsia="Arial" w:hAnsi="Arial"/>
          <w:sz w:val="21"/>
          <w:szCs w:val="21"/>
        </w:rPr>
        <w:t xml:space="preserve">Majority-independent board; compensation committee fully independent; director nominations by independent directors or a nominating committee.</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NYSE / Nasdaq listing standards, NYSE Listed Company Manual 303A; Nasdaq Rule 5600.</w:t>
      </w:r>
      <w:r>
        <w:rPr>
          <w:rFonts w:ascii="Arial" w:cs="Arial" w:eastAsia="Arial" w:hAnsi="Arial"/>
          <w:i/>
          <w:iCs/>
          <w:color w:val="BF8F00"/>
          <w:sz w:val="15"/>
          <w:szCs w:val="15"/>
        </w:rPr>
        <w:t xml:space="preserve">  [URL not captured]</w:t>
      </w:r>
    </w:p>
    <w:p>
      <w:pPr>
        <w:spacing w:after="6"/>
      </w:pPr>
      <w:r>
        <w:rPr>
          <w:rFonts w:ascii="Arial" w:cs="Arial" w:eastAsia="Arial" w:hAnsi="Arial"/>
          <w:i/>
          <w:iCs/>
          <w:color w:val="7030A0"/>
          <w:sz w:val="17"/>
          <w:szCs w:val="17"/>
        </w:rPr>
        <w:t xml:space="preserve">Legal force: SRO listing standard  ·  Consequence: SEC enforcement; disclosure/securities liability  ·  Cadence: Periodic / ongoing  ·  Cluster: Director independence (cross-cutting)  ·  Redundancy: Candidate redundancy  ·  Confidence: Medium</w:t>
      </w:r>
    </w:p>
    <w:p>
      <w:pPr>
        <w:spacing w:after="104"/>
      </w:pPr>
      <w:r>
        <w:rPr>
          <w:rFonts w:ascii="Arial" w:cs="Arial" w:eastAsia="Arial" w:hAnsi="Arial"/>
          <w:i/>
          <w:iCs/>
          <w:color w:val="595959"/>
          <w:sz w:val="17"/>
          <w:szCs w:val="17"/>
        </w:rPr>
        <w:t xml:space="preserve">Overlap: Overlaps SOX, DFA 952, and banking independence tests.  Reform: Cross-reference exchange independence to satisfy prudential committee-independence expectations.</w:t>
      </w:r>
    </w:p>
    <w:p>
      <w:pPr>
        <w:keepNext/>
        <w:spacing w:after="16" w:before="104"/>
      </w:pPr>
      <w:r>
        <w:rPr>
          <w:rFonts w:ascii="Arial" w:cs="Arial" w:eastAsia="Arial" w:hAnsi="Arial"/>
          <w:b/>
          <w:bCs/>
          <w:color w:val="1F3864"/>
          <w:sz w:val="21"/>
          <w:szCs w:val="21"/>
        </w:rPr>
        <w:t xml:space="preserve">IND-07  —  Compensation committee  ·  Issuer</w:t>
      </w:r>
      <w:r>
        <w:rPr>
          <w:sz w:val="2"/>
          <w:szCs w:val="2"/>
        </w:rPr>
        <w:t xml:space="preserve"/>
      </w:r>
    </w:p>
    <w:p>
      <w:pPr>
        <w:spacing w:after="24"/>
      </w:pPr>
      <w:r>
        <w:rPr>
          <w:rFonts w:ascii="Arial" w:cs="Arial" w:eastAsia="Arial" w:hAnsi="Arial"/>
          <w:sz w:val="21"/>
          <w:szCs w:val="21"/>
        </w:rPr>
        <w:t xml:space="preserve">Compensation committee must be independent and may retain independent compensation advisers (with independence factors considered).</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Dodd-Frank section 952, 15 U.S.C. 78j-3; 17 CFR 240.10C-1.</w:t>
      </w:r>
      <w:r>
        <w:rPr>
          <w:rFonts w:ascii="Arial" w:cs="Arial" w:eastAsia="Arial" w:hAnsi="Arial"/>
          <w:i/>
          <w:iCs/>
          <w:color w:val="3B6FB0"/>
          <w:sz w:val="15"/>
          <w:szCs w:val="15"/>
        </w:rPr>
        <w:t xml:space="preserve"> [https://www.ecfr.gov/current/title-17/chapter-II/part-240/section-240.10C-1]</w:t>
      </w:r>
    </w:p>
    <w:p>
      <w:pPr>
        <w:spacing w:after="6"/>
      </w:pPr>
      <w:r>
        <w:rPr>
          <w:rFonts w:ascii="Arial" w:cs="Arial" w:eastAsia="Arial" w:hAnsi="Arial"/>
          <w:i/>
          <w:iCs/>
          <w:color w:val="7030A0"/>
          <w:sz w:val="17"/>
          <w:szCs w:val="17"/>
        </w:rPr>
        <w:t xml:space="preserve">Legal force: Regulation  ·  Consequence: SEC enforcement; disclosure/securities liability  ·  Cadence: Periodic / ongoing  ·  Cluster: Incentive compensation  ·  Redundancy: Candidate redundancy  ·  Confidence: High</w:t>
      </w:r>
    </w:p>
    <w:p>
      <w:pPr>
        <w:spacing w:after="104"/>
      </w:pPr>
      <w:r>
        <w:rPr>
          <w:rFonts w:ascii="Arial" w:cs="Arial" w:eastAsia="Arial" w:hAnsi="Arial"/>
          <w:i/>
          <w:iCs/>
          <w:color w:val="595959"/>
          <w:sz w:val="17"/>
          <w:szCs w:val="17"/>
        </w:rPr>
        <w:t xml:space="preserve">Overlap: Overlaps NYSE/Nasdaq comp-committee independence and incentive-comp governance.  Reform: Treat 952 independence as satisfying prudential comp-governance independence.</w:t>
      </w:r>
    </w:p>
    <w:p>
      <w:pPr>
        <w:keepNext/>
        <w:spacing w:after="16" w:before="104"/>
      </w:pPr>
      <w:r>
        <w:rPr>
          <w:rFonts w:ascii="Arial" w:cs="Arial" w:eastAsia="Arial" w:hAnsi="Arial"/>
          <w:b/>
          <w:bCs/>
          <w:color w:val="1F3864"/>
          <w:sz w:val="21"/>
          <w:szCs w:val="21"/>
        </w:rPr>
        <w:t xml:space="preserve">IND-08  —  Full board / audit &amp; comp committees  ·  Issuer</w:t>
      </w:r>
      <w:r>
        <w:rPr>
          <w:sz w:val="2"/>
          <w:szCs w:val="2"/>
        </w:rPr>
        <w:t xml:space="preserve"/>
      </w:r>
    </w:p>
    <w:p>
      <w:pPr>
        <w:spacing w:after="24"/>
      </w:pPr>
      <w:r>
        <w:rPr>
          <w:rFonts w:ascii="Arial" w:cs="Arial" w:eastAsia="Arial" w:hAnsi="Arial"/>
          <w:sz w:val="21"/>
          <w:szCs w:val="21"/>
        </w:rPr>
        <w:t xml:space="preserve">Board must disclose audit-committee financial expert(s) and compensation-committee independence and processes.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SEC Regulation S-K Item 407, 17 CFR 229.407.</w:t>
      </w:r>
      <w:r>
        <w:rPr>
          <w:rFonts w:ascii="Arial" w:cs="Arial" w:eastAsia="Arial" w:hAnsi="Arial"/>
          <w:i/>
          <w:iCs/>
          <w:color w:val="3B6FB0"/>
          <w:sz w:val="15"/>
          <w:szCs w:val="15"/>
        </w:rPr>
        <w:t xml:space="preserve"> [https://www.ecfr.gov/current/title-17/chapter-II/part-229/section-229.407]</w:t>
      </w:r>
    </w:p>
    <w:p>
      <w:pPr>
        <w:spacing w:after="6"/>
      </w:pPr>
      <w:r>
        <w:rPr>
          <w:rFonts w:ascii="Arial" w:cs="Arial" w:eastAsia="Arial" w:hAnsi="Arial"/>
          <w:i/>
          <w:iCs/>
          <w:color w:val="7030A0"/>
          <w:sz w:val="17"/>
          <w:szCs w:val="17"/>
        </w:rPr>
        <w:t xml:space="preserve">Legal force: Regulation  ·  Consequence: SEC enforcement; disclosure/securities liability  ·  Cadence: Periodic / ongoing  ·  Cluster: Director independence (cross-cutting)  ·  Redundancy: Candidate redundancy  ·  Confidence: High</w:t>
      </w:r>
    </w:p>
    <w:p>
      <w:pPr>
        <w:spacing w:after="104"/>
      </w:pPr>
      <w:r>
        <w:rPr>
          <w:rFonts w:ascii="Arial" w:cs="Arial" w:eastAsia="Arial" w:hAnsi="Arial"/>
          <w:i/>
          <w:iCs/>
          <w:color w:val="595959"/>
          <w:sz w:val="17"/>
          <w:szCs w:val="17"/>
        </w:rPr>
        <w:t xml:space="preserve">Overlap: Disclosure layer over the substantive independence rules.  Reform: Retain; disclosure-only.</w:t>
      </w:r>
    </w:p>
    <w:p>
      <w:pPr>
        <w:keepNext/>
        <w:spacing w:after="16" w:before="104"/>
      </w:pPr>
      <w:r>
        <w:rPr>
          <w:rFonts w:ascii="Arial" w:cs="Arial" w:eastAsia="Arial" w:hAnsi="Arial"/>
          <w:b/>
          <w:bCs/>
          <w:color w:val="1F3864"/>
          <w:sz w:val="21"/>
          <w:szCs w:val="21"/>
        </w:rPr>
        <w:t xml:space="preserve">IND-09  —  Full board / audit committee  ·  Issuer</w:t>
      </w:r>
      <w:r>
        <w:rPr>
          <w:sz w:val="2"/>
          <w:szCs w:val="2"/>
        </w:rPr>
        <w:t xml:space="preserve"/>
      </w:r>
    </w:p>
    <w:p>
      <w:pPr>
        <w:spacing w:after="24"/>
      </w:pPr>
      <w:r>
        <w:rPr>
          <w:rFonts w:ascii="Arial" w:cs="Arial" w:eastAsia="Arial" w:hAnsi="Arial"/>
          <w:sz w:val="21"/>
          <w:szCs w:val="21"/>
        </w:rPr>
        <w:t xml:space="preserve">Board must review and approve (and disclose) related-party transactions.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SEC Regulation S-K Item 404, 17 CFR 229.404.</w:t>
      </w:r>
      <w:r>
        <w:rPr>
          <w:rFonts w:ascii="Arial" w:cs="Arial" w:eastAsia="Arial" w:hAnsi="Arial"/>
          <w:i/>
          <w:iCs/>
          <w:color w:val="3B6FB0"/>
          <w:sz w:val="15"/>
          <w:szCs w:val="15"/>
        </w:rPr>
        <w:t xml:space="preserve"> [https://www.ecfr.gov/current/title-17/chapter-II/part-229/section-229.404]</w:t>
      </w:r>
    </w:p>
    <w:p>
      <w:pPr>
        <w:spacing w:after="6"/>
      </w:pPr>
      <w:r>
        <w:rPr>
          <w:rFonts w:ascii="Arial" w:cs="Arial" w:eastAsia="Arial" w:hAnsi="Arial"/>
          <w:i/>
          <w:iCs/>
          <w:color w:val="7030A0"/>
          <w:sz w:val="17"/>
          <w:szCs w:val="17"/>
        </w:rPr>
        <w:t xml:space="preserve">Legal force: Regulation  ·  Consequence: SEC enforcement; disclosure/securities liability  ·  Cadence: Periodic / ongoing  ·  Cluster: Insider / affiliate / related-party  ·  Redundancy: Limited overlap  ·  Confidence: High</w:t>
      </w:r>
    </w:p>
    <w:p>
      <w:pPr>
        <w:spacing w:after="104"/>
      </w:pPr>
      <w:r>
        <w:rPr>
          <w:rFonts w:ascii="Arial" w:cs="Arial" w:eastAsia="Arial" w:hAnsi="Arial"/>
          <w:i/>
          <w:iCs/>
          <w:color w:val="595959"/>
          <w:sz w:val="17"/>
          <w:szCs w:val="17"/>
        </w:rPr>
        <w:t xml:space="preserve">Overlap: Overlaps Reg O insider-lending and Reg W affiliate-transaction controls.  Reform: Coordinate related-party review with Reg O/W board processes.</w:t>
      </w:r>
    </w:p>
    <w:p>
      <w:pPr>
        <w:pStyle w:val="Heading2"/>
      </w:pPr>
      <w:r>
        <w:t xml:space="preserve">8. Audit committee &amp; internal control over financial reporting</w:t>
      </w:r>
    </w:p>
    <w:p>
      <w:pPr>
        <w:keepNext/>
        <w:spacing w:after="16" w:before="104"/>
      </w:pPr>
      <w:r>
        <w:rPr>
          <w:rFonts w:ascii="Arial" w:cs="Arial" w:eastAsia="Arial" w:hAnsi="Arial"/>
          <w:b/>
          <w:bCs/>
          <w:color w:val="1F3864"/>
          <w:sz w:val="21"/>
          <w:szCs w:val="21"/>
        </w:rPr>
        <w:t xml:space="preserve">AUD-01  —  Audit committee  ·  IDI</w:t>
      </w:r>
      <w:r>
        <w:rPr>
          <w:sz w:val="2"/>
          <w:szCs w:val="2"/>
        </w:rPr>
        <w:t xml:space="preserve"/>
      </w:r>
    </w:p>
    <w:p>
      <w:pPr>
        <w:spacing w:after="24"/>
      </w:pPr>
      <w:r>
        <w:rPr>
          <w:rFonts w:ascii="Arial" w:cs="Arial" w:eastAsia="Arial" w:hAnsi="Arial"/>
          <w:sz w:val="21"/>
          <w:szCs w:val="21"/>
        </w:rPr>
        <w:t xml:space="preserve">Insured institution must establish an audit committee composed entirely of outside directors.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FDICIA section 36; FDIC Part 363, 12 U.S.C. 1831m; 12 CFR 363.5.</w:t>
      </w:r>
      <w:r>
        <w:rPr>
          <w:rFonts w:ascii="Arial" w:cs="Arial" w:eastAsia="Arial" w:hAnsi="Arial"/>
          <w:i/>
          <w:iCs/>
          <w:color w:val="3B6FB0"/>
          <w:sz w:val="15"/>
          <w:szCs w:val="15"/>
        </w:rPr>
        <w:t xml:space="preserve"> [https://www.ecfr.gov/current/title-12/chapter-III/part-363]</w:t>
      </w:r>
    </w:p>
    <w:p>
      <w:pPr>
        <w:spacing w:after="6"/>
      </w:pPr>
      <w:r>
        <w:rPr>
          <w:rFonts w:ascii="Arial" w:cs="Arial" w:eastAsia="Arial" w:hAnsi="Arial"/>
          <w:i/>
          <w:iCs/>
          <w:color w:val="7030A0"/>
          <w:sz w:val="17"/>
          <w:szCs w:val="17"/>
        </w:rPr>
        <w:t xml:space="preserve">Legal force: Regulation  ·  Consequence: Enforcement (cease-and-desist, CMP); rating downgrade  ·  Cadence: Periodic / ongoing  ·  Cluster: Audit committee &amp; independence  ·  Redundancy: Candidate redundancy  ·  Confidence: High</w:t>
      </w:r>
    </w:p>
    <w:p>
      <w:pPr>
        <w:spacing w:after="104"/>
      </w:pPr>
      <w:r>
        <w:rPr>
          <w:rFonts w:ascii="Arial" w:cs="Arial" w:eastAsia="Arial" w:hAnsi="Arial"/>
          <w:i/>
          <w:iCs/>
          <w:color w:val="595959"/>
          <w:sz w:val="17"/>
          <w:szCs w:val="17"/>
        </w:rPr>
        <w:t xml:space="preserve">Overlap: Parallel to SOX 301 audit-committee independence at the issuer level.  Reform: Permit one audit committee to satisfy both regimes with reconciled independence.</w:t>
      </w:r>
    </w:p>
    <w:p>
      <w:pPr>
        <w:keepNext/>
        <w:spacing w:after="16" w:before="104"/>
      </w:pPr>
      <w:r>
        <w:rPr>
          <w:rFonts w:ascii="Arial" w:cs="Arial" w:eastAsia="Arial" w:hAnsi="Arial"/>
          <w:b/>
          <w:bCs/>
          <w:color w:val="1F3864"/>
          <w:sz w:val="21"/>
          <w:szCs w:val="21"/>
        </w:rPr>
        <w:t xml:space="preserve">AUD-02  —  Full board  ·  IDI</w:t>
      </w:r>
      <w:r>
        <w:rPr>
          <w:sz w:val="2"/>
          <w:szCs w:val="2"/>
        </w:rPr>
        <w:t xml:space="preserve"/>
      </w:r>
    </w:p>
    <w:p>
      <w:pPr>
        <w:spacing w:after="24"/>
      </w:pPr>
      <w:r>
        <w:rPr>
          <w:rFonts w:ascii="Arial" w:cs="Arial" w:eastAsia="Arial" w:hAnsi="Arial"/>
          <w:sz w:val="21"/>
          <w:szCs w:val="21"/>
        </w:rPr>
        <w:t xml:space="preserve">Board must annually determine whether audit-committee members are independent of management.</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FDIC Part 363, 12 CFR 363.5(a); App. A.</w:t>
      </w:r>
      <w:r>
        <w:rPr>
          <w:rFonts w:ascii="Arial" w:cs="Arial" w:eastAsia="Arial" w:hAnsi="Arial"/>
          <w:i/>
          <w:iCs/>
          <w:color w:val="3B6FB0"/>
          <w:sz w:val="15"/>
          <w:szCs w:val="15"/>
        </w:rPr>
        <w:t xml:space="preserve"> [https://www.ecfr.gov/current/title-12/chapter-I/part-30/appendix-Appendix%20A%20to%20Part%2030]</w:t>
      </w:r>
    </w:p>
    <w:p>
      <w:pPr>
        <w:spacing w:after="6"/>
      </w:pPr>
      <w:r>
        <w:rPr>
          <w:rFonts w:ascii="Arial" w:cs="Arial" w:eastAsia="Arial" w:hAnsi="Arial"/>
          <w:i/>
          <w:iCs/>
          <w:color w:val="7030A0"/>
          <w:sz w:val="17"/>
          <w:szCs w:val="17"/>
        </w:rPr>
        <w:t xml:space="preserve">Legal force: Regulation  ·  Consequence: Enforcement (cease-and-desist, CMP); rating downgrade  ·  Cadence: Annual  ·  Cluster: Audit committee &amp; independence  ·  Redundancy: Candidate redundancy  ·  Confidence: High</w:t>
      </w:r>
    </w:p>
    <w:p>
      <w:pPr>
        <w:spacing w:after="104"/>
      </w:pPr>
      <w:r>
        <w:rPr>
          <w:rFonts w:ascii="Arial" w:cs="Arial" w:eastAsia="Arial" w:hAnsi="Arial"/>
          <w:i/>
          <w:iCs/>
          <w:color w:val="595959"/>
          <w:sz w:val="17"/>
          <w:szCs w:val="17"/>
        </w:rPr>
        <w:t xml:space="preserve">Overlap: Duplicates SEC/exchange annual independence determinations.  Reform: Single annual independence determination across regimes.</w:t>
      </w:r>
    </w:p>
    <w:p>
      <w:pPr>
        <w:keepNext/>
        <w:spacing w:after="16" w:before="104"/>
      </w:pPr>
      <w:r>
        <w:rPr>
          <w:rFonts w:ascii="Arial" w:cs="Arial" w:eastAsia="Arial" w:hAnsi="Arial"/>
          <w:b/>
          <w:bCs/>
          <w:color w:val="1F3864"/>
          <w:sz w:val="21"/>
          <w:szCs w:val="21"/>
        </w:rPr>
        <w:t xml:space="preserve">AUD-03  —  Audit committee  ·  IDI</w:t>
      </w:r>
      <w:r>
        <w:rPr>
          <w:sz w:val="2"/>
          <w:szCs w:val="2"/>
        </w:rPr>
        <w:t xml:space="preserve"/>
      </w:r>
    </w:p>
    <w:p>
      <w:pPr>
        <w:spacing w:after="24"/>
      </w:pPr>
      <w:r>
        <w:rPr>
          <w:rFonts w:ascii="Arial" w:cs="Arial" w:eastAsia="Arial" w:hAnsi="Arial"/>
          <w:sz w:val="21"/>
          <w:szCs w:val="21"/>
        </w:rPr>
        <w:t xml:space="preserve">For large IDIs, the audit committee must include members with banking/financial-management expertise, have access to its own outside counsel, and exclude large customers.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FDIC Part 363, 12 CFR 363.5(b)(2); App. A Guidelines 32, 34.</w:t>
      </w:r>
      <w:r>
        <w:rPr>
          <w:rFonts w:ascii="Arial" w:cs="Arial" w:eastAsia="Arial" w:hAnsi="Arial"/>
          <w:i/>
          <w:iCs/>
          <w:color w:val="3B6FB0"/>
          <w:sz w:val="15"/>
          <w:szCs w:val="15"/>
        </w:rPr>
        <w:t xml:space="preserve"> [https://www.ecfr.gov/current/title-12/chapter-I/part-30/appendix-Appendix%20A%20to%20Part%2030]</w:t>
      </w:r>
    </w:p>
    <w:p>
      <w:pPr>
        <w:spacing w:after="6"/>
      </w:pPr>
      <w:r>
        <w:rPr>
          <w:rFonts w:ascii="Arial" w:cs="Arial" w:eastAsia="Arial" w:hAnsi="Arial"/>
          <w:i/>
          <w:iCs/>
          <w:color w:val="7030A0"/>
          <w:sz w:val="17"/>
          <w:szCs w:val="17"/>
        </w:rPr>
        <w:t xml:space="preserve">Legal force: Regulation  ·  Consequence: Enforcement (cease-and-desist, CMP); rating downgrade  ·  Cadence: Periodic / ongoing  ·  Cluster: Audit committee &amp; independence  ·  Redundancy: Candidate redundancy  ·  Confidence: High</w:t>
      </w:r>
    </w:p>
    <w:p>
      <w:pPr>
        <w:spacing w:after="104"/>
      </w:pPr>
      <w:r>
        <w:rPr>
          <w:rFonts w:ascii="Arial" w:cs="Arial" w:eastAsia="Arial" w:hAnsi="Arial"/>
          <w:i/>
          <w:iCs/>
          <w:color w:val="595959"/>
          <w:sz w:val="17"/>
          <w:szCs w:val="17"/>
        </w:rPr>
        <w:t xml:space="preserve">Overlap: Overlaps SOX financial-expert and OCC App. D audit standards.  Reform: Reconcile expertise/independence criteria.</w:t>
      </w:r>
    </w:p>
    <w:p>
      <w:pPr>
        <w:keepNext/>
        <w:spacing w:after="16" w:before="104"/>
      </w:pPr>
      <w:r>
        <w:rPr>
          <w:rFonts w:ascii="Arial" w:cs="Arial" w:eastAsia="Arial" w:hAnsi="Arial"/>
          <w:b/>
          <w:bCs/>
          <w:color w:val="1F3864"/>
          <w:sz w:val="21"/>
          <w:szCs w:val="21"/>
        </w:rPr>
        <w:t xml:space="preserve">AUD-04  —  Audit committee  ·  IDI</w:t>
      </w:r>
      <w:r>
        <w:rPr>
          <w:sz w:val="2"/>
          <w:szCs w:val="2"/>
        </w:rPr>
        <w:t xml:space="preserve"/>
      </w:r>
    </w:p>
    <w:p>
      <w:pPr>
        <w:spacing w:after="24"/>
      </w:pPr>
      <w:r>
        <w:rPr>
          <w:rFonts w:ascii="Arial" w:cs="Arial" w:eastAsia="Arial" w:hAnsi="Arial"/>
          <w:sz w:val="21"/>
          <w:szCs w:val="21"/>
        </w:rPr>
        <w:t xml:space="preserve">Audit committee oversees the independent public accountant and reviews management's ICFR assessment and compliance with designated safety-and-soundness laws.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FDIC Part 363, 12 CFR 363.2, 363.3; App. A Guideline 31.</w:t>
      </w:r>
      <w:r>
        <w:rPr>
          <w:rFonts w:ascii="Arial" w:cs="Arial" w:eastAsia="Arial" w:hAnsi="Arial"/>
          <w:i/>
          <w:iCs/>
          <w:color w:val="3B6FB0"/>
          <w:sz w:val="15"/>
          <w:szCs w:val="15"/>
        </w:rPr>
        <w:t xml:space="preserve"> [https://www.ecfr.gov/current/title-12/chapter-I/part-30/appendix-Appendix%20A%20to%20Part%2030]</w:t>
      </w:r>
    </w:p>
    <w:p>
      <w:pPr>
        <w:spacing w:after="6"/>
      </w:pPr>
      <w:r>
        <w:rPr>
          <w:rFonts w:ascii="Arial" w:cs="Arial" w:eastAsia="Arial" w:hAnsi="Arial"/>
          <w:i/>
          <w:iCs/>
          <w:color w:val="7030A0"/>
          <w:sz w:val="17"/>
          <w:szCs w:val="17"/>
        </w:rPr>
        <w:t xml:space="preserve">Legal force: Regulation  ·  Consequence: Enforcement (cease-and-desist, CMP); rating downgrade  ·  Cadence: Event-driven  ·  Cluster: Internal control over financial reporting  ·  Redundancy: Candidate redundancy  ·  Confidence: High</w:t>
      </w:r>
    </w:p>
    <w:p>
      <w:pPr>
        <w:spacing w:after="104"/>
      </w:pPr>
      <w:r>
        <w:rPr>
          <w:rFonts w:ascii="Arial" w:cs="Arial" w:eastAsia="Arial" w:hAnsi="Arial"/>
          <w:i/>
          <w:iCs/>
          <w:color w:val="595959"/>
          <w:sz w:val="17"/>
          <w:szCs w:val="17"/>
        </w:rPr>
        <w:t xml:space="preserve">Overlap: Operates on a calendar-year cycle parallel to (and unaligned with) the SOX fiscal-year ICFR cycle.  Reform: Permit SOX 404 program to satisfy FDICIA ICFR by cross-reference.</w:t>
      </w:r>
    </w:p>
    <w:p>
      <w:pPr>
        <w:keepNext/>
        <w:spacing w:after="16" w:before="104"/>
      </w:pPr>
      <w:r>
        <w:rPr>
          <w:rFonts w:ascii="Arial" w:cs="Arial" w:eastAsia="Arial" w:hAnsi="Arial"/>
          <w:b/>
          <w:bCs/>
          <w:color w:val="1F3864"/>
          <w:sz w:val="21"/>
          <w:szCs w:val="21"/>
        </w:rPr>
        <w:t xml:space="preserve">AUD-05  —  Audit committee  ·  Issuer</w:t>
      </w:r>
      <w:r>
        <w:rPr>
          <w:sz w:val="2"/>
          <w:szCs w:val="2"/>
        </w:rPr>
        <w:t xml:space="preserve"/>
      </w:r>
    </w:p>
    <w:p>
      <w:pPr>
        <w:spacing w:after="24"/>
      </w:pPr>
      <w:r>
        <w:rPr>
          <w:rFonts w:ascii="Arial" w:cs="Arial" w:eastAsia="Arial" w:hAnsi="Arial"/>
          <w:sz w:val="21"/>
          <w:szCs w:val="21"/>
        </w:rPr>
        <w:t xml:space="preserve">Management's annual assessment of internal control over financial reporting, overseen by the board through the audit committee.</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Sarbanes-Oxley section 404(a), SOX sec. 404(a); 15 U.S.C. 7262(a).</w:t>
      </w:r>
      <w:r>
        <w:rPr>
          <w:rFonts w:ascii="Arial" w:cs="Arial" w:eastAsia="Arial" w:hAnsi="Arial"/>
          <w:i/>
          <w:iCs/>
          <w:color w:val="3B6FB0"/>
          <w:sz w:val="15"/>
          <w:szCs w:val="15"/>
        </w:rPr>
        <w:t xml:space="preserve"> [https://www.govinfo.gov/content/pkg/PLAW-107publ204/pdf/PLAW-107publ204.pdf]</w:t>
      </w:r>
    </w:p>
    <w:p>
      <w:pPr>
        <w:spacing w:after="6"/>
      </w:pPr>
      <w:r>
        <w:rPr>
          <w:rFonts w:ascii="Arial" w:cs="Arial" w:eastAsia="Arial" w:hAnsi="Arial"/>
          <w:i/>
          <w:iCs/>
          <w:color w:val="7030A0"/>
          <w:sz w:val="17"/>
          <w:szCs w:val="17"/>
        </w:rPr>
        <w:t xml:space="preserve">Legal force: Statute  ·  Consequence: SEC enforcement; disclosure/securities liability  ·  Cadence: Annual  ·  Cluster: Internal control over financial reporting  ·  Redundancy: Candidate redundancy  ·  Confidence: High</w:t>
      </w:r>
    </w:p>
    <w:p>
      <w:pPr>
        <w:spacing w:after="104"/>
      </w:pPr>
      <w:r>
        <w:rPr>
          <w:rFonts w:ascii="Arial" w:cs="Arial" w:eastAsia="Arial" w:hAnsi="Arial"/>
          <w:i/>
          <w:iCs/>
          <w:color w:val="595959"/>
          <w:sz w:val="17"/>
          <w:szCs w:val="17"/>
        </w:rPr>
        <w:t xml:space="preserve">Overlap: Parallel to FDICIA Part 363 ICFR on a different cycle.  Reform: Cross-reference to eliminate duplicate assessment.</w:t>
      </w:r>
    </w:p>
    <w:p>
      <w:pPr>
        <w:keepNext/>
        <w:spacing w:after="16" w:before="104"/>
      </w:pPr>
      <w:r>
        <w:rPr>
          <w:rFonts w:ascii="Arial" w:cs="Arial" w:eastAsia="Arial" w:hAnsi="Arial"/>
          <w:b/>
          <w:bCs/>
          <w:color w:val="1F3864"/>
          <w:sz w:val="21"/>
          <w:szCs w:val="21"/>
        </w:rPr>
        <w:t xml:space="preserve">AUD-06  —  Audit committee  ·  Issuer</w:t>
      </w:r>
      <w:r>
        <w:rPr>
          <w:sz w:val="2"/>
          <w:szCs w:val="2"/>
        </w:rPr>
        <w:t xml:space="preserve"/>
      </w:r>
    </w:p>
    <w:p>
      <w:pPr>
        <w:spacing w:after="24"/>
      </w:pPr>
      <w:r>
        <w:rPr>
          <w:rFonts w:ascii="Arial" w:cs="Arial" w:eastAsia="Arial" w:hAnsi="Arial"/>
          <w:sz w:val="21"/>
          <w:szCs w:val="21"/>
        </w:rPr>
        <w:t xml:space="preserve">External auditor attestation on management's ICFR assessment.</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Sarbanes-Oxley section 404(b), SOX sec. 404(b); 15 U.S.C. 7262(b).</w:t>
      </w:r>
      <w:r>
        <w:rPr>
          <w:rFonts w:ascii="Arial" w:cs="Arial" w:eastAsia="Arial" w:hAnsi="Arial"/>
          <w:i/>
          <w:iCs/>
          <w:color w:val="3B6FB0"/>
          <w:sz w:val="15"/>
          <w:szCs w:val="15"/>
        </w:rPr>
        <w:t xml:space="preserve"> [https://www.govinfo.gov/content/pkg/PLAW-107publ204/pdf/PLAW-107publ204.pdf]</w:t>
      </w:r>
    </w:p>
    <w:p>
      <w:pPr>
        <w:spacing w:after="6"/>
      </w:pPr>
      <w:r>
        <w:rPr>
          <w:rFonts w:ascii="Arial" w:cs="Arial" w:eastAsia="Arial" w:hAnsi="Arial"/>
          <w:i/>
          <w:iCs/>
          <w:color w:val="7030A0"/>
          <w:sz w:val="17"/>
          <w:szCs w:val="17"/>
        </w:rPr>
        <w:t xml:space="preserve">Legal force: Statute  ·  Consequence: SEC enforcement; disclosure/securities liability  ·  Cadence: Periodic / ongoing  ·  Cluster: Internal control over financial reporting  ·  Redundancy: Candidate redundancy  ·  Confidence: High</w:t>
      </w:r>
    </w:p>
    <w:p>
      <w:pPr>
        <w:spacing w:after="104"/>
      </w:pPr>
      <w:r>
        <w:rPr>
          <w:rFonts w:ascii="Arial" w:cs="Arial" w:eastAsia="Arial" w:hAnsi="Arial"/>
          <w:i/>
          <w:iCs/>
          <w:color w:val="595959"/>
          <w:sz w:val="17"/>
          <w:szCs w:val="17"/>
        </w:rPr>
        <w:t xml:space="preserve">Overlap: Overlaps FDICIA external-audit requirements.  Reform: Single external-audit attestation satisfies both.</w:t>
      </w:r>
    </w:p>
    <w:p>
      <w:pPr>
        <w:keepNext/>
        <w:spacing w:after="16" w:before="104"/>
      </w:pPr>
      <w:r>
        <w:rPr>
          <w:rFonts w:ascii="Arial" w:cs="Arial" w:eastAsia="Arial" w:hAnsi="Arial"/>
          <w:b/>
          <w:bCs/>
          <w:color w:val="1F3864"/>
          <w:sz w:val="21"/>
          <w:szCs w:val="21"/>
        </w:rPr>
        <w:t xml:space="preserve">AUD-07  —  Audit committee  ·  Issuer</w:t>
      </w:r>
      <w:r>
        <w:rPr>
          <w:sz w:val="2"/>
          <w:szCs w:val="2"/>
        </w:rPr>
        <w:t xml:space="preserve"/>
      </w:r>
    </w:p>
    <w:p>
      <w:pPr>
        <w:spacing w:after="24"/>
      </w:pPr>
      <w:r>
        <w:rPr>
          <w:rFonts w:ascii="Arial" w:cs="Arial" w:eastAsia="Arial" w:hAnsi="Arial"/>
          <w:sz w:val="21"/>
          <w:szCs w:val="21"/>
        </w:rPr>
        <w:t xml:space="preserve">CEO/CFO quarterly certification of financial reports, overseen by the audit committee.</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Sarbanes-Oxley section 302, SOX sec. 302; 17 CFR 240.13a-14.</w:t>
      </w:r>
      <w:r>
        <w:rPr>
          <w:rFonts w:ascii="Arial" w:cs="Arial" w:eastAsia="Arial" w:hAnsi="Arial"/>
          <w:i/>
          <w:iCs/>
          <w:color w:val="3B6FB0"/>
          <w:sz w:val="15"/>
          <w:szCs w:val="15"/>
        </w:rPr>
        <w:t xml:space="preserve"> [https://www.govinfo.gov/content/pkg/PLAW-107publ204/pdf/PLAW-107publ204.pdf]</w:t>
      </w:r>
    </w:p>
    <w:p>
      <w:pPr>
        <w:spacing w:after="6"/>
      </w:pPr>
      <w:r>
        <w:rPr>
          <w:rFonts w:ascii="Arial" w:cs="Arial" w:eastAsia="Arial" w:hAnsi="Arial"/>
          <w:i/>
          <w:iCs/>
          <w:color w:val="7030A0"/>
          <w:sz w:val="17"/>
          <w:szCs w:val="17"/>
        </w:rPr>
        <w:t xml:space="preserve">Legal force: Regulation  ·  Consequence: SEC enforcement; disclosure/securities liability  ·  Cadence: Quarterly  ·  Cluster: Internal control over financial reporting  ·  Redundancy: Candidate redundancy  ·  Confidence: High</w:t>
      </w:r>
    </w:p>
    <w:p>
      <w:pPr>
        <w:spacing w:after="104"/>
      </w:pPr>
      <w:r>
        <w:rPr>
          <w:rFonts w:ascii="Arial" w:cs="Arial" w:eastAsia="Arial" w:hAnsi="Arial"/>
          <w:i/>
          <w:iCs/>
          <w:color w:val="595959"/>
          <w:sz w:val="17"/>
          <w:szCs w:val="17"/>
        </w:rPr>
        <w:t xml:space="preserve">Overlap: Adds to the array of periodic management certifications the board oversees.  Reform: Retain; statutory.</w:t>
      </w:r>
    </w:p>
    <w:p>
      <w:pPr>
        <w:keepNext/>
        <w:spacing w:after="16" w:before="104"/>
      </w:pPr>
      <w:r>
        <w:rPr>
          <w:rFonts w:ascii="Arial" w:cs="Arial" w:eastAsia="Arial" w:hAnsi="Arial"/>
          <w:b/>
          <w:bCs/>
          <w:color w:val="1F3864"/>
          <w:sz w:val="21"/>
          <w:szCs w:val="21"/>
        </w:rPr>
        <w:t xml:space="preserve">AUD-08  —  Audit committee  ·  IDI</w:t>
      </w:r>
      <w:r>
        <w:rPr>
          <w:sz w:val="2"/>
          <w:szCs w:val="2"/>
        </w:rPr>
        <w:t xml:space="preserve"/>
      </w:r>
    </w:p>
    <w:p>
      <w:pPr>
        <w:spacing w:after="24"/>
      </w:pPr>
      <w:r>
        <w:rPr>
          <w:rFonts w:ascii="Arial" w:cs="Arial" w:eastAsia="Arial" w:hAnsi="Arial"/>
          <w:sz w:val="21"/>
          <w:szCs w:val="21"/>
        </w:rPr>
        <w:t xml:space="preserve">Audit committee approves the chief audit executive's appointment, removal, and compensation, and the internal-audit charter and plan.</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OCC Heightened Standards, 12 CFR part 30, App. D, App. D, secs. I.E.8(b),(c).</w:t>
      </w:r>
      <w:r>
        <w:rPr>
          <w:rFonts w:ascii="Arial" w:cs="Arial" w:eastAsia="Arial" w:hAnsi="Arial"/>
          <w:i/>
          <w:iCs/>
          <w:color w:val="3B6FB0"/>
          <w:sz w:val="15"/>
          <w:szCs w:val="15"/>
        </w:rPr>
        <w:t xml:space="preserve"> [https://www.ecfr.gov/current/title-12/chapter-I/part-30/appendix-Appendix%20D%20to%20Part%2030]</w:t>
      </w:r>
    </w:p>
    <w:p>
      <w:pPr>
        <w:spacing w:after="6"/>
      </w:pPr>
      <w:r>
        <w:rPr>
          <w:rFonts w:ascii="Arial" w:cs="Arial" w:eastAsia="Arial" w:hAnsi="Arial"/>
          <w:i/>
          <w:iCs/>
          <w:color w:val="7030A0"/>
          <w:sz w:val="17"/>
          <w:szCs w:val="17"/>
        </w:rPr>
        <w:t xml:space="preserve">Legal force: Regulation  ·  Consequence: Enforcement (cease-and-desist, CMP); rating downgrade  ·  Cadence: Event-driven  ·  Cluster: Audit committee &amp; independence  ·  Redundancy: Candidate redundancy  ·  Confidence: Medium</w:t>
      </w:r>
    </w:p>
    <w:p>
      <w:pPr>
        <w:spacing w:after="104"/>
      </w:pPr>
      <w:r>
        <w:rPr>
          <w:rFonts w:ascii="Arial" w:cs="Arial" w:eastAsia="Arial" w:hAnsi="Arial"/>
          <w:i/>
          <w:iCs/>
          <w:color w:val="595959"/>
          <w:sz w:val="17"/>
          <w:szCs w:val="17"/>
        </w:rPr>
        <w:t xml:space="preserve">Overlap: Parallel to SR 13-1 (expectation) CAE/audit-committee duties.  Reform: One CAE-oversight standard across Fed guidance and OCC rule.</w:t>
      </w:r>
    </w:p>
    <w:p>
      <w:pPr>
        <w:pStyle w:val="Heading2"/>
      </w:pPr>
      <w:r>
        <w:t xml:space="preserve">9. Cybersecurity &amp; information security</w:t>
      </w:r>
    </w:p>
    <w:p>
      <w:pPr>
        <w:keepNext/>
        <w:spacing w:after="16" w:before="104"/>
      </w:pPr>
      <w:r>
        <w:rPr>
          <w:rFonts w:ascii="Arial" w:cs="Arial" w:eastAsia="Arial" w:hAnsi="Arial"/>
          <w:b/>
          <w:bCs/>
          <w:color w:val="1F3864"/>
          <w:sz w:val="21"/>
          <w:szCs w:val="21"/>
        </w:rPr>
        <w:t xml:space="preserve">CYB-01  —  Full board or committee  ·  BHC &amp; IDI</w:t>
      </w:r>
      <w:r>
        <w:rPr>
          <w:sz w:val="2"/>
          <w:szCs w:val="2"/>
        </w:rPr>
        <w:t xml:space="preserve"/>
      </w:r>
    </w:p>
    <w:p>
      <w:pPr>
        <w:spacing w:after="24"/>
      </w:pPr>
      <w:r>
        <w:rPr>
          <w:rFonts w:ascii="Arial" w:cs="Arial" w:eastAsia="Arial" w:hAnsi="Arial"/>
          <w:sz w:val="21"/>
          <w:szCs w:val="21"/>
        </w:rPr>
        <w:t xml:space="preserve">Board (or an appropriate committee) must approve the written information-security program and oversee its development, implementation, and maintenance.</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GLBA section 501(b); Interagency Information Security Standards, 12 CFR part 30 App. B; part 208 App. D-2; part 225 App. F; part 364 App. B.</w:t>
      </w:r>
      <w:r>
        <w:rPr>
          <w:rFonts w:ascii="Arial" w:cs="Arial" w:eastAsia="Arial" w:hAnsi="Arial"/>
          <w:i/>
          <w:iCs/>
          <w:color w:val="3B6FB0"/>
          <w:sz w:val="15"/>
          <w:szCs w:val="15"/>
        </w:rPr>
        <w:t xml:space="preserve"> [https://www.ecfr.gov/current/title-12/chapter-I/part-30/appendix-Appendix%20D%20to%20Part%2030]</w:t>
      </w:r>
    </w:p>
    <w:p>
      <w:pPr>
        <w:spacing w:after="6"/>
      </w:pPr>
      <w:r>
        <w:rPr>
          <w:rFonts w:ascii="Arial" w:cs="Arial" w:eastAsia="Arial" w:hAnsi="Arial"/>
          <w:i/>
          <w:iCs/>
          <w:color w:val="7030A0"/>
          <w:sz w:val="17"/>
          <w:szCs w:val="17"/>
        </w:rPr>
        <w:t xml:space="preserve">Legal force: Regulation  ·  Consequence: Enforcement (cease-and-desist, CMP); rating downgrade  ·  Cadence: Periodic / ongoing  ·  Cluster: Information security &amp; cybersecurity  ·  Redundancy: Candidate redundancy  ·  Confidence: High</w:t>
      </w:r>
    </w:p>
    <w:p>
      <w:pPr>
        <w:spacing w:after="104"/>
      </w:pPr>
      <w:r>
        <w:rPr>
          <w:rFonts w:ascii="Arial" w:cs="Arial" w:eastAsia="Arial" w:hAnsi="Arial"/>
          <w:i/>
          <w:iCs/>
          <w:color w:val="595959"/>
          <w:sz w:val="17"/>
          <w:szCs w:val="17"/>
        </w:rPr>
        <w:t xml:space="preserve">Overlap: Same program approved at both BHC and IDI levels; the single most clearly duplicative cross-level approval (codified in four parallel appendices).  Reform: One enterprise information-security program approval satisfies all four appendices.</w:t>
      </w:r>
    </w:p>
    <w:p>
      <w:pPr>
        <w:keepNext/>
        <w:spacing w:after="16" w:before="104"/>
      </w:pPr>
      <w:r>
        <w:rPr>
          <w:rFonts w:ascii="Arial" w:cs="Arial" w:eastAsia="Arial" w:hAnsi="Arial"/>
          <w:b/>
          <w:bCs/>
          <w:color w:val="1F3864"/>
          <w:sz w:val="21"/>
          <w:szCs w:val="21"/>
        </w:rPr>
        <w:t xml:space="preserve">CYB-02  —  Full board or committee  ·  BHC &amp; IDI</w:t>
      </w:r>
      <w:r>
        <w:rPr>
          <w:sz w:val="2"/>
          <w:szCs w:val="2"/>
        </w:rPr>
        <w:t xml:space="preserve"/>
      </w:r>
    </w:p>
    <w:p>
      <w:pPr>
        <w:spacing w:after="24"/>
      </w:pPr>
      <w:r>
        <w:rPr>
          <w:rFonts w:ascii="Arial" w:cs="Arial" w:eastAsia="Arial" w:hAnsi="Arial"/>
          <w:sz w:val="21"/>
          <w:szCs w:val="21"/>
        </w:rPr>
        <w:t xml:space="preserve">Board (or committee) must receive a report on the information-security program at least annually.</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Interagency Information Security Standards, 12 CFR part 30 App. B, sec. III.F.</w:t>
      </w:r>
      <w:r>
        <w:rPr>
          <w:rFonts w:ascii="Arial" w:cs="Arial" w:eastAsia="Arial" w:hAnsi="Arial"/>
          <w:i/>
          <w:iCs/>
          <w:color w:val="3B6FB0"/>
          <w:sz w:val="15"/>
          <w:szCs w:val="15"/>
        </w:rPr>
        <w:t xml:space="preserve"> [https://www.ecfr.gov/current/title-12/chapter-I/part-30/appendix-Appendix%20B%20to%20Part%2030]</w:t>
      </w:r>
    </w:p>
    <w:p>
      <w:pPr>
        <w:spacing w:after="6"/>
      </w:pPr>
      <w:r>
        <w:rPr>
          <w:rFonts w:ascii="Arial" w:cs="Arial" w:eastAsia="Arial" w:hAnsi="Arial"/>
          <w:i/>
          <w:iCs/>
          <w:color w:val="7030A0"/>
          <w:sz w:val="17"/>
          <w:szCs w:val="17"/>
        </w:rPr>
        <w:t xml:space="preserve">Legal force: Regulation  ·  Consequence: Enforcement (cease-and-desist, CMP); rating downgrade  ·  Cadence: Annual  ·  Cluster: Information security &amp; cybersecurity  ·  Redundancy: Candidate redundancy  ·  Confidence: High</w:t>
      </w:r>
    </w:p>
    <w:p>
      <w:pPr>
        <w:spacing w:after="104"/>
      </w:pPr>
      <w:r>
        <w:rPr>
          <w:rFonts w:ascii="Arial" w:cs="Arial" w:eastAsia="Arial" w:hAnsi="Arial"/>
          <w:i/>
          <w:iCs/>
          <w:color w:val="595959"/>
          <w:sz w:val="17"/>
          <w:szCs w:val="17"/>
        </w:rPr>
        <w:t xml:space="preserve">Overlap: Annual report duplicated across appendices and overlaps FFIEC IT expectations.  Reform: Single annual information-security board report.</w:t>
      </w:r>
    </w:p>
    <w:p>
      <w:pPr>
        <w:keepNext/>
        <w:spacing w:after="16" w:before="104"/>
      </w:pPr>
      <w:r>
        <w:rPr>
          <w:rFonts w:ascii="Arial" w:cs="Arial" w:eastAsia="Arial" w:hAnsi="Arial"/>
          <w:b/>
          <w:bCs/>
          <w:color w:val="1F3864"/>
          <w:sz w:val="21"/>
          <w:szCs w:val="21"/>
        </w:rPr>
        <w:t xml:space="preserve">CYB-03  —  Full board  ·  Issuer</w:t>
      </w:r>
      <w:r>
        <w:rPr>
          <w:sz w:val="2"/>
          <w:szCs w:val="2"/>
        </w:rPr>
        <w:t xml:space="preserve"/>
      </w:r>
    </w:p>
    <w:p>
      <w:pPr>
        <w:spacing w:after="24"/>
      </w:pPr>
      <w:r>
        <w:rPr>
          <w:rFonts w:ascii="Arial" w:cs="Arial" w:eastAsia="Arial" w:hAnsi="Arial"/>
          <w:sz w:val="21"/>
          <w:szCs w:val="21"/>
        </w:rPr>
        <w:t xml:space="preserve">Board oversight of cybersecurity risk must be disclosed; material cybersecurity incidents must be disclosed on Form 8-K.</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SEC Cybersecurity Disclosure rules, 17 CFR 229.106 (Reg S-K Item 106); Form 8-K Item 1.05.</w:t>
      </w:r>
      <w:r>
        <w:rPr>
          <w:rFonts w:ascii="Arial" w:cs="Arial" w:eastAsia="Arial" w:hAnsi="Arial"/>
          <w:i/>
          <w:iCs/>
          <w:color w:val="3B6FB0"/>
          <w:sz w:val="15"/>
          <w:szCs w:val="15"/>
        </w:rPr>
        <w:t xml:space="preserve"> [https://www.ecfr.gov/current/title-17/chapter-II/part-229/section-229.106]</w:t>
      </w:r>
    </w:p>
    <w:p>
      <w:pPr>
        <w:spacing w:after="6"/>
      </w:pPr>
      <w:r>
        <w:rPr>
          <w:rFonts w:ascii="Arial" w:cs="Arial" w:eastAsia="Arial" w:hAnsi="Arial"/>
          <w:i/>
          <w:iCs/>
          <w:color w:val="7030A0"/>
          <w:sz w:val="17"/>
          <w:szCs w:val="17"/>
        </w:rPr>
        <w:t xml:space="preserve">Legal force: Regulation  ·  Consequence: SEC enforcement; disclosure/securities liability  ·  Cadence: Event-driven  ·  Cluster: Information security &amp; cybersecurity  ·  Redundancy: Candidate redundancy  ·  Confidence: High</w:t>
      </w:r>
    </w:p>
    <w:p>
      <w:pPr>
        <w:spacing w:after="104"/>
      </w:pPr>
      <w:r>
        <w:rPr>
          <w:rFonts w:ascii="Arial" w:cs="Arial" w:eastAsia="Arial" w:hAnsi="Arial"/>
          <w:i/>
          <w:iCs/>
          <w:color w:val="595959"/>
          <w:sz w:val="17"/>
          <w:szCs w:val="17"/>
        </w:rPr>
        <w:t xml:space="preserve">Overlap: Overlaps FFIEC IT and information-security expectations and the incident-notification rule.  Reform: Joint SEC/banking-agency statement that one cyber-oversight framework satisfies disclosure and safety-and-soundness.</w:t>
      </w:r>
    </w:p>
    <w:p>
      <w:pPr>
        <w:keepNext/>
        <w:spacing w:after="16" w:before="104"/>
      </w:pPr>
      <w:r>
        <w:rPr>
          <w:rFonts w:ascii="Arial" w:cs="Arial" w:eastAsia="Arial" w:hAnsi="Arial"/>
          <w:b/>
          <w:bCs/>
          <w:color w:val="1F3864"/>
          <w:sz w:val="21"/>
          <w:szCs w:val="21"/>
        </w:rPr>
        <w:t xml:space="preserve">CYB-04  —  Entity-level (board-overseen escalation)  ·  BHC &amp; IDI</w:t>
      </w:r>
      <w:r>
        <w:rPr>
          <w:sz w:val="2"/>
          <w:szCs w:val="2"/>
        </w:rPr>
        <w:t xml:space="preserve"/>
      </w:r>
    </w:p>
    <w:p>
      <w:pPr>
        <w:spacing w:after="24"/>
      </w:pPr>
      <w:r>
        <w:rPr>
          <w:rFonts w:ascii="Arial" w:cs="Arial" w:eastAsia="Arial" w:hAnsi="Arial"/>
          <w:sz w:val="21"/>
          <w:szCs w:val="21"/>
        </w:rPr>
        <w:t xml:space="preserve">Entity must notify its primary federal regulator within 36 hours of a 'notification incident'; the determination relies on board-overseen incident-response governance.</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Computer-Security Incident Notification Rule, 12 CFR part 53 (OCC); part 225 subpart N (FRB); part 304 subpart C (FDIC).</w:t>
      </w:r>
      <w:r>
        <w:rPr>
          <w:rFonts w:ascii="Arial" w:cs="Arial" w:eastAsia="Arial" w:hAnsi="Arial"/>
          <w:i/>
          <w:iCs/>
          <w:color w:val="BF8F00"/>
          <w:sz w:val="15"/>
          <w:szCs w:val="15"/>
        </w:rPr>
        <w:t xml:space="preserve">  [URL not captured]</w:t>
      </w:r>
    </w:p>
    <w:p>
      <w:pPr>
        <w:spacing w:after="6"/>
      </w:pPr>
      <w:r>
        <w:rPr>
          <w:rFonts w:ascii="Arial" w:cs="Arial" w:eastAsia="Arial" w:hAnsi="Arial"/>
          <w:i/>
          <w:iCs/>
          <w:color w:val="7030A0"/>
          <w:sz w:val="17"/>
          <w:szCs w:val="17"/>
        </w:rPr>
        <w:t xml:space="preserve">Legal force: Regulation  ·  Consequence: Enforcement (cease-and-desist, CMP); rating downgrade  ·  Cadence: Event-driven  ·  Cluster: Information security &amp; cybersecurity  ·  Redundancy: Candidate redundancy  ·  Confidence: High</w:t>
      </w:r>
    </w:p>
    <w:p>
      <w:pPr>
        <w:spacing w:after="104"/>
      </w:pPr>
      <w:r>
        <w:rPr>
          <w:rFonts w:ascii="Arial" w:cs="Arial" w:eastAsia="Arial" w:hAnsi="Arial"/>
          <w:i/>
          <w:iCs/>
          <w:color w:val="595959"/>
          <w:sz w:val="17"/>
          <w:szCs w:val="17"/>
        </w:rPr>
        <w:t xml:space="preserve">Overlap: Interacts with SEC incident disclosure and info-security program.  Reform: Align incident-notification triggers/timing with SEC disclosure.</w:t>
      </w:r>
    </w:p>
    <w:p>
      <w:pPr>
        <w:pStyle w:val="Heading2"/>
      </w:pPr>
      <w:r>
        <w:t xml:space="preserve">10. BSA/AML program</w:t>
      </w:r>
    </w:p>
    <w:p>
      <w:pPr>
        <w:keepNext/>
        <w:spacing w:after="16" w:before="104"/>
      </w:pPr>
      <w:r>
        <w:rPr>
          <w:rFonts w:ascii="Arial" w:cs="Arial" w:eastAsia="Arial" w:hAnsi="Arial"/>
          <w:b/>
          <w:bCs/>
          <w:color w:val="1F3864"/>
          <w:sz w:val="21"/>
          <w:szCs w:val="21"/>
        </w:rPr>
        <w:t xml:space="preserve">BSA-01  —  Full board  ·  IDI (and BHC where applicable)</w:t>
      </w:r>
      <w:r>
        <w:rPr>
          <w:sz w:val="2"/>
          <w:szCs w:val="2"/>
        </w:rPr>
        <w:t xml:space="preserve"/>
      </w:r>
    </w:p>
    <w:p>
      <w:pPr>
        <w:spacing w:after="24"/>
      </w:pPr>
      <w:r>
        <w:rPr>
          <w:rFonts w:ascii="Arial" w:cs="Arial" w:eastAsia="Arial" w:hAnsi="Arial"/>
          <w:sz w:val="21"/>
          <w:szCs w:val="21"/>
        </w:rPr>
        <w:t xml:space="preserve">Board must approve a written BSA/AML compliance program, with approval noted in the minutes.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Bank Secrecy Act program rules, 31 CFR 1010.210 / 1020.210; 12 CFR 21.21, 208.63, 326.8.</w:t>
      </w:r>
      <w:r>
        <w:rPr>
          <w:rFonts w:ascii="Arial" w:cs="Arial" w:eastAsia="Arial" w:hAnsi="Arial"/>
          <w:i/>
          <w:iCs/>
          <w:color w:val="3B6FB0"/>
          <w:sz w:val="15"/>
          <w:szCs w:val="15"/>
        </w:rPr>
        <w:t xml:space="preserve"> [https://www.ecfr.gov/current/title-31/subtitle-B/chapter-X/part-1010/subpart-B/section-1010.210]</w:t>
      </w:r>
    </w:p>
    <w:p>
      <w:pPr>
        <w:spacing w:after="6"/>
      </w:pPr>
      <w:r>
        <w:rPr>
          <w:rFonts w:ascii="Arial" w:cs="Arial" w:eastAsia="Arial" w:hAnsi="Arial"/>
          <w:i/>
          <w:iCs/>
          <w:color w:val="7030A0"/>
          <w:sz w:val="17"/>
          <w:szCs w:val="17"/>
        </w:rPr>
        <w:t xml:space="preserve">Legal force: Regulation  ·  Consequence: Enforcement (cease-and-desist, CMP); rating downgrade  ·  Cadence: Event-driven  ·  Cluster: BSA/AML program  ·  Redundancy: Candidate redundancy (intra-program)  ·  Confidence: High</w:t>
      </w:r>
    </w:p>
    <w:p>
      <w:pPr>
        <w:spacing w:after="104"/>
      </w:pPr>
      <w:r>
        <w:rPr>
          <w:rFonts w:ascii="Arial" w:cs="Arial" w:eastAsia="Arial" w:hAnsi="Arial"/>
          <w:i/>
          <w:iCs/>
          <w:color w:val="595959"/>
          <w:sz w:val="17"/>
          <w:szCs w:val="17"/>
        </w:rPr>
        <w:t xml:space="preserve">Overlap: The 'approve a program / oversee / receive reporting' template recurs across at least eight domains.  Reform: Consolidated risk-governance approval with program-specific management certifications.  Note: The clearest full-board, written, approved, minuted duty in the framework.</w:t>
      </w:r>
    </w:p>
    <w:p>
      <w:pPr>
        <w:keepNext/>
        <w:spacing w:after="16" w:before="104"/>
      </w:pPr>
      <w:r>
        <w:rPr>
          <w:rFonts w:ascii="Arial" w:cs="Arial" w:eastAsia="Arial" w:hAnsi="Arial"/>
          <w:b/>
          <w:bCs/>
          <w:color w:val="1F3864"/>
          <w:sz w:val="21"/>
          <w:szCs w:val="21"/>
        </w:rPr>
        <w:t xml:space="preserve">BSA-02  —  Full board  ·  IDI</w:t>
      </w:r>
      <w:r>
        <w:rPr>
          <w:sz w:val="2"/>
          <w:szCs w:val="2"/>
        </w:rPr>
        <w:t xml:space="preserve"/>
      </w:r>
    </w:p>
    <w:p>
      <w:pPr>
        <w:spacing w:after="24"/>
      </w:pPr>
      <w:r>
        <w:rPr>
          <w:rFonts w:ascii="Arial" w:cs="Arial" w:eastAsia="Arial" w:hAnsi="Arial"/>
          <w:sz w:val="21"/>
          <w:szCs w:val="21"/>
        </w:rPr>
        <w:t xml:space="preserve">Board must designate a qualified BSA/AML compliance officer with appropriate authority, independence, and resources.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Bank Secrecy Act program rules, 31 CFR 1010.210(a)(2); 12 CFR 21.21(c)(3).</w:t>
      </w:r>
      <w:r>
        <w:rPr>
          <w:rFonts w:ascii="Arial" w:cs="Arial" w:eastAsia="Arial" w:hAnsi="Arial"/>
          <w:i/>
          <w:iCs/>
          <w:color w:val="3B6FB0"/>
          <w:sz w:val="15"/>
          <w:szCs w:val="15"/>
        </w:rPr>
        <w:t xml:space="preserve"> [https://www.ecfr.gov/current/title-31/subtitle-B/chapter-X/part-1010/subpart-B/section-1010.210]</w:t>
      </w:r>
    </w:p>
    <w:p>
      <w:pPr>
        <w:spacing w:after="6"/>
      </w:pPr>
      <w:r>
        <w:rPr>
          <w:rFonts w:ascii="Arial" w:cs="Arial" w:eastAsia="Arial" w:hAnsi="Arial"/>
          <w:i/>
          <w:iCs/>
          <w:color w:val="7030A0"/>
          <w:sz w:val="17"/>
          <w:szCs w:val="17"/>
        </w:rPr>
        <w:t xml:space="preserve">Legal force: Regulation  ·  Consequence: Enforcement (cease-and-desist, CMP); rating downgrade  ·  Cadence: Event-driven  ·  Cluster: BSA/AML program  ·  Redundancy: Candidate redundancy (intra-program)  ·  Confidence: High</w:t>
      </w:r>
    </w:p>
    <w:p>
      <w:pPr>
        <w:spacing w:after="104"/>
      </w:pPr>
      <w:r>
        <w:rPr>
          <w:rFonts w:ascii="Arial" w:cs="Arial" w:eastAsia="Arial" w:hAnsi="Arial"/>
          <w:i/>
          <w:iCs/>
          <w:color w:val="595959"/>
          <w:sz w:val="17"/>
          <w:szCs w:val="17"/>
        </w:rPr>
        <w:t xml:space="preserve">Overlap: Overlaps OCC App. D officer-appointment standards.  Reform: Single officer-designation record.</w:t>
      </w:r>
    </w:p>
    <w:p>
      <w:pPr>
        <w:keepNext/>
        <w:spacing w:after="16" w:before="104"/>
      </w:pPr>
      <w:r>
        <w:rPr>
          <w:rFonts w:ascii="Arial" w:cs="Arial" w:eastAsia="Arial" w:hAnsi="Arial"/>
          <w:b/>
          <w:bCs/>
          <w:color w:val="1F3864"/>
          <w:sz w:val="21"/>
          <w:szCs w:val="21"/>
        </w:rPr>
        <w:t xml:space="preserve">BSA-03  —  Full board or designated committee  ·  IDI</w:t>
      </w:r>
      <w:r>
        <w:rPr>
          <w:sz w:val="2"/>
          <w:szCs w:val="2"/>
        </w:rPr>
        <w:t xml:space="preserve"/>
      </w:r>
    </w:p>
    <w:p>
      <w:pPr>
        <w:spacing w:after="24"/>
      </w:pPr>
      <w:r>
        <w:rPr>
          <w:rFonts w:ascii="Arial" w:cs="Arial" w:eastAsia="Arial" w:hAnsi="Arial"/>
          <w:sz w:val="21"/>
          <w:szCs w:val="21"/>
        </w:rPr>
        <w:t xml:space="preserve">Board must receive and review BSA/AML reporting, including SAR-filing notification, CTR, and risk-assessment information.</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Bank Secrecy Act program rules; FFIEC manual, 31 CFR 1010.210.</w:t>
      </w:r>
      <w:r>
        <w:rPr>
          <w:rFonts w:ascii="Arial" w:cs="Arial" w:eastAsia="Arial" w:hAnsi="Arial"/>
          <w:i/>
          <w:iCs/>
          <w:color w:val="3B6FB0"/>
          <w:sz w:val="15"/>
          <w:szCs w:val="15"/>
        </w:rPr>
        <w:t xml:space="preserve"> [https://www.ecfr.gov/current/title-31/subtitle-B/chapter-X/part-1010/subpart-B/section-1010.210]</w:t>
      </w:r>
    </w:p>
    <w:p>
      <w:pPr>
        <w:spacing w:after="6"/>
      </w:pPr>
      <w:r>
        <w:rPr>
          <w:rFonts w:ascii="Arial" w:cs="Arial" w:eastAsia="Arial" w:hAnsi="Arial"/>
          <w:i/>
          <w:iCs/>
          <w:color w:val="7030A0"/>
          <w:sz w:val="17"/>
          <w:szCs w:val="17"/>
        </w:rPr>
        <w:t xml:space="preserve">Legal force: Regulation  ·  Consequence: Enforcement (cease-and-desist, CMP); rating downgrade  ·  Cadence: Periodic / ongoing  ·  Cluster: BSA/AML program  ·  Redundancy: Candidate redundancy (intra-program)  ·  Confidence: High</w:t>
      </w:r>
    </w:p>
    <w:p>
      <w:pPr>
        <w:spacing w:after="104"/>
      </w:pPr>
      <w:r>
        <w:rPr>
          <w:rFonts w:ascii="Arial" w:cs="Arial" w:eastAsia="Arial" w:hAnsi="Arial"/>
          <w:i/>
          <w:iCs/>
          <w:color w:val="595959"/>
          <w:sz w:val="17"/>
          <w:szCs w:val="17"/>
        </w:rPr>
        <w:t xml:space="preserve">Overlap: Reporting overlaps enterprise compliance and financial-crimes governance.  Reform: Coordinated compliance reporting calendar.</w:t>
      </w:r>
    </w:p>
    <w:p>
      <w:pPr>
        <w:keepNext/>
        <w:spacing w:after="16" w:before="104"/>
      </w:pPr>
      <w:r>
        <w:rPr>
          <w:rFonts w:ascii="Arial" w:cs="Arial" w:eastAsia="Arial" w:hAnsi="Arial"/>
          <w:b/>
          <w:bCs/>
          <w:color w:val="1F3864"/>
          <w:sz w:val="21"/>
          <w:szCs w:val="21"/>
        </w:rPr>
        <w:t xml:space="preserve">BSA-04  —  Full board  ·  IDI</w:t>
      </w:r>
      <w:r>
        <w:rPr>
          <w:sz w:val="2"/>
          <w:szCs w:val="2"/>
        </w:rPr>
        <w:t xml:space="preserve"/>
      </w:r>
    </w:p>
    <w:p>
      <w:pPr>
        <w:spacing w:after="24"/>
      </w:pPr>
      <w:r>
        <w:rPr>
          <w:rFonts w:ascii="Arial" w:cs="Arial" w:eastAsia="Arial" w:hAnsi="Arial"/>
          <w:sz w:val="21"/>
          <w:szCs w:val="21"/>
        </w:rPr>
        <w:t xml:space="preserve">Board must ensure independent testing of the BSA/AML program.</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Bank Secrecy Act program rules, 31 CFR 1010.210(a)(5).</w:t>
      </w:r>
      <w:r>
        <w:rPr>
          <w:rFonts w:ascii="Arial" w:cs="Arial" w:eastAsia="Arial" w:hAnsi="Arial"/>
          <w:i/>
          <w:iCs/>
          <w:color w:val="3B6FB0"/>
          <w:sz w:val="15"/>
          <w:szCs w:val="15"/>
        </w:rPr>
        <w:t xml:space="preserve"> [https://www.ecfr.gov/current/title-31/subtitle-B/chapter-X/part-1010/subpart-B/section-1010.210]</w:t>
      </w:r>
    </w:p>
    <w:p>
      <w:pPr>
        <w:spacing w:after="6"/>
      </w:pPr>
      <w:r>
        <w:rPr>
          <w:rFonts w:ascii="Arial" w:cs="Arial" w:eastAsia="Arial" w:hAnsi="Arial"/>
          <w:i/>
          <w:iCs/>
          <w:color w:val="7030A0"/>
          <w:sz w:val="17"/>
          <w:szCs w:val="17"/>
        </w:rPr>
        <w:t xml:space="preserve">Legal force: Regulation  ·  Consequence: Enforcement (cease-and-desist, CMP); rating downgrade  ·  Cadence: Periodic / ongoing  ·  Cluster: BSA/AML program  ·  Redundancy: Candidate redundancy (intra-program)  ·  Confidence: High</w:t>
      </w:r>
    </w:p>
    <w:p>
      <w:pPr>
        <w:spacing w:after="104"/>
      </w:pPr>
      <w:r>
        <w:rPr>
          <w:rFonts w:ascii="Arial" w:cs="Arial" w:eastAsia="Arial" w:hAnsi="Arial"/>
          <w:i/>
          <w:iCs/>
          <w:color w:val="595959"/>
          <w:sz w:val="17"/>
          <w:szCs w:val="17"/>
        </w:rPr>
        <w:t xml:space="preserve">Overlap: Overlaps internal-audit oversight.  Reform: Coordinate independent testing with internal audit.</w:t>
      </w:r>
    </w:p>
    <w:p>
      <w:pPr>
        <w:keepNext/>
        <w:spacing w:after="16" w:before="104"/>
      </w:pPr>
      <w:r>
        <w:rPr>
          <w:rFonts w:ascii="Arial" w:cs="Arial" w:eastAsia="Arial" w:hAnsi="Arial"/>
          <w:b/>
          <w:bCs/>
          <w:color w:val="1F3864"/>
          <w:sz w:val="21"/>
          <w:szCs w:val="21"/>
        </w:rPr>
        <w:t xml:space="preserve">BSA-05  —  Full board  ·  IDI</w:t>
      </w:r>
      <w:r>
        <w:rPr>
          <w:sz w:val="2"/>
          <w:szCs w:val="2"/>
        </w:rPr>
        <w:t xml:space="preserve"/>
      </w:r>
    </w:p>
    <w:p>
      <w:pPr>
        <w:spacing w:after="24"/>
      </w:pPr>
      <w:r>
        <w:rPr>
          <w:rFonts w:ascii="Arial" w:cs="Arial" w:eastAsia="Arial" w:hAnsi="Arial"/>
          <w:sz w:val="21"/>
          <w:szCs w:val="21"/>
        </w:rPr>
        <w:t xml:space="preserve">Board must ensure BSA/AML training, including for directors, tailored to the risk profile.</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Bank Secrecy Act program rules, 31 CFR 1010.210(a)(4).</w:t>
      </w:r>
      <w:r>
        <w:rPr>
          <w:rFonts w:ascii="Arial" w:cs="Arial" w:eastAsia="Arial" w:hAnsi="Arial"/>
          <w:i/>
          <w:iCs/>
          <w:color w:val="3B6FB0"/>
          <w:sz w:val="15"/>
          <w:szCs w:val="15"/>
        </w:rPr>
        <w:t xml:space="preserve"> [https://www.ecfr.gov/current/title-31/subtitle-B/chapter-X/part-1010/subpart-B/section-1010.210]</w:t>
      </w:r>
    </w:p>
    <w:p>
      <w:pPr>
        <w:spacing w:after="6"/>
      </w:pPr>
      <w:r>
        <w:rPr>
          <w:rFonts w:ascii="Arial" w:cs="Arial" w:eastAsia="Arial" w:hAnsi="Arial"/>
          <w:i/>
          <w:iCs/>
          <w:color w:val="7030A0"/>
          <w:sz w:val="17"/>
          <w:szCs w:val="17"/>
        </w:rPr>
        <w:t xml:space="preserve">Legal force: Regulation  ·  Consequence: Enforcement (cease-and-desist, CMP); rating downgrade  ·  Cadence: Periodic / ongoing  ·  Cluster: BSA/AML program  ·  Redundancy: Candidate redundancy (intra-program)  ·  Confidence: High</w:t>
      </w:r>
    </w:p>
    <w:p>
      <w:pPr>
        <w:spacing w:after="104"/>
      </w:pPr>
      <w:r>
        <w:rPr>
          <w:rFonts w:ascii="Arial" w:cs="Arial" w:eastAsia="Arial" w:hAnsi="Arial"/>
          <w:i/>
          <w:iCs/>
          <w:color w:val="595959"/>
          <w:sz w:val="17"/>
          <w:szCs w:val="17"/>
        </w:rPr>
        <w:t xml:space="preserve">Overlap: Overlaps OCC director-training requirement.  Reform: Fold into consolidated director-training program.</w:t>
      </w:r>
    </w:p>
    <w:p>
      <w:pPr>
        <w:pStyle w:val="Heading2"/>
      </w:pPr>
      <w:r>
        <w:t xml:space="preserve">11. Insider lending &amp; affiliate transactions (Reg O / Reg W)</w:t>
      </w:r>
    </w:p>
    <w:p>
      <w:pPr>
        <w:keepNext/>
        <w:spacing w:after="16" w:before="104"/>
      </w:pPr>
      <w:r>
        <w:rPr>
          <w:rFonts w:ascii="Arial" w:cs="Arial" w:eastAsia="Arial" w:hAnsi="Arial"/>
          <w:b/>
          <w:bCs/>
          <w:color w:val="1F3864"/>
          <w:sz w:val="21"/>
          <w:szCs w:val="21"/>
        </w:rPr>
        <w:t xml:space="preserve">AFF-01  —  Full board  ·  IDI</w:t>
      </w:r>
      <w:r>
        <w:rPr>
          <w:sz w:val="2"/>
          <w:szCs w:val="2"/>
        </w:rPr>
        <w:t xml:space="preserve"/>
      </w:r>
    </w:p>
    <w:p>
      <w:pPr>
        <w:spacing w:after="24"/>
      </w:pPr>
      <w:r>
        <w:rPr>
          <w:rFonts w:ascii="Arial" w:cs="Arial" w:eastAsia="Arial" w:hAnsi="Arial"/>
          <w:sz w:val="21"/>
          <w:szCs w:val="21"/>
        </w:rPr>
        <w:t xml:space="preserve">Board must ensure insider extensions of credit are made on substantially the same terms as comparable transactions, observe prior-approval thresholds, and stay within aggregate insider-lending limits.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Regulation O, 12 CFR part 215 (215.4); 12 U.S.C. 375b.</w:t>
      </w:r>
      <w:r>
        <w:rPr>
          <w:rFonts w:ascii="Arial" w:cs="Arial" w:eastAsia="Arial" w:hAnsi="Arial"/>
          <w:i/>
          <w:iCs/>
          <w:color w:val="3B6FB0"/>
          <w:sz w:val="15"/>
          <w:szCs w:val="15"/>
        </w:rPr>
        <w:t xml:space="preserve"> [https://www.ecfr.gov/current/title-12/chapter-II/part-215]</w:t>
      </w:r>
    </w:p>
    <w:p>
      <w:pPr>
        <w:spacing w:after="6"/>
      </w:pPr>
      <w:r>
        <w:rPr>
          <w:rFonts w:ascii="Arial" w:cs="Arial" w:eastAsia="Arial" w:hAnsi="Arial"/>
          <w:i/>
          <w:iCs/>
          <w:color w:val="7030A0"/>
          <w:sz w:val="17"/>
          <w:szCs w:val="17"/>
        </w:rPr>
        <w:t xml:space="preserve">Legal force: Regulation  ·  Consequence: Enforcement (cease-and-desist, CMP); rating downgrade  ·  Cadence: Periodic / ongoing  ·  Cluster: Insider / affiliate / related-party  ·  Redundancy: Limited overlap  ·  Confidence: High</w:t>
      </w:r>
    </w:p>
    <w:p>
      <w:pPr>
        <w:spacing w:after="104"/>
      </w:pPr>
      <w:r>
        <w:rPr>
          <w:rFonts w:ascii="Arial" w:cs="Arial" w:eastAsia="Arial" w:hAnsi="Arial"/>
          <w:i/>
          <w:iCs/>
          <w:color w:val="595959"/>
          <w:sz w:val="17"/>
          <w:szCs w:val="17"/>
        </w:rPr>
        <w:t xml:space="preserve">Overlap: Overlaps SEC related-party-transaction review.  Reform: Coordinate Reg O approvals with related-party-transaction process.</w:t>
      </w:r>
    </w:p>
    <w:p>
      <w:pPr>
        <w:keepNext/>
        <w:spacing w:after="16" w:before="104"/>
      </w:pPr>
      <w:r>
        <w:rPr>
          <w:rFonts w:ascii="Arial" w:cs="Arial" w:eastAsia="Arial" w:hAnsi="Arial"/>
          <w:b/>
          <w:bCs/>
          <w:color w:val="1F3864"/>
          <w:sz w:val="21"/>
          <w:szCs w:val="21"/>
        </w:rPr>
        <w:t xml:space="preserve">AFF-02  —  Full board  ·  IDI</w:t>
      </w:r>
      <w:r>
        <w:rPr>
          <w:sz w:val="2"/>
          <w:szCs w:val="2"/>
        </w:rPr>
        <w:t xml:space="preserve"/>
      </w:r>
    </w:p>
    <w:p>
      <w:pPr>
        <w:spacing w:after="24"/>
      </w:pPr>
      <w:r>
        <w:rPr>
          <w:rFonts w:ascii="Arial" w:cs="Arial" w:eastAsia="Arial" w:hAnsi="Arial"/>
          <w:sz w:val="21"/>
          <w:szCs w:val="21"/>
        </w:rPr>
        <w:t xml:space="preserve">Board must ensure policies and procedures for compliance with sections 23A/23B, observance of quantitative limits on covered transactions, and the prohibition on purchasing low-quality assets from affiliates.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Regulation W; sections 23A/23B, 12 CFR part 223; 12 U.S.C. 371c, 371c-1.</w:t>
      </w:r>
      <w:r>
        <w:rPr>
          <w:rFonts w:ascii="Arial" w:cs="Arial" w:eastAsia="Arial" w:hAnsi="Arial"/>
          <w:i/>
          <w:iCs/>
          <w:color w:val="3B6FB0"/>
          <w:sz w:val="15"/>
          <w:szCs w:val="15"/>
        </w:rPr>
        <w:t xml:space="preserve"> [https://www.ecfr.gov/current/title-12/chapter-II/part-223]</w:t>
      </w:r>
    </w:p>
    <w:p>
      <w:pPr>
        <w:spacing w:after="6"/>
      </w:pPr>
      <w:r>
        <w:rPr>
          <w:rFonts w:ascii="Arial" w:cs="Arial" w:eastAsia="Arial" w:hAnsi="Arial"/>
          <w:i/>
          <w:iCs/>
          <w:color w:val="7030A0"/>
          <w:sz w:val="17"/>
          <w:szCs w:val="17"/>
        </w:rPr>
        <w:t xml:space="preserve">Legal force: Regulation  ·  Consequence: Enforcement (cease-and-desist, CMP); rating downgrade  ·  Cadence: Periodic / ongoing  ·  Cluster: Insider / affiliate / related-party  ·  Redundancy: Limited overlap  ·  Confidence: High</w:t>
      </w:r>
    </w:p>
    <w:p>
      <w:pPr>
        <w:spacing w:after="104"/>
      </w:pPr>
      <w:r>
        <w:rPr>
          <w:rFonts w:ascii="Arial" w:cs="Arial" w:eastAsia="Arial" w:hAnsi="Arial"/>
          <w:i/>
          <w:iCs/>
          <w:color w:val="595959"/>
          <w:sz w:val="17"/>
          <w:szCs w:val="17"/>
        </w:rPr>
        <w:t xml:space="preserve">Overlap: Central to the holding-company/IDI conflict (the bank board must protect the bank vs. the parent).  Reform: Tie to the subsidiary-board source-of-strength / sanctity-of-charter governance.</w:t>
      </w:r>
    </w:p>
    <w:p>
      <w:pPr>
        <w:pStyle w:val="Heading2"/>
      </w:pPr>
      <w:r>
        <w:t xml:space="preserve">12. Incentive compensation</w:t>
      </w:r>
    </w:p>
    <w:p>
      <w:pPr>
        <w:keepNext/>
        <w:spacing w:after="16" w:before="104"/>
      </w:pPr>
      <w:r>
        <w:rPr>
          <w:rFonts w:ascii="Arial" w:cs="Arial" w:eastAsia="Arial" w:hAnsi="Arial"/>
          <w:b/>
          <w:bCs/>
          <w:color w:val="1F3864"/>
          <w:sz w:val="21"/>
          <w:szCs w:val="21"/>
        </w:rPr>
        <w:t xml:space="preserve">INC-01  —  n/a (unimplemented)  ·  BHC &amp; IDI</w:t>
      </w:r>
      <w:r>
        <w:rPr>
          <w:rFonts w:ascii="Arial" w:cs="Arial" w:eastAsia="Arial" w:hAnsi="Arial"/>
          <w:b/>
          <w:bCs/>
          <w:color w:val="C00000"/>
          <w:sz w:val="17"/>
          <w:szCs w:val="17"/>
        </w:rPr>
        <w:t xml:space="preserve">  [UNIMPLEMENTED (12 CFR PART 236 RESERVED)]</w:t>
      </w:r>
    </w:p>
    <w:p>
      <w:pPr>
        <w:spacing w:after="24"/>
      </w:pPr>
      <w:r>
        <w:rPr>
          <w:rFonts w:ascii="Arial" w:cs="Arial" w:eastAsia="Arial" w:hAnsi="Arial"/>
          <w:sz w:val="21"/>
          <w:szCs w:val="21"/>
        </w:rPr>
        <w:t xml:space="preserve">NOT IMPLEMENTED: section 956 directs the agencies to prohibit incentive compensation that encourages inappropriate risk and to require board-level controls (forfeiture/clawback), but no final rule exists after three proposals (2011, 2016, 2024). The only operative standard is the 2010 interagency guidance (catalogued in the supervisory-expectations inventory).</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Dodd-Frank section 956, 12 U.S.C. 5641; 12 CFR part 236 (reserved).</w:t>
      </w:r>
      <w:r>
        <w:rPr>
          <w:rFonts w:ascii="Arial" w:cs="Arial" w:eastAsia="Arial" w:hAnsi="Arial"/>
          <w:i/>
          <w:iCs/>
          <w:color w:val="3B6FB0"/>
          <w:sz w:val="15"/>
          <w:szCs w:val="15"/>
        </w:rPr>
        <w:t xml:space="preserve"> [https://www.ecfr.gov/current/title-12/chapter-II/part-236]</w:t>
      </w:r>
    </w:p>
    <w:p>
      <w:pPr>
        <w:spacing w:after="6"/>
      </w:pPr>
      <w:r>
        <w:rPr>
          <w:rFonts w:ascii="Arial" w:cs="Arial" w:eastAsia="Arial" w:hAnsi="Arial"/>
          <w:i/>
          <w:iCs/>
          <w:color w:val="7030A0"/>
          <w:sz w:val="17"/>
          <w:szCs w:val="17"/>
        </w:rPr>
        <w:t xml:space="preserve">Legal force: Unimplemented statutory mandate  ·  Consequence: None (not in force)  ·  Cadence: Periodic / ongoing  ·  Cluster: Incentive compensation  ·  Redundancy: Candidate redundancy  ·  Confidence: High (web-verified)</w:t>
      </w:r>
    </w:p>
    <w:p>
      <w:pPr>
        <w:spacing w:after="104"/>
      </w:pPr>
      <w:r>
        <w:rPr>
          <w:rFonts w:ascii="Arial" w:cs="Arial" w:eastAsia="Arial" w:hAnsi="Arial"/>
          <w:i/>
          <w:iCs/>
          <w:color w:val="595959"/>
          <w:sz w:val="17"/>
          <w:szCs w:val="17"/>
        </w:rPr>
        <w:t xml:space="preserve">Overlap: The 2010 guidance overlaps SEC comp-committee independence and OCC App. D comp standards.  Reform: Either finalize a single section 956 framework that supersedes overlapping guidance, or leave to the existing guidance — but do not treat the proposal as latent law.</w:t>
      </w:r>
    </w:p>
    <w:p>
      <w:pPr>
        <w:pStyle w:val="Heading2"/>
      </w:pPr>
      <w:r>
        <w:t xml:space="preserve">13. Cross-cutting safety &amp; soundness / source of strength</w:t>
      </w:r>
    </w:p>
    <w:p>
      <w:pPr>
        <w:keepNext/>
        <w:spacing w:after="16" w:before="104"/>
      </w:pPr>
      <w:r>
        <w:rPr>
          <w:rFonts w:ascii="Arial" w:cs="Arial" w:eastAsia="Arial" w:hAnsi="Arial"/>
          <w:b/>
          <w:bCs/>
          <w:color w:val="1F3864"/>
          <w:sz w:val="21"/>
          <w:szCs w:val="21"/>
        </w:rPr>
        <w:t xml:space="preserve">SS-01  —  Full board; audit committee  ·  IDI</w:t>
      </w:r>
      <w:r>
        <w:rPr>
          <w:sz w:val="2"/>
          <w:szCs w:val="2"/>
        </w:rPr>
        <w:t xml:space="preserve"/>
      </w:r>
    </w:p>
    <w:p>
      <w:pPr>
        <w:spacing w:after="24"/>
      </w:pPr>
      <w:r>
        <w:rPr>
          <w:rFonts w:ascii="Arial" w:cs="Arial" w:eastAsia="Arial" w:hAnsi="Arial"/>
          <w:sz w:val="21"/>
          <w:szCs w:val="21"/>
        </w:rPr>
        <w:t xml:space="preserve">Board-relevant operational and managerial standards: internal controls and information systems, internal audit, loan documentation, credit underwriting, interest-rate-risk and asset-quality reporting to the board, and compensation that is not excessive.</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Interagency Guidelines Establishing Standards for Safety and Soundness, 12 CFR part 30 App. A (OCC) / part 364 App. A (FDIC); FDI Act sec. 39.</w:t>
      </w:r>
      <w:r>
        <w:rPr>
          <w:rFonts w:ascii="Arial" w:cs="Arial" w:eastAsia="Arial" w:hAnsi="Arial"/>
          <w:i/>
          <w:iCs/>
          <w:color w:val="3B6FB0"/>
          <w:sz w:val="15"/>
          <w:szCs w:val="15"/>
        </w:rPr>
        <w:t xml:space="preserve"> [https://www.ecfr.gov/current/title-12/chapter-I/part-30/appendix-Appendix%20A%20to%20Part%2030]</w:t>
      </w:r>
    </w:p>
    <w:p>
      <w:pPr>
        <w:spacing w:after="6"/>
      </w:pPr>
      <w:r>
        <w:rPr>
          <w:rFonts w:ascii="Arial" w:cs="Arial" w:eastAsia="Arial" w:hAnsi="Arial"/>
          <w:i/>
          <w:iCs/>
          <w:color w:val="7030A0"/>
          <w:sz w:val="17"/>
          <w:szCs w:val="17"/>
        </w:rPr>
        <w:t xml:space="preserve">Legal force: Enforceable guideline  ·  Consequence: Enforcement (cease-and-desist, CMP); rating downgrade  ·  Cadence: Periodic / ongoing  ·  Cluster: Safety-and-soundness baseline  ·  Redundancy: Limited overlap  ·  Confidence: High</w:t>
      </w:r>
    </w:p>
    <w:p>
      <w:pPr>
        <w:spacing w:after="104"/>
      </w:pPr>
      <w:r>
        <w:rPr>
          <w:rFonts w:ascii="Arial" w:cs="Arial" w:eastAsia="Arial" w:hAnsi="Arial"/>
          <w:i/>
          <w:iCs/>
          <w:color w:val="595959"/>
          <w:sz w:val="17"/>
          <w:szCs w:val="17"/>
        </w:rPr>
        <w:t xml:space="preserve">Overlap: Broad standards can duplicate domain-specific programs.  Reform: Treat as the residual baseline; avoid re-imposing the same items in domain rules.</w:t>
      </w:r>
    </w:p>
    <w:p>
      <w:pPr>
        <w:keepNext/>
        <w:spacing w:after="16" w:before="104"/>
      </w:pPr>
      <w:r>
        <w:rPr>
          <w:rFonts w:ascii="Arial" w:cs="Arial" w:eastAsia="Arial" w:hAnsi="Arial"/>
          <w:b/>
          <w:bCs/>
          <w:color w:val="1F3864"/>
          <w:sz w:val="21"/>
          <w:szCs w:val="21"/>
        </w:rPr>
        <w:t xml:space="preserve">SS-02  —  Full board  ·  BHC</w:t>
      </w:r>
      <w:r>
        <w:rPr>
          <w:sz w:val="2"/>
          <w:szCs w:val="2"/>
        </w:rPr>
        <w:t xml:space="preserve"/>
      </w:r>
    </w:p>
    <w:p>
      <w:pPr>
        <w:spacing w:after="24"/>
      </w:pPr>
      <w:r>
        <w:rPr>
          <w:rFonts w:ascii="Arial" w:cs="Arial" w:eastAsia="Arial" w:hAnsi="Arial"/>
          <w:sz w:val="21"/>
          <w:szCs w:val="21"/>
        </w:rPr>
        <w:t xml:space="preserve">The parent holding company (and its board) must serve as a source of financial strength to its insured subsidiary bank.</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Source-of-strength doctrine, 12 U.S.C. 1831o-1; Regulation Y, 12 CFR 225.4(a).</w:t>
      </w:r>
      <w:r>
        <w:rPr>
          <w:rFonts w:ascii="Arial" w:cs="Arial" w:eastAsia="Arial" w:hAnsi="Arial"/>
          <w:i/>
          <w:iCs/>
          <w:color w:val="3B6FB0"/>
          <w:sz w:val="15"/>
          <w:szCs w:val="15"/>
        </w:rPr>
        <w:t xml:space="preserve"> [https://www.law.cornell.edu/uscode/text/12/1831o-1]</w:t>
      </w:r>
    </w:p>
    <w:p>
      <w:pPr>
        <w:spacing w:after="6"/>
      </w:pPr>
      <w:r>
        <w:rPr>
          <w:rFonts w:ascii="Arial" w:cs="Arial" w:eastAsia="Arial" w:hAnsi="Arial"/>
          <w:i/>
          <w:iCs/>
          <w:color w:val="7030A0"/>
          <w:sz w:val="17"/>
          <w:szCs w:val="17"/>
        </w:rPr>
        <w:t xml:space="preserve">Legal force: Statute  ·  Consequence: Enforcement (cease-and-desist, CMP); rating downgrade  ·  Cadence: Periodic / ongoing  ·  Cluster: Source of strength / charter sanctity  ·  Redundancy: Unique (tension, not overlap)  ·  Confidence: High</w:t>
      </w:r>
    </w:p>
    <w:p>
      <w:pPr>
        <w:spacing w:after="104"/>
      </w:pPr>
      <w:r>
        <w:rPr>
          <w:rFonts w:ascii="Arial" w:cs="Arial" w:eastAsia="Arial" w:hAnsi="Arial"/>
          <w:i/>
          <w:iCs/>
          <w:color w:val="595959"/>
          <w:sz w:val="17"/>
          <w:szCs w:val="17"/>
        </w:rPr>
        <w:t xml:space="preserve">Overlap: In tension with the OCC 'sanctity of the charter' principle (the IDI board must protect the bank's interests over the parent's).  Reform: Clarify the interaction of source-of-strength and sanctity-of-charter for overlapping (parent-and-bank) directors.</w:t>
      </w:r>
    </w:p>
    <w:p>
      <w:r>
        <w:br w:type="page"/>
      </w:r>
    </w:p>
    <w:p>
      <w:pPr>
        <w:pStyle w:val="Heading2"/>
      </w:pPr>
      <w:r>
        <w:t>14. Credit risk governance</w:t>
      </w:r>
    </w:p>
    <w:p>
      <w:r>
        <w:t>Board-level credit-risk duties drawn from the interagency real-estate-lending standards, the allowance-for-credit-losses framework, Regulation O, Regulation W, and Regulation F. Added in v2.1 to close a domain gap identified against the Caffrey2 memo; citations are Caffrey2-sourced and should be confirmed against primary sources before reliance.</w:t>
      </w:r>
    </w:p>
    <w:p>
      <w:r>
        <w:rPr>
          <w:b/>
        </w:rPr>
        <w:t>CRD-01  —  Full board  ·  IDI</w:t>
      </w:r>
    </w:p>
    <w:p>
      <w:r>
        <w:t>Board must adopt and review at least annually a written real-estate-lending policy consistent with safe-and-sound standards and the interagency Real Estate Lending Standards.</w:t>
      </w:r>
    </w:p>
    <w:p>
      <w:r>
        <w:t>Source: Real Estate Lending Standards — 12 CFR part 208 subpart E (FRB) / 12 CFR part 365 (FDIC) / 12 CFR part 34 subpart D (OCC); FDI Act §304. [URL not captured]</w:t>
      </w:r>
    </w:p>
    <w:p>
      <w:r>
        <w:rPr>
          <w:i/>
        </w:rPr>
        <w:t>Legal force: Regulation  ·  Consequence: Enforcement (cease-and-desist, CMP); rating downgrade  ·  Cadence: Annual  ·  Cluster: Credit risk governance  ·  Redundancy: Candidate redundancy (parallel agency appendices)  ·  Confidence: Medium (Caffrey2-sourced; verify against primary source)</w:t>
      </w:r>
    </w:p>
    <w:p>
      <w:r>
        <w:rPr>
          <w:i/>
        </w:rPr>
        <w:t>Overlap: The same annual policy-approval duty is codified in parallel by the OCC, FDIC, and FRB.  Reform: One interagency real-estate-lending standard; a single board approval satisfies all three.</w:t>
      </w:r>
    </w:p>
    <w:p>
      <w:r>
        <w:rPr>
          <w:b/>
        </w:rPr>
        <w:t>CRD-02  —  Full board or designated committee  ·  BHC &amp; IDI</w:t>
      </w:r>
    </w:p>
    <w:p>
      <w:r>
        <w:t>Board oversight of the allowance for credit losses (ACL/CECL) framework and methodology, ensuring an appropriate, well-documented allowance.</w:t>
      </w:r>
    </w:p>
    <w:p>
      <w:r>
        <w:t>Source: Interagency Policy Statement on Allowances for Credit Losses; FDI Act §39 safety-and-soundness; ASC 326 (CECL). [URL not captured]</w:t>
      </w:r>
    </w:p>
    <w:p>
      <w:r>
        <w:rPr>
          <w:i/>
        </w:rPr>
        <w:t>Legal force: Regulation / guidance  ·  Consequence: Enforcement; informs ratings  ·  Cadence: Quarterly / periodic  ·  Cluster: Credit risk governance  ·  Redundancy: Candidate redundancy  ·  Confidence: Medium (Caffrey2-sourced; verify against primary source)</w:t>
      </w:r>
    </w:p>
    <w:p>
      <w:r>
        <w:rPr>
          <w:i/>
        </w:rPr>
        <w:t>Overlap: ACL governance overlaps audit-committee financial-reporting oversight and OCC/FRB credit-review expectations.  Reform: Fold ACL oversight into the audit/risk-committee credit cycle.</w:t>
      </w:r>
    </w:p>
    <w:p>
      <w:r>
        <w:rPr>
          <w:b/>
        </w:rPr>
        <w:t>CRD-03  —  Full board or risk committee  ·  BHC &amp; IDI</w:t>
      </w:r>
    </w:p>
    <w:p>
      <w:r>
        <w:t>Board ensures an independent credit-risk-review (loan review) function whose findings are reported to the board or a committee.</w:t>
      </w:r>
    </w:p>
    <w:p>
      <w:r>
        <w:t>Source: Interagency Guidance on Credit Risk Review Systems (2020); OCC Heightened Standards 12 CFR part 30 App. D (independent risk management). [URL not captured]</w:t>
      </w:r>
    </w:p>
    <w:p>
      <w:r>
        <w:rPr>
          <w:i/>
        </w:rPr>
        <w:t>Legal force: Regulation / guidance  ·  Consequence: Enforcement; informs ratings  ·  Cadence: Periodic  ·  Cluster: Credit risk governance  ·  Redundancy: Candidate redundancy  ·  Confidence: Medium (Caffrey2-sourced; verify against primary source)</w:t>
      </w:r>
    </w:p>
    <w:p>
      <w:r>
        <w:rPr>
          <w:i/>
        </w:rPr>
        <w:t>Overlap: Overlaps OCC App. D independent-risk-management and audit oversight.  Reform: Cover within risk-committee credit reporting.</w:t>
      </w:r>
    </w:p>
    <w:p>
      <w:r>
        <w:rPr>
          <w:b/>
        </w:rPr>
        <w:t>CRD-04  —  Majority of the entire board  ·  IDI</w:t>
      </w:r>
    </w:p>
    <w:p>
      <w:r>
        <w:t>Prior board approval (majority of the entire board, interested party abstaining) of extensions of credit to executive officers, directors, principal shareholders, and their related interests above regulatory thresholds.</w:t>
      </w:r>
    </w:p>
    <w:p>
      <w:r>
        <w:t>Source: Federal Reserve Act §22(h); Regulation O, 12 CFR part 215; 12 U.S.C. 375b(3). [URL not captured]</w:t>
      </w:r>
    </w:p>
    <w:p>
      <w:r>
        <w:rPr>
          <w:i/>
        </w:rPr>
        <w:t>Legal force: Statute / Regulation  ·  Consequence: Enforcement (cease-and-desist, CMP)  ·  Cadence: Event-driven  ·  Cluster: Insider / affiliate / related-party  ·  Redundancy: Limited overlap (distinct insured-bank protection)  ·  Confidence: Medium (Caffrey2-sourced; verify against primary source)</w:t>
      </w:r>
    </w:p>
    <w:p>
      <w:r>
        <w:rPr>
          <w:i/>
        </w:rPr>
        <w:t>Overlap: A specific board-approval trigger within the Reg O regime catalogued at a higher level in domain 11.  Reform: Retain; protects the insured bank.</w:t>
      </w:r>
    </w:p>
    <w:p>
      <w:r>
        <w:rPr>
          <w:b/>
        </w:rPr>
        <w:t>CRD-05  —  Majority of the board  ·  IDI</w:t>
      </w:r>
    </w:p>
    <w:p>
      <w:r>
        <w:t>Discrete affiliate-transaction board approvals under Regulation W: affiliate-underwritten securities purchases (§223.53(b)), affiliate loan-participation renewals (§223.15(b)(2)), and internal-reorganization asset purchases exempted from §23A (§223.41(d)).</w:t>
      </w:r>
    </w:p>
    <w:p>
      <w:r>
        <w:t>Source: Regulation W, 12 CFR part 223; 12 U.S.C. 371c-1. [URL not captured]</w:t>
      </w:r>
    </w:p>
    <w:p>
      <w:r>
        <w:rPr>
          <w:i/>
        </w:rPr>
        <w:t>Legal force: Regulation  ·  Consequence: Enforcement (cease-and-desist, CMP)  ·  Cadence: Event-driven  ·  Cluster: Insider / affiliate / related-party  ·  Redundancy: Limited overlap (parallel-but-justified)  ·  Confidence: Medium (Caffrey2-sourced; verify against primary source)</w:t>
      </w:r>
    </w:p>
    <w:p>
      <w:r>
        <w:rPr>
          <w:i/>
        </w:rPr>
        <w:t>Overlap: Granular board-approval triggers within the Reg W framework.  Reform: Where permitted, approve standards subject to periodic review rather than transaction-by-transaction.</w:t>
      </w:r>
    </w:p>
    <w:p>
      <w:r>
        <w:rPr>
          <w:b/>
        </w:rPr>
        <w:t>CRD-06  —  Full board or designated committee  ·  IDI</w:t>
      </w:r>
    </w:p>
    <w:p>
      <w:r>
        <w:t>Board oversight of correspondent credit-concentration policies limiting exposure to individual correspondent banks.</w:t>
      </w:r>
    </w:p>
    <w:p>
      <w:r>
        <w:t>Source: Regulation F, 12 CFR part 206. [URL not captured]</w:t>
      </w:r>
    </w:p>
    <w:p>
      <w:r>
        <w:rPr>
          <w:i/>
        </w:rPr>
        <w:t>Legal force: Regulation  ·  Consequence: Enforcement; informs ratings  ·  Cadence: Periodic  ·  Cluster: Credit risk governance  ·  Redundancy: Unique / limited overlap  ·  Confidence: Medium (Caffrey2-sourced; verify against primary source)</w:t>
      </w:r>
    </w:p>
    <w:p>
      <w:r>
        <w:rPr>
          <w:i/>
        </w:rPr>
        <w:t>Overlap: Folds into enterprise credit-concentration and counterparty-limit monitoring.  Reform: Cover within risk-committee limit monitoring.</w:t>
      </w:r>
    </w:p>
    <w:p>
      <w:pPr>
        <w:pStyle w:val="Heading2"/>
      </w:pPr>
      <w:r>
        <w:t>15. Fiduciary (trust) governance</w:t>
      </w:r>
    </w:p>
    <w:p>
      <w:r>
        <w:t>Board duties attaching to national-bank fiduciary powers — most material for the custody/trust GSIBs (BNY, State Street). Omitted from v2.0; added in v2.1. Caffrey2-sourced; verify.</w:t>
      </w:r>
    </w:p>
    <w:p>
      <w:r>
        <w:rPr>
          <w:b/>
        </w:rPr>
        <w:t>FID-01  —  Full board  ·  IDI</w:t>
      </w:r>
    </w:p>
    <w:p>
      <w:r>
        <w:t>The bank’s fiduciary activities must be managed by or under the direction of its board, and the board must adopt written policies governing fiduciary activities.</w:t>
      </w:r>
    </w:p>
    <w:p>
      <w:r>
        <w:t>Source: 12 CFR 9.4(a); 12 CFR 9.5 (national banks); 12 CFR part 150 (FSAs). [URL not captured]</w:t>
      </w:r>
    </w:p>
    <w:p>
      <w:r>
        <w:rPr>
          <w:i/>
        </w:rPr>
        <w:t>Legal force: Regulation  ·  Consequence: Enforcement; informs ratings  ·  Cadence: Periodic / annual  ·  Cluster: Fiduciary (trust) governance  ·  Redundancy: Unique / limited overlap  ·  Confidence: Medium (Caffrey2-sourced; verify against primary source)</w:t>
      </w:r>
    </w:p>
    <w:p>
      <w:r>
        <w:rPr>
          <w:i/>
        </w:rPr>
        <w:t>Overlap: Distinct from enterprise risk governance; trust-charter-specific.  Reform: Retain; distinct statutory purpose.</w:t>
      </w:r>
    </w:p>
    <w:p>
      <w:r>
        <w:rPr>
          <w:b/>
        </w:rPr>
        <w:t>FID-02  —  Fiduciary audit committee  ·  IDI</w:t>
      </w:r>
    </w:p>
    <w:p>
      <w:r>
        <w:t>A fiduciary audit committee of directors (excluding officers significantly involved in fiduciary administration) must arrange suitable audits of fiduciary activities at least annually.</w:t>
      </w:r>
    </w:p>
    <w:p>
      <w:r>
        <w:t>Source: 12 CFR 9.9. [URL not captured]</w:t>
      </w:r>
    </w:p>
    <w:p>
      <w:r>
        <w:rPr>
          <w:i/>
        </w:rPr>
        <w:t>Legal force: Regulation  ·  Consequence: Enforcement; informs ratings  ·  Cadence: Annual  ·  Cluster: Audit committee &amp; independence  ·  Redundancy: Candidate redundancy  ·  Confidence: Medium (Caffrey2-sourced; verify against primary source)</w:t>
      </w:r>
    </w:p>
    <w:p>
      <w:r>
        <w:rPr>
          <w:i/>
        </w:rPr>
        <w:t>Overlap: Parallels the §36 / Part 363 audit committee but covers fiduciary activities specifically.  Reform: Permit the §36 audit committee to satisfy the fiduciary-audit duty where composition overlaps.</w:t>
      </w:r>
    </w:p>
    <w:p>
      <w:r>
        <w:rPr>
          <w:b/>
        </w:rPr>
        <w:t>FID-03  —  Full board  ·  IDI</w:t>
      </w:r>
    </w:p>
    <w:p>
      <w:r>
        <w:t>Collective investment funds must operate under a board-approved written plan; fiduciary assets must be held in the joint custody of at least two designated officers.</w:t>
      </w:r>
    </w:p>
    <w:p>
      <w:r>
        <w:t>Source: 12 CFR 9.18(b)(1); 12 CFR 9.13(a). [URL not captured]</w:t>
      </w:r>
    </w:p>
    <w:p>
      <w:r>
        <w:rPr>
          <w:i/>
        </w:rPr>
        <w:t>Legal force: Regulation  ·  Consequence: Enforcement  ·  Cadence: Periodic  ·  Cluster: Fiduciary (trust) governance  ·  Redundancy: Unique / limited overlap  ·  Confidence: Medium (Caffrey2-sourced; verify against primary source)</w:t>
      </w:r>
    </w:p>
    <w:p>
      <w:r>
        <w:rPr>
          <w:i/>
        </w:rPr>
        <w:t>Overlap: Operational fiduciary control; minimal cross-regulator overlap.  Reform: Retain.</w:t>
      </w:r>
    </w:p>
    <w:p>
      <w:pPr>
        <w:pStyle w:val="Heading2"/>
      </w:pPr>
      <w:r>
        <w:t>16. Director eligibility, attestation &amp; continuity</w:t>
      </w:r>
    </w:p>
    <w:p>
      <w:r>
        <w:t>Director-level eligibility, change-in-director notice, report attestation, and indemnification/severance board duties, folded into v2.1 from Caffrey2 §§1.7—1.11, 2.3, and 12.2. Caffrey2-sourced; verify.</w:t>
      </w:r>
    </w:p>
    <w:p>
      <w:r>
        <w:rPr>
          <w:b/>
        </w:rPr>
        <w:t>ELG-01  —  Full board / institution  ·  BHC &amp; IDI</w:t>
      </w:r>
    </w:p>
    <w:p>
      <w:r>
        <w:t>A bank in troubled condition or not meeting minimum capital must give the agency 30 days’ written notice before adding or replacing a director or senior executive officer (the “914 process”), with CBCA/FFIEC background information; a disapproved individual may not serve while an appeal is pending.</w:t>
      </w:r>
    </w:p>
    <w:p>
      <w:r>
        <w:t>Source: 12 U.S.C. 1831i; FRB Reg Y 12 CFR 225.71—.73; OCC 12 CFR 5.51. [URL not captured]</w:t>
      </w:r>
    </w:p>
    <w:p>
      <w:r>
        <w:rPr>
          <w:i/>
        </w:rPr>
        <w:t>Legal force: Statute / Regulation  ·  Consequence: Enforcement; disapproval bars service  ·  Cadence: Event-driven  ·  Cluster: Director eligibility &amp; continuity  ·  Redundancy: Candidate redundancy (parallel FRB/OCC processes)  ·  Confidence: Medium (Caffrey2-sourced; verify against primary source)</w:t>
      </w:r>
    </w:p>
    <w:p>
      <w:r>
        <w:rPr>
          <w:i/>
        </w:rPr>
        <w:t>Overlap: Parallel FRB and OCC change-in-director notice regimes.  Reform: Single interagency change-in-director notice procedure.</w:t>
      </w:r>
    </w:p>
    <w:p>
      <w:r>
        <w:rPr>
          <w:b/>
        </w:rPr>
        <w:t>ELG-02  —  Each director  ·  BHC &amp; IDI</w:t>
      </w:r>
    </w:p>
    <w:p>
      <w:r>
        <w:t>Statutory disqualification: a person convicted of (or in pretrial diversion for) a crime involving dishonesty, breach of trust, or money laundering is barred from serving as an institution-affiliated party absent agency consent; a removal/prohibition order terminates the directorship on service.</w:t>
      </w:r>
    </w:p>
    <w:p>
      <w:r>
        <w:t>Source: 12 U.S.C. 1829; FDI Act §8(e), §8(g). [URL not captured]</w:t>
      </w:r>
    </w:p>
    <w:p>
      <w:r>
        <w:rPr>
          <w:i/>
        </w:rPr>
        <w:t>Legal force: Statute  ·  Consequence: Automatic bar; criminal/CMP exposure  ·  Cadence: Event-driven  ·  Cluster: Director eligibility &amp; continuity  ·  Redundancy: Unique / limited overlap  ·  Confidence: Medium (Caffrey2-sourced; verify against primary source)</w:t>
      </w:r>
    </w:p>
    <w:p>
      <w:r>
        <w:rPr>
          <w:i/>
        </w:rPr>
        <w:t>Overlap: Director-level eligibility bar.  Reform: Retain; statutory.</w:t>
      </w:r>
    </w:p>
    <w:p>
      <w:r>
        <w:rPr>
          <w:b/>
        </w:rPr>
        <w:t>ELG-03  —  Designated directors  ·  IDI</w:t>
      </w:r>
    </w:p>
    <w:p>
      <w:r>
        <w:t>The correctness of each Call Report (report of condition) must be attested by at least two directors (three for a national bank) other than the declaring officer; directors review and sign the report of examination; a change of CEO or director is reported promptly on a change in control.</w:t>
      </w:r>
    </w:p>
    <w:p>
      <w:r>
        <w:t>Source: FDI Act §7(a)(3); FDI Act §7(j); OCC Comptroller’s Licensing Manual. [URL not captured]</w:t>
      </w:r>
    </w:p>
    <w:p>
      <w:r>
        <w:rPr>
          <w:i/>
        </w:rPr>
        <w:t>Legal force: Statute / Regulation  ·  Consequence: Enforcement; false-entry exposure  ·  Cadence: Quarterly / event-driven  ·  Cluster: Director eligibility &amp; continuity  ·  Redundancy: Unique / limited overlap  ·  Confidence: Medium (Caffrey2-sourced; verify against primary source)</w:t>
      </w:r>
    </w:p>
    <w:p>
      <w:r>
        <w:rPr>
          <w:i/>
        </w:rPr>
        <w:t>Overlap: Recurring attestation duty; low marginal burden.  Reform: Retain.</w:t>
      </w:r>
    </w:p>
    <w:p>
      <w:r>
        <w:rPr>
          <w:b/>
        </w:rPr>
        <w:t>ELG-04  —  Full board  ·  BHC &amp; IDI</w:t>
      </w:r>
    </w:p>
    <w:p>
      <w:r>
        <w:t>Board determinations governing indemnification of institution-affiliated parties (good-faith / best-interests / no-material-adverse-safety-and-soundness findings, with interested-party recusal) and golden-parachute and severance payments under the Part 359 prohibitions and permitted-payment exceptions.</w:t>
      </w:r>
    </w:p>
    <w:p>
      <w:r>
        <w:t>Source: 12 CFR part 359 (FDIC); FDI Act §18(k). [URL not captured]</w:t>
      </w:r>
    </w:p>
    <w:p>
      <w:r>
        <w:rPr>
          <w:i/>
        </w:rPr>
        <w:t>Legal force: Regulation  ·  Consequence: Enforcement; prohibited-payment liability  ·  Cadence: Event-driven  ·  Cluster: Compensation &amp; indemnification governance  ·  Redundancy: Limited overlap (distinct DIF protection)  ·  Confidence: Medium (Caffrey2-sourced; verify against primary source)</w:t>
      </w:r>
    </w:p>
    <w:p>
      <w:r>
        <w:rPr>
          <w:i/>
        </w:rPr>
        <w:t>Overlap: Distinct from incentive-compensation governance; protects the insured bank and the Deposit Insurance Fund.  Reform: Retain; coordinate with a finalized §956 framework if adopted.</w:t>
      </w:r>
    </w:p>
    <w:p>
      <w:pPr>
        <w:pStyle w:val="Heading1"/>
      </w:pPr>
      <w:r>
        <w:t xml:space="preserve">Obligations — overlap and duplication analysis</w:t>
      </w:r>
    </w:p>
    <w:p>
      <w:pPr>
        <w:spacing w:after="120" w:before="0"/>
      </w:pPr>
      <w:r>
        <w:rPr>
          <w:rFonts w:ascii="Arial" w:cs="Arial" w:eastAsia="Arial" w:hAnsi="Arial"/>
          <w:i/>
          <w:iCs/>
          <w:color w:val="595959"/>
          <w:sz w:val="20"/>
          <w:szCs w:val="20"/>
        </w:rPr>
        <w:t xml:space="preserve">Identifying overlap is not the same as recommending repeal; some redundancy reflects genuinely distinct supervisory interests. Each pattern is tagged accordingly in the cluster analysis (Part III).</w:t>
      </w:r>
    </w:p>
    <w:p>
      <w:pPr>
        <w:pStyle w:val="Heading2"/>
      </w:pPr>
      <w:r>
        <w:t xml:space="preserve">Pattern 1 — the recurring 'approve a program, oversee it, receive periodic reporting' template</w:t>
      </w:r>
    </w:p>
    <w:p>
      <w:pPr>
        <w:spacing w:after="120" w:before="0"/>
      </w:pPr>
      <w:r>
        <w:rPr>
          <w:rFonts w:ascii="Arial" w:cs="Arial" w:eastAsia="Arial" w:hAnsi="Arial"/>
          <w:sz w:val="22"/>
          <w:szCs w:val="22"/>
        </w:rPr>
        <w:t xml:space="preserve">The board is told to do the same three things for a different risk across at least eight authorities: information-security (12 CFR 30 App. B), BSA program rules, third-party guidance, liquidity (252.34(a)(2)), capital plan (225.8), heightened standards risk-governance framework, operational-resilience tolerance, and consumer CMS. A single principles-based board-oversight standard could subsume most of these without lowering the substantive expectation.</w:t>
      </w:r>
    </w:p>
    <w:p>
      <w:pPr>
        <w:spacing w:after="120" w:before="0"/>
      </w:pPr>
      <w:r>
        <w:rPr>
          <w:rFonts w:ascii="Arial" w:cs="Arial" w:eastAsia="Arial" w:hAnsi="Arial"/>
          <w:i/>
          <w:iCs/>
          <w:color w:val="808080"/>
          <w:sz w:val="18"/>
          <w:szCs w:val="18"/>
        </w:rPr>
        <w:t xml:space="preserve">Related entries: BSA-01, CYB-01, LIQ-03, CAP-02, RGC-07, RGC-08</w:t>
      </w:r>
    </w:p>
    <w:p>
      <w:pPr>
        <w:pStyle w:val="Heading2"/>
      </w:pPr>
      <w:r>
        <w:t xml:space="preserve">Pattern 2 — non-uniform independence definitions for the same directors</w:t>
      </w:r>
    </w:p>
    <w:p>
      <w:pPr>
        <w:spacing w:after="120" w:before="0"/>
      </w:pPr>
      <w:r>
        <w:rPr>
          <w:rFonts w:ascii="Arial" w:cs="Arial" w:eastAsia="Arial" w:hAnsi="Arial"/>
          <w:sz w:val="22"/>
          <w:szCs w:val="22"/>
        </w:rPr>
        <w:t xml:space="preserve">A GSIB lead bank and its parent face at least six distinct independence tests differing in lookback period, family/affiliation tests, and whether they incorporate an exchange standard. A single cross-referenced prudential independence definition would eliminate parallel determinations for the same individuals.</w:t>
      </w:r>
    </w:p>
    <w:p>
      <w:pPr>
        <w:spacing w:after="120" w:before="0"/>
      </w:pPr>
      <w:r>
        <w:rPr>
          <w:rFonts w:ascii="Arial" w:cs="Arial" w:eastAsia="Arial" w:hAnsi="Arial"/>
          <w:i/>
          <w:iCs/>
          <w:color w:val="808080"/>
          <w:sz w:val="18"/>
          <w:szCs w:val="18"/>
        </w:rPr>
        <w:t xml:space="preserve">Related entries: RGC-05, IND-01, IND-05, IND-06, IND-07, AUD-01</w:t>
      </w:r>
    </w:p>
    <w:p>
      <w:pPr>
        <w:pStyle w:val="Heading2"/>
      </w:pPr>
      <w:r>
        <w:t xml:space="preserve">Pattern 3 — parallel approvals at the parent and bank levels</w:t>
      </w:r>
    </w:p>
    <w:p>
      <w:pPr>
        <w:spacing w:after="120" w:before="0"/>
      </w:pPr>
      <w:r>
        <w:rPr>
          <w:rFonts w:ascii="Arial" w:cs="Arial" w:eastAsia="Arial" w:hAnsi="Arial"/>
          <w:sz w:val="22"/>
          <w:szCs w:val="22"/>
        </w:rPr>
        <w:t xml:space="preserve">Several duties require formal board action at both the holding-company and insured-bank level on overlapping subject matter (resolution, liquidity, risk governance/appetite, information security). Some parallelism is defensible (the FDIC's distinct resolvability interest); other instances are closer to pure redundancy where the same program is approved by parent and subsidiary boards whose memberships substantially overlap.</w:t>
      </w:r>
    </w:p>
    <w:p>
      <w:pPr>
        <w:spacing w:after="120" w:before="0"/>
      </w:pPr>
      <w:r>
        <w:rPr>
          <w:rFonts w:ascii="Arial" w:cs="Arial" w:eastAsia="Arial" w:hAnsi="Arial"/>
          <w:i/>
          <w:iCs/>
          <w:color w:val="808080"/>
          <w:sz w:val="18"/>
          <w:szCs w:val="18"/>
        </w:rPr>
        <w:t xml:space="preserve">Related entries: RES-01, RES-02, LIQ-01, RGC-07, CYB-01</w:t>
      </w:r>
    </w:p>
    <w:p>
      <w:pPr>
        <w:pStyle w:val="Heading2"/>
      </w:pPr>
      <w:r>
        <w:t xml:space="preserve">Pattern 4 — guidance that has migrated, been rescinded, or never finalized</w:t>
      </w:r>
    </w:p>
    <w:p>
      <w:pPr>
        <w:spacing w:after="120" w:before="0"/>
      </w:pPr>
      <w:r>
        <w:rPr>
          <w:rFonts w:ascii="Arial" w:cs="Arial" w:eastAsia="Arial" w:hAnsi="Arial"/>
          <w:sz w:val="22"/>
          <w:szCs w:val="22"/>
        </w:rPr>
        <w:t xml:space="preserve">Roughly a quarter of the board duties a 2024-vintage compliance map would list in five areas have been removed, softened, or were never in force: model risk (SR 11-7 replaced, board duty dropped, Apr 2026), OCC recovery planning (App. E rescinded, May 2026), FDIC 2023 corporate-governance proposal (withdrawn Mar 2025), incentive comp (section 956 never finalized), and the FFIEC CAT (sunset Aug 2025).</w:t>
      </w:r>
    </w:p>
    <w:p>
      <w:pPr>
        <w:spacing w:after="120" w:before="0"/>
      </w:pPr>
      <w:r>
        <w:rPr>
          <w:rFonts w:ascii="Arial" w:cs="Arial" w:eastAsia="Arial" w:hAnsi="Arial"/>
          <w:i/>
          <w:iCs/>
          <w:color w:val="808080"/>
          <w:sz w:val="18"/>
          <w:szCs w:val="18"/>
        </w:rPr>
        <w:t xml:space="preserve">Related entries: RES-03, INC-01</w:t>
      </w:r>
    </w:p>
    <w:p>
      <w:pPr>
        <w:pStyle w:val="Heading2"/>
      </w:pPr>
      <w:r>
        <w:t xml:space="preserve">Parent (BHC) vs. insured-bank (IDI) parallel approvals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50"/>
        <w:gridCol w:w="2550"/>
        <w:gridCol w:w="2360"/>
      </w:tblGrid>
      <w:tr>
        <w:tc>
          <w:tcPr>
            <w:tcW w:type="dxa" w:w="1900"/>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Subject</w:t>
            </w:r>
          </w:p>
        </w:tc>
        <w:tc>
          <w:tcPr>
            <w:tcW w:type="dxa" w:w="2550"/>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BHC-level duty</w:t>
            </w:r>
          </w:p>
        </w:tc>
        <w:tc>
          <w:tcPr>
            <w:tcW w:type="dxa" w:w="2550"/>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IDI-level duty</w:t>
            </w:r>
          </w:p>
        </w:tc>
        <w:tc>
          <w:tcPr>
            <w:tcW w:type="dxa" w:w="2360"/>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Overlap character</w:t>
            </w:r>
          </w:p>
        </w:tc>
      </w:tr>
      <w:tr>
        <w:tc>
          <w:tcPr>
            <w:tcW w:type="dxa" w:w="19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Resolution planning</w:t>
            </w:r>
          </w:p>
        </w:tc>
        <w:tc>
          <w:tcPr>
            <w:tcW w:type="dxa" w:w="255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Title I plan approval, 12 CFR 243.4(f)</w:t>
            </w:r>
          </w:p>
        </w:tc>
        <w:tc>
          <w:tcPr>
            <w:tcW w:type="dxa" w:w="255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IDI plan approval, 12 CFR 360.10(c)(5)</w:t>
            </w:r>
          </w:p>
        </w:tc>
        <w:tc>
          <w:tcPr>
            <w:tcW w:type="dxa" w:w="23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Two minuted approvals on overlapping content, two cadences, two rules</w:t>
            </w:r>
          </w:p>
        </w:tc>
      </w:tr>
      <w:tr>
        <w:tc>
          <w:tcPr>
            <w:tcW w:type="dxa" w:w="19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Liquidity governance</w:t>
            </w:r>
          </w:p>
        </w:tc>
        <w:tc>
          <w:tcPr>
            <w:tcW w:type="dxa" w:w="255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252.34(a) tolerance &amp; strategies</w:t>
            </w:r>
          </w:p>
        </w:tc>
        <w:tc>
          <w:tcPr>
            <w:tcW w:type="dxa" w:w="255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SR 10-6 board ownership &amp; annual review (expectation)</w:t>
            </w:r>
          </w:p>
        </w:tc>
        <w:tc>
          <w:tcPr>
            <w:tcW w:type="dxa" w:w="236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Substantially the same board duty stated twice at two levels</w:t>
            </w:r>
          </w:p>
        </w:tc>
      </w:tr>
      <w:tr>
        <w:tc>
          <w:tcPr>
            <w:tcW w:type="dxa" w:w="19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Recovery planning</w:t>
            </w:r>
          </w:p>
        </w:tc>
        <w:tc>
          <w:tcPr>
            <w:tcW w:type="dxa" w:w="255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SR 14-8 oversight (expectation)</w:t>
            </w:r>
          </w:p>
        </w:tc>
        <w:tc>
          <w:tcPr>
            <w:tcW w:type="dxa" w:w="255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pt 30 App. E approval — RESCINDED 5/1/2026</w:t>
            </w:r>
          </w:p>
        </w:tc>
        <w:tc>
          <w:tcPr>
            <w:tcW w:type="dxa" w:w="23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Was duplicative; now parent-only and guidance-only</w:t>
            </w:r>
          </w:p>
        </w:tc>
      </w:tr>
      <w:tr>
        <w:tc>
          <w:tcPr>
            <w:tcW w:type="dxa" w:w="19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Risk governance / appetite</w:t>
            </w:r>
          </w:p>
        </w:tc>
        <w:tc>
          <w:tcPr>
            <w:tcW w:type="dxa" w:w="255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252.33 risk committee; SR 21-3</w:t>
            </w:r>
          </w:p>
        </w:tc>
        <w:tc>
          <w:tcPr>
            <w:tcW w:type="dxa" w:w="255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pt 30 App. D framework &amp; appetite</w:t>
            </w:r>
          </w:p>
        </w:tc>
        <w:tc>
          <w:tcPr>
            <w:tcW w:type="dxa" w:w="236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Parent risk committee and bank risk-governance framework cover overlapping ground</w:t>
            </w:r>
          </w:p>
        </w:tc>
      </w:tr>
      <w:tr>
        <w:tc>
          <w:tcPr>
            <w:tcW w:type="dxa" w:w="19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Information security</w:t>
            </w:r>
          </w:p>
        </w:tc>
        <w:tc>
          <w:tcPr>
            <w:tcW w:type="dxa" w:w="255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pt 225 App. F program approval</w:t>
            </w:r>
          </w:p>
        </w:tc>
        <w:tc>
          <w:tcPr>
            <w:tcW w:type="dxa" w:w="255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pt 30 App. B / pt 364 App. B program approval</w:t>
            </w:r>
          </w:p>
        </w:tc>
        <w:tc>
          <w:tcPr>
            <w:tcW w:type="dxa" w:w="23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Same program approved at two levels (four parallel appendices)</w:t>
            </w:r>
          </w:p>
        </w:tc>
      </w:tr>
    </w:tbl>
    <w:p>
      <w:pPr>
        <w:pStyle w:val="Heading2"/>
      </w:pPr>
      <w:r>
        <w:t xml:space="preserve">Non-uniform director-independence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c>
          <w:tcPr>
            <w:tcW w:type="dxa" w:w="3300"/>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Framework</w:t>
            </w:r>
          </w:p>
        </w:tc>
        <w:tc>
          <w:tcPr>
            <w:tcW w:type="dxa" w:w="6060"/>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Independence requirement</w:t>
            </w:r>
          </w:p>
        </w:tc>
      </w:tr>
      <w:tr>
        <w:tc>
          <w:tcPr>
            <w:tcW w:type="dxa" w:w="33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OCC Heightened Standards (12 CFR 30 App. D)</w:t>
            </w:r>
          </w:p>
        </w:tc>
        <w:tc>
          <w:tcPr>
            <w:tcW w:type="dxa" w:w="60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At least two independent directors; 3-year lookback; independent under exchange listing standards.</w:t>
            </w:r>
          </w:p>
        </w:tc>
      </w:tr>
      <w:tr>
        <w:tc>
          <w:tcPr>
            <w:tcW w:type="dxa" w:w="33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Regulation YY risk-committee chair (12 CFR 252.33(a)(4))</w:t>
            </w:r>
          </w:p>
        </w:tc>
        <w:tc>
          <w:tcPr>
            <w:tcW w:type="dxa" w:w="606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Risk-committee chair independent under SEC/NYSE standards; 3-year lookback; risk-management experience.</w:t>
            </w:r>
          </w:p>
        </w:tc>
      </w:tr>
      <w:tr>
        <w:tc>
          <w:tcPr>
            <w:tcW w:type="dxa" w:w="33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FDICIA / Part 363 (12 CFR 363.5)</w:t>
            </w:r>
          </w:p>
        </w:tc>
        <w:tc>
          <w:tcPr>
            <w:tcW w:type="dxa" w:w="60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Audit committee entirely 'outside directors'; 1-year lookback; banking-specific definition.</w:t>
            </w:r>
          </w:p>
        </w:tc>
      </w:tr>
      <w:tr>
        <w:tc>
          <w:tcPr>
            <w:tcW w:type="dxa" w:w="33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SOX section 301 (17 CFR 240.10A-3)</w:t>
            </w:r>
          </w:p>
        </w:tc>
        <w:tc>
          <w:tcPr>
            <w:tcW w:type="dxa" w:w="606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Audit-committee members independent under the SEC test (no consulting/advisory fees; not affiliated persons).</w:t>
            </w:r>
          </w:p>
        </w:tc>
      </w:tr>
      <w:tr>
        <w:tc>
          <w:tcPr>
            <w:tcW w:type="dxa" w:w="33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Dodd-Frank section 952 (17 CFR 240.10C-1)</w:t>
            </w:r>
          </w:p>
        </w:tc>
        <w:tc>
          <w:tcPr>
            <w:tcW w:type="dxa" w:w="60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Compensation-committee independence, considering enumerated affiliation/fee factors.</w:t>
            </w:r>
          </w:p>
        </w:tc>
      </w:tr>
      <w:tr>
        <w:tc>
          <w:tcPr>
            <w:tcW w:type="dxa" w:w="33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NYSE / Nasdaq listing standards</w:t>
            </w:r>
          </w:p>
        </w:tc>
        <w:tc>
          <w:tcPr>
            <w:tcW w:type="dxa" w:w="606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Majority-independent board; exchange independence definition for committee members.</w:t>
            </w:r>
          </w:p>
        </w:tc>
      </w:tr>
    </w:tbl>
    <w:p>
      <w:pPr>
        <w:pStyle w:val="Heading1"/>
      </w:pPr>
      <w:r>
        <w:t xml:space="preserve">Obligations — external corroboration</w:t>
      </w:r>
    </w:p>
    <w:p>
      <w:pPr>
        <w:spacing w:after="120" w:before="0"/>
      </w:pPr>
      <w:r>
        <w:rPr>
          <w:rFonts w:ascii="Arial" w:cs="Arial" w:eastAsia="Arial" w:hAnsi="Arial"/>
          <w:sz w:val="22"/>
          <w:szCs w:val="22"/>
        </w:rPr>
        <w:t xml:space="preserve">American Bankers Association — letter to the OCC — Industry argues the OCC Heightened Standards duplicate the Federal Reserve's Regulation YY requirements and should be removed or adjusted to avoid duplication.</w:t>
      </w:r>
    </w:p>
    <w:p>
      <w:pPr>
        <w:spacing w:after="120" w:before="0"/>
      </w:pPr>
      <w:r>
        <w:rPr>
          <w:rFonts w:ascii="Arial" w:cs="Arial" w:eastAsia="Arial" w:hAnsi="Arial"/>
          <w:sz w:val="22"/>
          <w:szCs w:val="22"/>
        </w:rPr>
        <w:t xml:space="preserve">OCC — Heightened Standards NPRM (Bulletin 2025-51) — The OCC acknowledges the duplication concern and proposes raising the covered-bank threshold from $50B to $700B (GSIB lead banks remain covered), lending independent regulatory support to the duplication critique.</w:t>
      </w:r>
    </w:p>
    <w:p>
      <w:pPr>
        <w:spacing w:after="120" w:before="0"/>
      </w:pPr>
      <w:r>
        <w:rPr>
          <w:rFonts w:ascii="Arial" w:cs="Arial" w:eastAsia="Arial" w:hAnsi="Arial"/>
          <w:sz w:val="22"/>
          <w:szCs w:val="22"/>
        </w:rPr>
        <w:t xml:space="preserve">American Association of Bank Directors — “It is a misnomer to call them ‘Guidelines.’ They are enforceable rules” — the OCC can issue formal enforcement actions without rulemaking, making the Heightened Standards functionally regulatory.</w:t>
      </w:r>
    </w:p>
    <w:p>
      <w:pPr>
        <w:spacing w:after="120" w:before="0"/>
      </w:pPr>
      <w:r>
        <w:rPr>
          <w:rFonts w:ascii="Arial" w:cs="Arial" w:eastAsia="Arial" w:hAnsi="Arial"/>
          <w:sz w:val="22"/>
          <w:szCs w:val="22"/>
        </w:rPr>
        <w:t xml:space="preserve">Federal Reserve (Chair Powell, on BSA/AML) — “Across a range of responsibilities, we simply expect much more of boards of directors than ever before” — the agencies' own framing of the rising board burden.</w:t>
      </w:r>
    </w:p>
    <w:p>
      <w:pPr>
        <w:spacing w:after="120" w:before="0"/>
      </w:pPr>
      <w:r>
        <w:rPr>
          <w:rFonts w:ascii="Arial" w:cs="Arial" w:eastAsia="Arial" w:hAnsi="Arial"/>
          <w:sz w:val="22"/>
          <w:szCs w:val="22"/>
        </w:rPr>
        <w:t xml:space="preserve">FDIC (Directors McKernan and Hill, 2023 dissents) — Cited SR 21-3 and SR 16-11 (oversight, not outcome-guarantee) as the appropriate board standard in dissenting from the FDIC's stricter 2023 corporate-governance proposal (later withdrawn).</w:t>
      </w:r>
    </w:p>
    <w:p>
      <w:pPr>
        <w:pStyle w:val="Heading1"/>
      </w:pPr>
      <w:r>
        <w:t xml:space="preserve">Obligations — currency and transition notes (2025–2026)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3360"/>
        <w:gridCol w:w="2200"/>
      </w:tblGrid>
      <w:tr>
        <w:tc>
          <w:tcPr>
            <w:tcW w:type="dxa" w:w="1200"/>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Date</w:t>
            </w:r>
          </w:p>
        </w:tc>
        <w:tc>
          <w:tcPr>
            <w:tcW w:type="dxa" w:w="2600"/>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Development</w:t>
            </w:r>
          </w:p>
        </w:tc>
        <w:tc>
          <w:tcPr>
            <w:tcW w:type="dxa" w:w="3360"/>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Detail</w:t>
            </w:r>
          </w:p>
        </w:tc>
        <w:tc>
          <w:tcPr>
            <w:tcW w:type="dxa" w:w="2200"/>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Effect</w:t>
            </w:r>
          </w:p>
        </w:tc>
      </w:tr>
      <w:tr>
        <w:tc>
          <w:tcPr>
            <w:tcW w:type="dxa" w:w="12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2025-03</w:t>
            </w:r>
          </w:p>
        </w:tc>
        <w:tc>
          <w:tcPr>
            <w:tcW w:type="dxa" w:w="26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FDIC 2023 corporate-governance proposal withdrawn</w:t>
            </w:r>
          </w:p>
        </w:tc>
        <w:tc>
          <w:tcPr>
            <w:tcW w:type="dxa" w:w="33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The FDIC withdrew its proposed Part 364 corporate-governance/risk-management guidelines (board duty to 'confirm' compliance; majority-independent board). McKernan/Hill had dissented.</w:t>
            </w:r>
          </w:p>
        </w:tc>
        <w:tc>
          <w:tcPr>
            <w:tcW w:type="dxa" w:w="22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No new binding IDI board obligation; do not treat the proposal as latent law.</w:t>
            </w:r>
          </w:p>
        </w:tc>
      </w:tr>
      <w:tr>
        <w:tc>
          <w:tcPr>
            <w:tcW w:type="dxa" w:w="12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2025-08</w:t>
            </w:r>
          </w:p>
        </w:tc>
        <w:tc>
          <w:tcPr>
            <w:tcW w:type="dxa" w:w="26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FFIEC Cybersecurity Assessment Tool sunset</w:t>
            </w:r>
          </w:p>
        </w:tc>
        <w:tc>
          <w:tcPr>
            <w:tcW w:type="dxa" w:w="336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CAT retired Aug. 31, 2025; institutions pointed to NIST CSF 2.0 and others.</w:t>
            </w:r>
          </w:p>
        </w:tc>
        <w:tc>
          <w:tcPr>
            <w:tcW w:type="dxa" w:w="22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Board expectations built on the CAT are untethered; underlying info-security obligation (CYB-01/02) unchanged.</w:t>
            </w:r>
          </w:p>
        </w:tc>
      </w:tr>
      <w:tr>
        <w:tc>
          <w:tcPr>
            <w:tcW w:type="dxa" w:w="12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2026-04-17</w:t>
            </w:r>
          </w:p>
        </w:tc>
        <w:tc>
          <w:tcPr>
            <w:tcW w:type="dxa" w:w="26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Model Risk Management guidance replaced</w:t>
            </w:r>
          </w:p>
        </w:tc>
        <w:tc>
          <w:tcPr>
            <w:tcW w:type="dxa" w:w="33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SR 26-2 / OCC Bulletin 2026-13 superseded SR 11-7 and dropped the explicit board model-risk duty.</w:t>
            </w:r>
          </w:p>
        </w:tc>
        <w:tc>
          <w:tcPr>
            <w:tcW w:type="dxa" w:w="22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No binding board model-risk obligation; the prior board-approval-and-annual-review duty is gone.</w:t>
            </w:r>
          </w:p>
        </w:tc>
      </w:tr>
      <w:tr>
        <w:tc>
          <w:tcPr>
            <w:tcW w:type="dxa" w:w="12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2026-04-10</w:t>
            </w:r>
          </w:p>
        </w:tc>
        <w:tc>
          <w:tcPr>
            <w:tcW w:type="dxa" w:w="26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Reputation-risk supervisory-use prohibition (rule)</w:t>
            </w:r>
          </w:p>
        </w:tc>
        <w:tc>
          <w:tcPr>
            <w:tcW w:type="dxa" w:w="336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Final rule (OCC/FDIC) prohibiting supervisory use of reputation risk; effective June 9, 2026 (Federal Register 2026-06947; OCC Bulletin 2026-12). OCC Bulletin 2026-23 removes references from interagency documents.</w:t>
            </w:r>
          </w:p>
        </w:tc>
        <w:tc>
          <w:tcPr>
            <w:tcW w:type="dxa" w:w="22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Narrows the surface area of board oversight.</w:t>
            </w:r>
          </w:p>
        </w:tc>
      </w:tr>
      <w:tr>
        <w:tc>
          <w:tcPr>
            <w:tcW w:type="dxa" w:w="12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2026-05-01</w:t>
            </w:r>
          </w:p>
        </w:tc>
        <w:tc>
          <w:tcPr>
            <w:tcW w:type="dxa" w:w="26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OCC recovery-planning guidelines (App. E) rescinded</w:t>
            </w:r>
          </w:p>
        </w:tc>
        <w:tc>
          <w:tcPr>
            <w:tcW w:type="dxa" w:w="33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Final rule (91 FR doc. 2026-06281; OCC Bulletin 2026-10) removes the IDI board recovery-plan approval duty.</w:t>
            </w:r>
          </w:p>
        </w:tc>
        <w:tc>
          <w:tcPr>
            <w:tcW w:type="dxa" w:w="22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Eliminates a binding IDI board obligation (RES-03); only the SR 14-8 holding-company oversight expectation remains.</w:t>
            </w:r>
          </w:p>
        </w:tc>
      </w:tr>
      <w:tr>
        <w:tc>
          <w:tcPr>
            <w:tcW w:type="dxa" w:w="12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ongoing</w:t>
            </w:r>
          </w:p>
        </w:tc>
        <w:tc>
          <w:tcPr>
            <w:tcW w:type="dxa" w:w="26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Dodd-Frank section 956 incentive-comp — unimplemented</w:t>
            </w:r>
          </w:p>
        </w:tc>
        <w:tc>
          <w:tcPr>
            <w:tcW w:type="dxa" w:w="336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Three proposals (2011, 2016, 2024); 12 CFR part 236 reserved; FRB and SEC declined to join the 2024 reproposal.</w:t>
            </w:r>
          </w:p>
        </w:tc>
        <w:tc>
          <w:tcPr>
            <w:tcW w:type="dxa" w:w="22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No binding board incentive-comp obligation; only the 2010 guidance is operative (in the expectations inventory).</w:t>
            </w:r>
          </w:p>
        </w:tc>
      </w:tr>
      <w:tr>
        <w:tc>
          <w:tcPr>
            <w:tcW w:type="dxa" w:w="12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ongoing</w:t>
            </w:r>
          </w:p>
        </w:tc>
        <w:tc>
          <w:tcPr>
            <w:tcW w:type="dxa" w:w="26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Dodd-Frank section 165(m) early remediation — unimplemented</w:t>
            </w:r>
          </w:p>
        </w:tc>
        <w:tc>
          <w:tcPr>
            <w:tcW w:type="dxa" w:w="33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Section 165(m) directs the Fed to establish early-remediation requirements; no dedicated rule has been issued.</w:t>
            </w:r>
          </w:p>
        </w:tc>
        <w:tc>
          <w:tcPr>
            <w:tcW w:type="dxa" w:w="22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No discrete binding board early-remediation obligation in force.</w:t>
            </w:r>
          </w:p>
        </w:tc>
      </w:tr>
      <w:tr>
        <w:tc>
          <w:tcPr>
            <w:tcW w:type="dxa" w:w="12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2025-12</w:t>
            </w:r>
          </w:p>
        </w:tc>
        <w:tc>
          <w:tcPr>
            <w:tcW w:type="dxa" w:w="26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OCC Heightened Standards threshold NPRM</w:t>
            </w:r>
          </w:p>
        </w:tc>
        <w:tc>
          <w:tcPr>
            <w:tcW w:type="dxa" w:w="336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OCC Bulletin 2025-51 proposes raising the covered-bank threshold from $50B to $700B.</w:t>
            </w:r>
          </w:p>
        </w:tc>
        <w:tc>
          <w:tcPr>
            <w:tcW w:type="dxa" w:w="22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GSIB lead IDIs remain covered; signals possible softening of App. D board standards.</w:t>
            </w:r>
          </w:p>
        </w:tc>
      </w:tr>
    </w:tbl>
    <w:p>
      <w:pPr>
        <w:sectPr>
          <w:footerReference w:type="default" r:id="rId9"/>
          <w:type w:val="nextPage"/>
          <w:pgSz w:w="12240" w:h="15840" w:orient="portrait"/>
          <w:pgMar w:top="1440" w:right="1440" w:bottom="1440" w:left="1440" w:header="708" w:footer="708" w:gutter="0"/>
          <w:pgNumType/>
          <w:docGrid w:linePitch="360"/>
        </w:sectPr>
      </w:pPr>
    </w:p>
    <w:p>
      <w:pPr>
        <w:pStyle w:val="Heading1"/>
        <w:spacing w:after="160"/>
      </w:pPr>
      <w:r>
        <w:rPr>
          <w:color w:val="1F3864"/>
        </w:rPr>
        <w:t xml:space="preserve">Part II — Supervisory Expectations</w:t>
      </w:r>
    </w:p>
    <w:p>
      <w:pPr>
        <w:spacing w:after="120" w:before="0"/>
      </w:pPr>
      <w:r>
        <w:rPr>
          <w:rFonts w:ascii="Arial" w:cs="Arial" w:eastAsia="Arial" w:hAnsi="Arial"/>
          <w:sz w:val="22"/>
          <w:szCs w:val="22"/>
        </w:rPr>
        <w:t>The 153 supervisory expectations placed on GSIB boards by SR/CA letters, OCC bulletins and handbooks, FDIC and FFIEC manuals, the CFPB manual, and interagency guidance (v2.0: 149; v2.1 adds credit-risk oversight and additional consumer-compliance expectations). These shape examinations and ratings but are not, by themselves, legally binding — see each entry’s supervisory-consequence rating.</w:t>
      </w:r>
    </w:p>
    <w:p>
      <w:pPr>
        <w:pStyle w:val="Heading1"/>
      </w:pPr>
      <w:r>
        <w:t xml:space="preserve">Expectations matrix — domain × board level</w:t>
      </w:r>
    </w:p>
    <w:p>
      <w:pPr>
        <w:spacing w:after="120" w:before="0"/>
      </w:pPr>
      <w:r>
        <w:rPr>
          <w:rFonts w:ascii="Arial" w:cs="Arial" w:eastAsia="Arial" w:hAnsi="Arial"/>
          <w:i/>
          <w:iCs/>
          <w:color w:val="595959"/>
          <w:sz w:val="20"/>
          <w:szCs w:val="20"/>
        </w:rPr>
        <w:t xml:space="preserve">* = superseded/rescinded/retired; entries may appear in multiple columns where assigned to 'the board or a designated committee.'</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500"/>
        <w:gridCol w:w="1597"/>
        <w:gridCol w:w="1597"/>
        <w:gridCol w:w="1597"/>
        <w:gridCol w:w="1597"/>
        <w:gridCol w:w="1597"/>
        <w:gridCol w:w="1597"/>
        <w:gridCol w:w="1597"/>
      </w:tblGrid>
      <w:tr>
        <w:tc>
          <w:tcPr>
            <w:tcW w:type="dxa" w:w="2500"/>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Domain</w:t>
            </w:r>
          </w:p>
        </w:tc>
        <w:tc>
          <w:tcPr>
            <w:tcW w:type="dxa" w:w="1597"/>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Full board</w:t>
            </w:r>
          </w:p>
        </w:tc>
        <w:tc>
          <w:tcPr>
            <w:tcW w:type="dxa" w:w="1597"/>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Audit cmte.</w:t>
            </w:r>
          </w:p>
        </w:tc>
        <w:tc>
          <w:tcPr>
            <w:tcW w:type="dxa" w:w="1597"/>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Risk cmte.</w:t>
            </w:r>
          </w:p>
        </w:tc>
        <w:tc>
          <w:tcPr>
            <w:tcW w:type="dxa" w:w="1597"/>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Comp. cmte.</w:t>
            </w:r>
          </w:p>
        </w:tc>
        <w:tc>
          <w:tcPr>
            <w:tcW w:type="dxa" w:w="1597"/>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Nom./Gov. cmte.</w:t>
            </w:r>
          </w:p>
        </w:tc>
        <w:tc>
          <w:tcPr>
            <w:tcW w:type="dxa" w:w="1597"/>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Other cmte.</w:t>
            </w:r>
          </w:p>
        </w:tc>
        <w:tc>
          <w:tcPr>
            <w:tcW w:type="dxa" w:w="1597"/>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Director-type</w:t>
            </w:r>
          </w:p>
        </w:tc>
      </w:tr>
      <w:tr>
        <w:tc>
          <w:tcPr>
            <w:tcW w:type="dxa" w:w="2500"/>
            <w:tcBorders>
              <w:top w:val="single" w:color="BFBFBF" w:sz="1"/>
              <w:left w:val="single" w:color="BFBFBF" w:sz="1"/>
              <w:bottom w:val="single" w:color="BFBFBF" w:sz="1"/>
              <w:right w:val="single" w:color="BFBFBF" w:sz="1"/>
            </w:tcBorders>
            <w:shd w:fill="D6E0F0" w:val="clear"/>
            <w:tcMar>
              <w:top w:type="dxa" w:w="50"/>
              <w:left w:type="dxa" w:w="80"/>
              <w:bottom w:type="dxa" w:w="50"/>
              <w:right w:type="dxa" w:w="80"/>
            </w:tcMar>
          </w:tcPr>
          <w:p>
            <w:pPr>
              <w:spacing w:after="0"/>
              <w:jc w:val="left"/>
            </w:pPr>
            <w:r>
              <w:rPr>
                <w:rFonts w:ascii="Arial" w:cs="Arial" w:eastAsia="Arial" w:hAnsi="Arial"/>
                <w:b/>
                <w:bCs/>
                <w:color w:val="1F3864"/>
                <w:sz w:val="13"/>
                <w:szCs w:val="13"/>
              </w:rPr>
              <w:t xml:space="preserve">Cross-cutting governance &amp; safety-and-soundness</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GOV-01, GOV-02, GOV-03, GOV-04, GOV-05, GOV-06, GOV-07, GOV-08, GOV-09, GOV-14, GOV-15, GOV-16, GOV-17, GOV-18, GOV-19, GOV-20, GOV-21, GOV-22, GOV-23, GOV-24, GOV-25, GOV-26, GOV-27, GOV-28, GOV-29, GOV-30, GOV-31, GOV-32, GOV-33, FDR-01, FDR-02, FDR-03, FDR-04, FDR-05</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GOV-10, GOV-12, GOV-28, GOV-30, GOV-31, IAU-01, IAU-02, IAU-03</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GOV-10, GOV-11, GOV-21, GOV-27, GOV-28</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GOV-08, GOV-33</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GOV-13</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GOV-17</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GOV-05, GOV-07, GOV-23, GOV-24, GOV-25, GOV-30, GOV-33, FDR-04, SUB-01</w:t>
            </w:r>
          </w:p>
        </w:tc>
      </w:tr>
      <w:tr>
        <w:tc>
          <w:tcPr>
            <w:tcW w:type="dxa" w:w="2500"/>
            <w:tcBorders>
              <w:top w:val="single" w:color="BFBFBF" w:sz="1"/>
              <w:left w:val="single" w:color="BFBFBF" w:sz="1"/>
              <w:bottom w:val="single" w:color="BFBFBF" w:sz="1"/>
              <w:right w:val="single" w:color="BFBFBF" w:sz="1"/>
            </w:tcBorders>
            <w:shd w:fill="D6E0F0" w:val="clear"/>
            <w:tcMar>
              <w:top w:type="dxa" w:w="50"/>
              <w:left w:type="dxa" w:w="80"/>
              <w:bottom w:type="dxa" w:w="50"/>
              <w:right w:type="dxa" w:w="80"/>
            </w:tcMar>
          </w:tcPr>
          <w:p>
            <w:pPr>
              <w:spacing w:after="0"/>
              <w:jc w:val="left"/>
            </w:pPr>
            <w:r>
              <w:rPr>
                <w:rFonts w:ascii="Arial" w:cs="Arial" w:eastAsia="Arial" w:hAnsi="Arial"/>
                <w:b/>
                <w:bCs/>
                <w:color w:val="1F3864"/>
                <w:sz w:val="13"/>
                <w:szCs w:val="13"/>
              </w:rPr>
              <w:t xml:space="preserve">Board structure &amp; committee governance</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BCG-01, BCG-04, BCG-09, BCG-10, BCG-12, BCG-13, BCG-14</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BCG-02, BCG-06, BCG-14</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BCG-05</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BCG-07</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BCG-08, BCG-10</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BCG-01, BCG-03, BCG-11, BCG-12, BCG-13</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BCG-01, BCG-02, BCG-05, BCG-06, BCG-08, BCG-09, BCG-10, BCG-13, BCG-14</w:t>
            </w:r>
          </w:p>
        </w:tc>
      </w:tr>
      <w:tr>
        <w:tc>
          <w:tcPr>
            <w:tcW w:type="dxa" w:w="2500"/>
            <w:tcBorders>
              <w:top w:val="single" w:color="BFBFBF" w:sz="1"/>
              <w:left w:val="single" w:color="BFBFBF" w:sz="1"/>
              <w:bottom w:val="single" w:color="BFBFBF" w:sz="1"/>
              <w:right w:val="single" w:color="BFBFBF" w:sz="1"/>
            </w:tcBorders>
            <w:shd w:fill="D6E0F0" w:val="clear"/>
            <w:tcMar>
              <w:top w:type="dxa" w:w="50"/>
              <w:left w:type="dxa" w:w="80"/>
              <w:bottom w:type="dxa" w:w="50"/>
              <w:right w:type="dxa" w:w="80"/>
            </w:tcMar>
          </w:tcPr>
          <w:p>
            <w:pPr>
              <w:spacing w:after="0"/>
              <w:jc w:val="left"/>
            </w:pPr>
            <w:r>
              <w:rPr>
                <w:rFonts w:ascii="Arial" w:cs="Arial" w:eastAsia="Arial" w:hAnsi="Arial"/>
                <w:b/>
                <w:bCs/>
                <w:color w:val="1F3864"/>
                <w:sz w:val="13"/>
                <w:szCs w:val="13"/>
              </w:rPr>
              <w:t xml:space="preserve">Capital planning &amp; stress testing</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CAP-01, CAP-02, CAP-03, CAP-04, CAP-05, CAP-06, CAP-07, CAP-08, CAP-09, CAP-10, CAP-11*, STR-01, STR-02, STR-03, STR-04</w:t>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CAP-05, CAP-08, CAP-09, STR-03</w:t>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r>
      <w:tr>
        <w:tc>
          <w:tcPr>
            <w:tcW w:type="dxa" w:w="2500"/>
            <w:tcBorders>
              <w:top w:val="single" w:color="BFBFBF" w:sz="1"/>
              <w:left w:val="single" w:color="BFBFBF" w:sz="1"/>
              <w:bottom w:val="single" w:color="BFBFBF" w:sz="1"/>
              <w:right w:val="single" w:color="BFBFBF" w:sz="1"/>
            </w:tcBorders>
            <w:shd w:fill="D6E0F0" w:val="clear"/>
            <w:tcMar>
              <w:top w:type="dxa" w:w="50"/>
              <w:left w:type="dxa" w:w="80"/>
              <w:bottom w:type="dxa" w:w="50"/>
              <w:right w:type="dxa" w:w="80"/>
            </w:tcMar>
          </w:tcPr>
          <w:p>
            <w:pPr>
              <w:spacing w:after="0"/>
              <w:jc w:val="left"/>
            </w:pPr>
            <w:r>
              <w:rPr>
                <w:rFonts w:ascii="Arial" w:cs="Arial" w:eastAsia="Arial" w:hAnsi="Arial"/>
                <w:b/>
                <w:bCs/>
                <w:color w:val="1F3864"/>
                <w:sz w:val="13"/>
                <w:szCs w:val="13"/>
              </w:rPr>
              <w:t xml:space="preserve">Liquidity risk management</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LIQ-01, LIQ-02, LIQ-03, LIQ-05, LIQ-06, LIQ-07, LIQ-08, LIQ-09, LIQ-10, LIQ-11, LIQ-12, LIQ-13, OLQ-01, OLQ-02, OLQ-03</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OLQ-03</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LIQ-04, LIQ-05, LIQ-06, LIQ-07, LIQ-13</w:t>
            </w:r>
          </w:p>
        </w:tc>
        <w:tc>
          <w:tcPr>
            <w:tcW w:type="dxa" w:w="1597"/>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LIQ-09</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LIQ-06, LIQ-07</w:t>
            </w:r>
          </w:p>
        </w:tc>
      </w:tr>
      <w:tr>
        <w:tc>
          <w:tcPr>
            <w:tcW w:type="dxa" w:w="2500"/>
            <w:tcBorders>
              <w:top w:val="single" w:color="BFBFBF" w:sz="1"/>
              <w:left w:val="single" w:color="BFBFBF" w:sz="1"/>
              <w:bottom w:val="single" w:color="BFBFBF" w:sz="1"/>
              <w:right w:val="single" w:color="BFBFBF" w:sz="1"/>
            </w:tcBorders>
            <w:shd w:fill="D6E0F0" w:val="clear"/>
            <w:tcMar>
              <w:top w:type="dxa" w:w="50"/>
              <w:left w:type="dxa" w:w="80"/>
              <w:bottom w:type="dxa" w:w="50"/>
              <w:right w:type="dxa" w:w="80"/>
            </w:tcMar>
          </w:tcPr>
          <w:p>
            <w:pPr>
              <w:spacing w:after="0"/>
              <w:jc w:val="left"/>
            </w:pPr>
            <w:r>
              <w:rPr>
                <w:rFonts w:ascii="Arial" w:cs="Arial" w:eastAsia="Arial" w:hAnsi="Arial"/>
                <w:b/>
                <w:bCs/>
                <w:color w:val="1F3864"/>
                <w:sz w:val="13"/>
                <w:szCs w:val="13"/>
              </w:rPr>
              <w:t xml:space="preserve">Resolution planning</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RES-01, RES-02, RES-03, RES-04, RES-05</w:t>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RES-05</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RES-02</w:t>
            </w:r>
          </w:p>
        </w:tc>
      </w:tr>
      <w:tr>
        <w:tc>
          <w:tcPr>
            <w:tcW w:type="dxa" w:w="2500"/>
            <w:tcBorders>
              <w:top w:val="single" w:color="BFBFBF" w:sz="1"/>
              <w:left w:val="single" w:color="BFBFBF" w:sz="1"/>
              <w:bottom w:val="single" w:color="BFBFBF" w:sz="1"/>
              <w:right w:val="single" w:color="BFBFBF" w:sz="1"/>
            </w:tcBorders>
            <w:shd w:fill="D6E0F0" w:val="clear"/>
            <w:tcMar>
              <w:top w:type="dxa" w:w="50"/>
              <w:left w:type="dxa" w:w="80"/>
              <w:bottom w:type="dxa" w:w="50"/>
              <w:right w:type="dxa" w:w="80"/>
            </w:tcMar>
          </w:tcPr>
          <w:p>
            <w:pPr>
              <w:spacing w:after="0"/>
              <w:jc w:val="left"/>
            </w:pPr>
            <w:r>
              <w:rPr>
                <w:rFonts w:ascii="Arial" w:cs="Arial" w:eastAsia="Arial" w:hAnsi="Arial"/>
                <w:b/>
                <w:bCs/>
                <w:color w:val="1F3864"/>
                <w:sz w:val="13"/>
                <w:szCs w:val="13"/>
              </w:rPr>
              <w:t xml:space="preserve">Recovery planning</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REC-01, REC-02, REC-03, REC-04*</w:t>
            </w:r>
          </w:p>
        </w:tc>
        <w:tc>
          <w:tcPr>
            <w:tcW w:type="dxa" w:w="1597"/>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REC-02</w:t>
            </w:r>
          </w:p>
        </w:tc>
        <w:tc>
          <w:tcPr>
            <w:tcW w:type="dxa" w:w="1597"/>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r>
      <w:tr>
        <w:tc>
          <w:tcPr>
            <w:tcW w:type="dxa" w:w="2500"/>
            <w:tcBorders>
              <w:top w:val="single" w:color="BFBFBF" w:sz="1"/>
              <w:left w:val="single" w:color="BFBFBF" w:sz="1"/>
              <w:bottom w:val="single" w:color="BFBFBF" w:sz="1"/>
              <w:right w:val="single" w:color="BFBFBF" w:sz="1"/>
            </w:tcBorders>
            <w:shd w:fill="D6E0F0" w:val="clear"/>
            <w:tcMar>
              <w:top w:type="dxa" w:w="50"/>
              <w:left w:type="dxa" w:w="80"/>
              <w:bottom w:type="dxa" w:w="50"/>
              <w:right w:type="dxa" w:w="80"/>
            </w:tcMar>
          </w:tcPr>
          <w:p>
            <w:pPr>
              <w:spacing w:after="0"/>
              <w:jc w:val="left"/>
            </w:pPr>
            <w:r>
              <w:rPr>
                <w:rFonts w:ascii="Arial" w:cs="Arial" w:eastAsia="Arial" w:hAnsi="Arial"/>
                <w:b/>
                <w:bCs/>
                <w:color w:val="1F3864"/>
                <w:sz w:val="13"/>
                <w:szCs w:val="13"/>
              </w:rPr>
              <w:t xml:space="preserve">Operational resilience</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OPR-01, OPR-02, OPR-03, OPR-04, OPR-05</w:t>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OPR-05</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OPR-03</w:t>
            </w:r>
          </w:p>
        </w:tc>
      </w:tr>
      <w:tr>
        <w:tc>
          <w:tcPr>
            <w:tcW w:type="dxa" w:w="2500"/>
            <w:tcBorders>
              <w:top w:val="single" w:color="BFBFBF" w:sz="1"/>
              <w:left w:val="single" w:color="BFBFBF" w:sz="1"/>
              <w:bottom w:val="single" w:color="BFBFBF" w:sz="1"/>
              <w:right w:val="single" w:color="BFBFBF" w:sz="1"/>
            </w:tcBorders>
            <w:shd w:fill="D6E0F0" w:val="clear"/>
            <w:tcMar>
              <w:top w:type="dxa" w:w="50"/>
              <w:left w:type="dxa" w:w="80"/>
              <w:bottom w:type="dxa" w:w="50"/>
              <w:right w:type="dxa" w:w="80"/>
            </w:tcMar>
          </w:tcPr>
          <w:p>
            <w:pPr>
              <w:spacing w:after="0"/>
              <w:jc w:val="left"/>
            </w:pPr>
            <w:r>
              <w:rPr>
                <w:rFonts w:ascii="Arial" w:cs="Arial" w:eastAsia="Arial" w:hAnsi="Arial"/>
                <w:b/>
                <w:bCs/>
                <w:color w:val="1F3864"/>
                <w:sz w:val="13"/>
                <w:szCs w:val="13"/>
              </w:rPr>
              <w:t xml:space="preserve">Model risk governance</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MOD-02*</w:t>
            </w:r>
          </w:p>
        </w:tc>
        <w:tc>
          <w:tcPr>
            <w:tcW w:type="dxa" w:w="1597"/>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MOD-01</w:t>
            </w:r>
          </w:p>
        </w:tc>
      </w:tr>
      <w:tr>
        <w:tc>
          <w:tcPr>
            <w:tcW w:type="dxa" w:w="2500"/>
            <w:tcBorders>
              <w:top w:val="single" w:color="BFBFBF" w:sz="1"/>
              <w:left w:val="single" w:color="BFBFBF" w:sz="1"/>
              <w:bottom w:val="single" w:color="BFBFBF" w:sz="1"/>
              <w:right w:val="single" w:color="BFBFBF" w:sz="1"/>
            </w:tcBorders>
            <w:shd w:fill="D6E0F0" w:val="clear"/>
            <w:tcMar>
              <w:top w:type="dxa" w:w="50"/>
              <w:left w:type="dxa" w:w="80"/>
              <w:bottom w:type="dxa" w:w="50"/>
              <w:right w:type="dxa" w:w="80"/>
            </w:tcMar>
          </w:tcPr>
          <w:p>
            <w:pPr>
              <w:spacing w:after="0"/>
              <w:jc w:val="left"/>
            </w:pPr>
            <w:r>
              <w:rPr>
                <w:rFonts w:ascii="Arial" w:cs="Arial" w:eastAsia="Arial" w:hAnsi="Arial"/>
                <w:b/>
                <w:bCs/>
                <w:color w:val="1F3864"/>
                <w:sz w:val="13"/>
                <w:szCs w:val="13"/>
              </w:rPr>
              <w:t xml:space="preserve">Third-party risk management</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TPR-01, TPR-02, TPR-03, TPR-04, TPR-05, TPR-06, TPR-07</w:t>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TPR-01, TPR-02, TPR-04, TPR-06</w:t>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r>
      <w:tr>
        <w:tc>
          <w:tcPr>
            <w:tcW w:type="dxa" w:w="2500"/>
            <w:tcBorders>
              <w:top w:val="single" w:color="BFBFBF" w:sz="1"/>
              <w:left w:val="single" w:color="BFBFBF" w:sz="1"/>
              <w:bottom w:val="single" w:color="BFBFBF" w:sz="1"/>
              <w:right w:val="single" w:color="BFBFBF" w:sz="1"/>
            </w:tcBorders>
            <w:shd w:fill="D6E0F0" w:val="clear"/>
            <w:tcMar>
              <w:top w:type="dxa" w:w="50"/>
              <w:left w:type="dxa" w:w="80"/>
              <w:bottom w:type="dxa" w:w="50"/>
              <w:right w:type="dxa" w:w="80"/>
            </w:tcMar>
          </w:tcPr>
          <w:p>
            <w:pPr>
              <w:spacing w:after="0"/>
              <w:jc w:val="left"/>
            </w:pPr>
            <w:r>
              <w:rPr>
                <w:rFonts w:ascii="Arial" w:cs="Arial" w:eastAsia="Arial" w:hAnsi="Arial"/>
                <w:b/>
                <w:bCs/>
                <w:color w:val="1F3864"/>
                <w:sz w:val="13"/>
                <w:szCs w:val="13"/>
              </w:rPr>
              <w:t xml:space="preserve">Incentive compensation</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INC-01, INC-02, INC-03, INC-04, INC-05</w:t>
            </w:r>
          </w:p>
        </w:tc>
        <w:tc>
          <w:tcPr>
            <w:tcW w:type="dxa" w:w="1597"/>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INC-01, INC-02, INC-03</w:t>
            </w:r>
          </w:p>
        </w:tc>
        <w:tc>
          <w:tcPr>
            <w:tcW w:type="dxa" w:w="1597"/>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INC-05</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INC-03, INC-05</w:t>
            </w:r>
          </w:p>
        </w:tc>
      </w:tr>
      <w:tr>
        <w:tc>
          <w:tcPr>
            <w:tcW w:type="dxa" w:w="2500"/>
            <w:tcBorders>
              <w:top w:val="single" w:color="BFBFBF" w:sz="1"/>
              <w:left w:val="single" w:color="BFBFBF" w:sz="1"/>
              <w:bottom w:val="single" w:color="BFBFBF" w:sz="1"/>
              <w:right w:val="single" w:color="BFBFBF" w:sz="1"/>
            </w:tcBorders>
            <w:shd w:fill="D6E0F0" w:val="clear"/>
            <w:tcMar>
              <w:top w:type="dxa" w:w="50"/>
              <w:left w:type="dxa" w:w="80"/>
              <w:bottom w:type="dxa" w:w="50"/>
              <w:right w:type="dxa" w:w="80"/>
            </w:tcMar>
          </w:tcPr>
          <w:p>
            <w:pPr>
              <w:spacing w:after="0"/>
              <w:jc w:val="left"/>
            </w:pPr>
            <w:r>
              <w:rPr>
                <w:rFonts w:ascii="Arial" w:cs="Arial" w:eastAsia="Arial" w:hAnsi="Arial"/>
                <w:b/>
                <w:bCs/>
                <w:color w:val="1F3864"/>
                <w:sz w:val="13"/>
                <w:szCs w:val="13"/>
              </w:rPr>
              <w:t xml:space="preserve">Cybersecurity governance</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CYB-01, CYB-02, CYB-03, CYB-04, CYB-05, CYB-06, CYB-07*, CYB-08</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CYB-01</w:t>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CYB-03, CYB-04, CYB-05</w:t>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r>
      <w:tr>
        <w:tc>
          <w:tcPr>
            <w:tcW w:type="dxa" w:w="2500"/>
            <w:tcBorders>
              <w:top w:val="single" w:color="BFBFBF" w:sz="1"/>
              <w:left w:val="single" w:color="BFBFBF" w:sz="1"/>
              <w:bottom w:val="single" w:color="BFBFBF" w:sz="1"/>
              <w:right w:val="single" w:color="BFBFBF" w:sz="1"/>
            </w:tcBorders>
            <w:shd w:fill="D6E0F0" w:val="clear"/>
            <w:tcMar>
              <w:top w:type="dxa" w:w="50"/>
              <w:left w:type="dxa" w:w="80"/>
              <w:bottom w:type="dxa" w:w="50"/>
              <w:right w:type="dxa" w:w="80"/>
            </w:tcMar>
          </w:tcPr>
          <w:p>
            <w:pPr>
              <w:spacing w:after="0"/>
              <w:jc w:val="left"/>
            </w:pPr>
            <w:r>
              <w:rPr>
                <w:rFonts w:ascii="Arial" w:cs="Arial" w:eastAsia="Arial" w:hAnsi="Arial"/>
                <w:b/>
                <w:bCs/>
                <w:color w:val="1F3864"/>
                <w:sz w:val="13"/>
                <w:szCs w:val="13"/>
              </w:rPr>
              <w:t xml:space="preserve">BSA/AML program oversight</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BSA-01, BSA-02, BSA-03, BSA-04, BSA-05, BSA-06, BSA-07, BSA-08, BSA-09, BSA-10, BSA-11, BSA-12, BSA-13</w:t>
            </w:r>
          </w:p>
        </w:tc>
        <w:tc>
          <w:tcPr>
            <w:tcW w:type="dxa" w:w="1597"/>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BSA-03, BSA-06, BSA-09, BSA-12</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BSA-12</w:t>
            </w:r>
          </w:p>
        </w:tc>
      </w:tr>
      <w:tr>
        <w:tc>
          <w:tcPr>
            <w:tcW w:type="dxa" w:w="2500"/>
            <w:tcBorders>
              <w:top w:val="single" w:color="BFBFBF" w:sz="1"/>
              <w:left w:val="single" w:color="BFBFBF" w:sz="1"/>
              <w:bottom w:val="single" w:color="BFBFBF" w:sz="1"/>
              <w:right w:val="single" w:color="BFBFBF" w:sz="1"/>
            </w:tcBorders>
            <w:shd w:fill="D6E0F0" w:val="clear"/>
            <w:tcMar>
              <w:top w:type="dxa" w:w="50"/>
              <w:left w:type="dxa" w:w="80"/>
              <w:bottom w:type="dxa" w:w="50"/>
              <w:right w:type="dxa" w:w="80"/>
            </w:tcMar>
          </w:tcPr>
          <w:p>
            <w:pPr>
              <w:spacing w:after="0"/>
              <w:jc w:val="left"/>
            </w:pPr>
            <w:r>
              <w:rPr>
                <w:rFonts w:ascii="Arial" w:cs="Arial" w:eastAsia="Arial" w:hAnsi="Arial"/>
                <w:b/>
                <w:bCs/>
                <w:color w:val="1F3864"/>
                <w:sz w:val="13"/>
                <w:szCs w:val="13"/>
              </w:rPr>
              <w:t xml:space="preserve">Consumer compliance oversight</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CON-01, CON-02, CON-03, CON-04, CON-05, CON-06, CON-07, CON-08, CON-09, CON-10, CON-11, CON-13</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CON-11</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CON-06, CON-09, CON-11</w:t>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2"/>
                <w:szCs w:val="12"/>
              </w:rPr>
              <w:t xml:space="preserve"/>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CON-02, CON-07, CON-12</w:t>
            </w:r>
          </w:p>
        </w:tc>
        <w:tc>
          <w:tcPr>
            <w:tcW w:type="dxa" w:w="1597"/>
            <w:tcBorders>
              <w:top w:val="single" w:color="BFBFBF" w:sz="1"/>
              <w:left w:val="single" w:color="BFBFBF" w:sz="1"/>
              <w:bottom w:val="single" w:color="BFBFBF" w:sz="1"/>
              <w:right w:val="single" w:color="BFBFBF" w:sz="1"/>
            </w:tcBorders>
            <w:shd w:fill="E2EFDA" w:val="clear"/>
            <w:tcMar>
              <w:top w:type="dxa" w:w="50"/>
              <w:left w:type="dxa" w:w="80"/>
              <w:bottom w:type="dxa" w:w="50"/>
              <w:right w:type="dxa" w:w="80"/>
            </w:tcMar>
          </w:tcPr>
          <w:p>
            <w:pPr>
              <w:spacing w:after="0"/>
              <w:jc w:val="left"/>
            </w:pPr>
            <w:r>
              <w:rPr>
                <w:rFonts w:ascii="Arial" w:cs="Arial" w:eastAsia="Arial" w:hAnsi="Arial"/>
                <w:sz w:val="12"/>
                <w:szCs w:val="12"/>
              </w:rPr>
              <w:t xml:space="preserve">CON-03, CON-07</w:t>
            </w:r>
          </w:p>
        </w:tc>
      </w:tr>
    </w:tbl>
    <w:p>
      <w:pPr>
        <w:sectPr>
          <w:footerReference w:type="default" r:id="rId10"/>
          <w:type w:val="nextPage"/>
          <w:pgSz w:w="15840" w:h="12240" w:orient="landscape"/>
          <w:pgMar w:top="1080" w:right="1080" w:bottom="1080" w:left="1080" w:header="708" w:footer="708" w:gutter="0"/>
          <w:pgNumType/>
          <w:docGrid w:linePitch="360"/>
        </w:sectPr>
      </w:pPr>
    </w:p>
    <w:p>
      <w:pPr>
        <w:pStyle w:val="Heading1"/>
      </w:pPr>
      <w:r>
        <w:t xml:space="preserve">Expectations — detailed inventory by domain</w:t>
      </w:r>
    </w:p>
    <w:p>
      <w:pPr>
        <w:pStyle w:val="Heading2"/>
      </w:pPr>
      <w:r>
        <w:t xml:space="preserve">1. Cross-cutting governance &amp; safety-and-soundness</w:t>
      </w:r>
    </w:p>
    <w:p>
      <w:pPr>
        <w:keepNext/>
        <w:spacing w:after="16" w:before="104"/>
      </w:pPr>
      <w:r>
        <w:rPr>
          <w:rFonts w:ascii="Arial" w:cs="Arial" w:eastAsia="Arial" w:hAnsi="Arial"/>
          <w:b/>
          <w:bCs/>
          <w:color w:val="1F3864"/>
          <w:sz w:val="21"/>
          <w:szCs w:val="21"/>
        </w:rPr>
        <w:t xml:space="preserve">GOV-01  —  Full board  ·  BHC</w:t>
      </w:r>
      <w:r>
        <w:rPr>
          <w:sz w:val="2"/>
          <w:szCs w:val="2"/>
        </w:rPr>
        <w:t xml:space="preserve"/>
      </w:r>
    </w:p>
    <w:p>
      <w:pPr>
        <w:spacing w:after="24"/>
      </w:pPr>
      <w:r>
        <w:rPr>
          <w:rFonts w:ascii="Arial" w:cs="Arial" w:eastAsia="Arial" w:hAnsi="Arial"/>
          <w:sz w:val="21"/>
          <w:szCs w:val="21"/>
        </w:rPr>
        <w:t xml:space="preserve">Board oversees development of, reviews, approves, and periodically monitors the firm's strategy and risk appetite, ensuring strategy is commensurate with risk-management capacity.</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SR 21-3 / CA 21-1, Supervisory Guidance on Board of Directors' Effectiveness (Feb. 26, 2021), Attachment, Attribute 1, pp. 2-3.</w:t>
      </w:r>
      <w:r>
        <w:rPr>
          <w:rFonts w:ascii="Arial" w:cs="Arial" w:eastAsia="Arial" w:hAnsi="Arial"/>
          <w:i/>
          <w:iCs/>
          <w:color w:val="3B6FB0"/>
          <w:sz w:val="15"/>
          <w:szCs w:val="15"/>
        </w:rPr>
        <w:t xml:space="preserve"> [https://www.federalreserve.gov/supervisionreg/srletters/SR2103.htm]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Risk appetite statement  ·  Redundancy: Candidate redundancy  ·  Confidence: Medium</w:t>
      </w:r>
    </w:p>
    <w:p>
      <w:pPr>
        <w:spacing w:after="104"/>
      </w:pPr>
      <w:r>
        <w:rPr>
          <w:rFonts w:ascii="Arial" w:cs="Arial" w:eastAsia="Arial" w:hAnsi="Arial"/>
          <w:i/>
          <w:iCs/>
          <w:color w:val="595959"/>
          <w:sz w:val="17"/>
          <w:szCs w:val="17"/>
        </w:rPr>
        <w:t xml:space="preserve">Note: Applies to FRB-supervised firms &gt;=$100B; all eight GSIBs covered.</w:t>
      </w:r>
    </w:p>
    <w:p>
      <w:pPr>
        <w:keepNext/>
        <w:spacing w:after="16" w:before="104"/>
      </w:pPr>
      <w:r>
        <w:rPr>
          <w:rFonts w:ascii="Arial" w:cs="Arial" w:eastAsia="Arial" w:hAnsi="Arial"/>
          <w:b/>
          <w:bCs/>
          <w:color w:val="1F3864"/>
          <w:sz w:val="21"/>
          <w:szCs w:val="21"/>
        </w:rPr>
        <w:t xml:space="preserve">GOV-02  —  Full board  ·  BHC</w:t>
      </w:r>
      <w:r>
        <w:rPr>
          <w:sz w:val="2"/>
          <w:szCs w:val="2"/>
        </w:rPr>
        <w:t xml:space="preserve"/>
      </w:r>
    </w:p>
    <w:p>
      <w:pPr>
        <w:spacing w:after="24"/>
      </w:pPr>
      <w:r>
        <w:rPr>
          <w:rFonts w:ascii="Arial" w:cs="Arial" w:eastAsia="Arial" w:hAnsi="Arial"/>
          <w:sz w:val="21"/>
          <w:szCs w:val="21"/>
        </w:rPr>
        <w:t xml:space="preserve">Board reviews and approves significant policies/programs/plans: capital plan, recovery and resolution plans, audit plan, enterprise-wide and liquidity risk-management policies, compliance risk-management program, and compensation programs.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SR 21-3 / CA 21-1 (Feb. 26, 2021), Attachment, Attribute 1, p. 3, fns. 9-14.</w:t>
      </w:r>
      <w:r>
        <w:rPr>
          <w:rFonts w:ascii="Arial" w:cs="Arial" w:eastAsia="Arial" w:hAnsi="Arial"/>
          <w:i/>
          <w:iCs/>
          <w:color w:val="3B6FB0"/>
          <w:sz w:val="15"/>
          <w:szCs w:val="15"/>
        </w:rPr>
        <w:t xml:space="preserve"> [https://www.federalreserve.gov/supervisionreg/srletters/SR2103.htm]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Audit committee &amp; independence  ·  Redundancy: Candidate redundancy  ·  Confidence: Medium</w:t>
      </w:r>
    </w:p>
    <w:p>
      <w:pPr>
        <w:spacing w:after="104"/>
      </w:pPr>
      <w:r>
        <w:rPr>
          <w:rFonts w:ascii="Arial" w:cs="Arial" w:eastAsia="Arial" w:hAnsi="Arial"/>
          <w:i/>
          <w:iCs/>
          <w:color w:val="595959"/>
          <w:sz w:val="17"/>
          <w:szCs w:val="17"/>
        </w:rPr>
        <w:t xml:space="preserve">Note: Many of these approvals are elaborated in domain-specific guidance/rules below.</w:t>
      </w:r>
    </w:p>
    <w:p>
      <w:pPr>
        <w:keepNext/>
        <w:spacing w:after="16" w:before="104"/>
      </w:pPr>
      <w:r>
        <w:rPr>
          <w:rFonts w:ascii="Arial" w:cs="Arial" w:eastAsia="Arial" w:hAnsi="Arial"/>
          <w:b/>
          <w:bCs/>
          <w:color w:val="1F3864"/>
          <w:sz w:val="21"/>
          <w:szCs w:val="21"/>
        </w:rPr>
        <w:t xml:space="preserve">GOV-03  —  Full board  ·  BHC</w:t>
      </w:r>
      <w:r>
        <w:rPr>
          <w:sz w:val="2"/>
          <w:szCs w:val="2"/>
        </w:rPr>
        <w:t xml:space="preserve"/>
      </w:r>
    </w:p>
    <w:p>
      <w:pPr>
        <w:spacing w:after="24"/>
      </w:pPr>
      <w:r>
        <w:rPr>
          <w:rFonts w:ascii="Arial" w:cs="Arial" w:eastAsia="Arial" w:hAnsi="Arial"/>
          <w:sz w:val="21"/>
          <w:szCs w:val="21"/>
        </w:rPr>
        <w:t xml:space="preserve">Board evaluates the increased risk of expansion into a new business or jurisdiction and reviews corresponding risk-management and control enhancements (including BSA and FCPA compliance).</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SR 21-3 / CA 21-1 (Feb. 26, 2021), Attachment, Attribute 1, pp. 2-3.</w:t>
      </w:r>
      <w:r>
        <w:rPr>
          <w:rFonts w:ascii="Arial" w:cs="Arial" w:eastAsia="Arial" w:hAnsi="Arial"/>
          <w:i/>
          <w:iCs/>
          <w:color w:val="3B6FB0"/>
          <w:sz w:val="15"/>
          <w:szCs w:val="15"/>
        </w:rPr>
        <w:t xml:space="preserve"> [https://www.federalreserve.gov/supervisionreg/srletters/SR2103.htm]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Risk-governance framework / strategy  ·  Redundancy: Candidate redundancy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GOV-04  —  Full board  ·  BHC</w:t>
      </w:r>
      <w:r>
        <w:rPr>
          <w:sz w:val="2"/>
          <w:szCs w:val="2"/>
        </w:rPr>
        <w:t xml:space="preserve"/>
      </w:r>
    </w:p>
    <w:p>
      <w:pPr>
        <w:spacing w:after="24"/>
      </w:pPr>
      <w:r>
        <w:rPr>
          <w:rFonts w:ascii="Arial" w:cs="Arial" w:eastAsia="Arial" w:hAnsi="Arial"/>
          <w:sz w:val="21"/>
          <w:szCs w:val="21"/>
        </w:rPr>
        <w:t xml:space="preserve">Board directs senior management to provide timely, accurate, well-organized information sufficient in scope and detail; evaluates sufficiency and demands improvement.</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SR 21-3 / CA 21-1 (Feb. 26, 2021), Attachment, Attribute 2, pp. 3-4.</w:t>
      </w:r>
      <w:r>
        <w:rPr>
          <w:rFonts w:ascii="Arial" w:cs="Arial" w:eastAsia="Arial" w:hAnsi="Arial"/>
          <w:i/>
          <w:iCs/>
          <w:color w:val="3B6FB0"/>
          <w:sz w:val="15"/>
          <w:szCs w:val="15"/>
        </w:rPr>
        <w:t xml:space="preserve"> [https://www.federalreserve.gov/supervisionreg/srletters/SR2103.htm]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Risk-governance framework / strategy  ·  Redundancy: Candidate redundancy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GOV-05  —  Full board  ·  BHC</w:t>
      </w:r>
      <w:r>
        <w:rPr>
          <w:sz w:val="2"/>
          <w:szCs w:val="2"/>
        </w:rPr>
        <w:t xml:space="preserve"/>
      </w:r>
    </w:p>
    <w:p>
      <w:pPr>
        <w:spacing w:after="24"/>
      </w:pPr>
      <w:r>
        <w:rPr>
          <w:rFonts w:ascii="Arial" w:cs="Arial" w:eastAsia="Arial" w:hAnsi="Arial"/>
          <w:sz w:val="21"/>
          <w:szCs w:val="21"/>
        </w:rPr>
        <w:t xml:space="preserve">Independent directors, particularly the lead independent director or independent board chair and committee chairs, take an active role in setting board and committee agendas.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SR 21-3 / CA 21-1 (Feb. 26, 2021), Attachment, Attribute 2, p. 4.</w:t>
      </w:r>
      <w:r>
        <w:rPr>
          <w:rFonts w:ascii="Arial" w:cs="Arial" w:eastAsia="Arial" w:hAnsi="Arial"/>
          <w:i/>
          <w:iCs/>
          <w:color w:val="3B6FB0"/>
          <w:sz w:val="15"/>
          <w:szCs w:val="15"/>
        </w:rPr>
        <w:t xml:space="preserve"> [https://www.federalreserve.gov/supervisionreg/srletters/SR2103.htm]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Director independence (cross-cutting)  ·  Redundancy: Candidate redundancy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GOV-06  —  Full board  ·  BHC</w:t>
      </w:r>
      <w:r>
        <w:rPr>
          <w:sz w:val="2"/>
          <w:szCs w:val="2"/>
        </w:rPr>
        <w:t xml:space="preserve"/>
      </w:r>
    </w:p>
    <w:p>
      <w:pPr>
        <w:spacing w:after="24"/>
      </w:pPr>
      <w:r>
        <w:rPr>
          <w:rFonts w:ascii="Arial" w:cs="Arial" w:eastAsia="Arial" w:hAnsi="Arial"/>
          <w:sz w:val="21"/>
          <w:szCs w:val="21"/>
        </w:rPr>
        <w:t xml:space="preserve">Board oversees implementation of strategy within risk appetite; challenges management; engages in robust inquiry into emerging risks, adherence to risk appetite, and material or persistent deficiencies; reviews complaint and whistleblower reports.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SR 21-3 / CA 21-1 (Feb. 26, 2021), Attachment, Attribute 3, pp. 4-5.</w:t>
      </w:r>
      <w:r>
        <w:rPr>
          <w:rFonts w:ascii="Arial" w:cs="Arial" w:eastAsia="Arial" w:hAnsi="Arial"/>
          <w:i/>
          <w:iCs/>
          <w:color w:val="3B6FB0"/>
          <w:sz w:val="15"/>
          <w:szCs w:val="15"/>
        </w:rPr>
        <w:t xml:space="preserve"> [https://www.federalreserve.gov/supervisionreg/srletters/SR2103.htm]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Risk appetite statement  ·  Redundancy: Candidate redundancy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GOV-07  —  Full board  ·  BHC</w:t>
      </w:r>
      <w:r>
        <w:rPr>
          <w:sz w:val="2"/>
          <w:szCs w:val="2"/>
        </w:rPr>
        <w:t xml:space="preserve"/>
      </w:r>
    </w:p>
    <w:p>
      <w:pPr>
        <w:spacing w:after="24"/>
      </w:pPr>
      <w:r>
        <w:rPr>
          <w:rFonts w:ascii="Arial" w:cs="Arial" w:eastAsia="Arial" w:hAnsi="Arial"/>
          <w:sz w:val="21"/>
          <w:szCs w:val="21"/>
        </w:rPr>
        <w:t xml:space="preserve">Board has independent directors sufficiently empowered to serve as an effective check against firm executives who sit on the board (e.g., where an executive chair exists, empower a lead independent director with authority to call meetings).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SR 21-3 / CA 21-1 (Feb. 26, 2021), Attachment, Attribute 3, p. 5.</w:t>
      </w:r>
      <w:r>
        <w:rPr>
          <w:rFonts w:ascii="Arial" w:cs="Arial" w:eastAsia="Arial" w:hAnsi="Arial"/>
          <w:i/>
          <w:iCs/>
          <w:color w:val="3B6FB0"/>
          <w:sz w:val="15"/>
          <w:szCs w:val="15"/>
        </w:rPr>
        <w:t xml:space="preserve"> [https://www.federalreserve.gov/supervisionreg/srletters/SR2103.htm]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Director independence (cross-cutting)  ·  Redundancy: Candidate redundancy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GOV-08  —  Full board (compensation committee in practice)  ·  BHC</w:t>
      </w:r>
      <w:r>
        <w:rPr>
          <w:sz w:val="2"/>
          <w:szCs w:val="2"/>
        </w:rPr>
        <w:t xml:space="preserve"/>
      </w:r>
    </w:p>
    <w:p>
      <w:pPr>
        <w:spacing w:after="24"/>
      </w:pPr>
      <w:r>
        <w:rPr>
          <w:rFonts w:ascii="Arial" w:cs="Arial" w:eastAsia="Arial" w:hAnsi="Arial"/>
          <w:sz w:val="21"/>
          <w:szCs w:val="21"/>
        </w:rPr>
        <w:t xml:space="preserve">Board approves financial and nonfinancial performance objectives for the CEO and business-line executives, and nonfinancial objectives for the CRO and chief audit executive; ensures compensation discourages risk-taking inconsistent with safety and soundness.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SR 21-3 / CA 21-1 (Feb. 26, 2021), Attachment, Attribute 3, p. 5.</w:t>
      </w:r>
      <w:r>
        <w:rPr>
          <w:rFonts w:ascii="Arial" w:cs="Arial" w:eastAsia="Arial" w:hAnsi="Arial"/>
          <w:i/>
          <w:iCs/>
          <w:color w:val="3B6FB0"/>
          <w:sz w:val="15"/>
          <w:szCs w:val="15"/>
        </w:rPr>
        <w:t xml:space="preserve"> [https://www.federalreserve.gov/supervisionreg/srletters/SR2103.htm]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Audit committee &amp; independence  ·  Redundancy: Candidate redundancy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GOV-09  —  Full board  ·  BHC</w:t>
      </w:r>
      <w:r>
        <w:rPr>
          <w:sz w:val="2"/>
          <w:szCs w:val="2"/>
        </w:rPr>
        <w:t xml:space="preserve"/>
      </w:r>
    </w:p>
    <w:p>
      <w:pPr>
        <w:spacing w:after="24"/>
      </w:pPr>
      <w:r>
        <w:rPr>
          <w:rFonts w:ascii="Arial" w:cs="Arial" w:eastAsia="Arial" w:hAnsi="Arial"/>
          <w:sz w:val="21"/>
          <w:szCs w:val="21"/>
        </w:rPr>
        <w:t xml:space="preserve">Board oversees CEO succession and, depending on the firm, succession for the CRO, CAE, and other senior officials (exceeds NYSE's CEO-only requirement).</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SR 21-3 / CA 21-1 (Feb. 26, 2021), Attachment, Attribute 3, p. 5, fn. 15.</w:t>
      </w:r>
      <w:r>
        <w:rPr>
          <w:rFonts w:ascii="Arial" w:cs="Arial" w:eastAsia="Arial" w:hAnsi="Arial"/>
          <w:i/>
          <w:iCs/>
          <w:color w:val="3B6FB0"/>
          <w:sz w:val="15"/>
          <w:szCs w:val="15"/>
        </w:rPr>
        <w:t xml:space="preserve"> [https://www.federalreserve.gov/supervisionreg/srletters/SR2103.htm]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Risk-governance framework / strategy  ·  Redundancy: Candidate redundancy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GOV-10  —  Risk committee; Audit committee  ·  BHC</w:t>
      </w:r>
      <w:r>
        <w:rPr>
          <w:sz w:val="2"/>
          <w:szCs w:val="2"/>
        </w:rPr>
        <w:t xml:space="preserve"/>
      </w:r>
    </w:p>
    <w:p>
      <w:pPr>
        <w:spacing w:after="24"/>
      </w:pPr>
      <w:r>
        <w:rPr>
          <w:rFonts w:ascii="Arial" w:cs="Arial" w:eastAsia="Arial" w:hAnsi="Arial"/>
          <w:sz w:val="21"/>
          <w:szCs w:val="21"/>
        </w:rPr>
        <w:t xml:space="preserve">Through its risk and audit committees, the board assesses and supports the stature and independence of independent risk management and internal audit.</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SR 21-3 / CA 21-1 (Feb. 26, 2021), Attachment, Attribute 4, pp. 5-6.</w:t>
      </w:r>
      <w:r>
        <w:rPr>
          <w:rFonts w:ascii="Arial" w:cs="Arial" w:eastAsia="Arial" w:hAnsi="Arial"/>
          <w:i/>
          <w:iCs/>
          <w:color w:val="3B6FB0"/>
          <w:sz w:val="15"/>
          <w:szCs w:val="15"/>
        </w:rPr>
        <w:t xml:space="preserve"> [https://www.federalreserve.gov/supervisionreg/srletters/SR2103.htm]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Director independence (cross-cutting)  ·  Redundancy: Candidate redundancy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GOV-11  —  Risk committee  ·  BHC</w:t>
      </w:r>
      <w:r>
        <w:rPr>
          <w:sz w:val="2"/>
          <w:szCs w:val="2"/>
        </w:rPr>
        <w:t xml:space="preserve"/>
      </w:r>
    </w:p>
    <w:p>
      <w:pPr>
        <w:spacing w:after="24"/>
      </w:pPr>
      <w:r>
        <w:rPr>
          <w:rFonts w:ascii="Arial" w:cs="Arial" w:eastAsia="Arial" w:hAnsi="Arial"/>
          <w:sz w:val="21"/>
          <w:szCs w:val="21"/>
        </w:rPr>
        <w:t xml:space="preserve">Risk committee communicates directly with the CRO; oversees IRM budget/staffing/controls; coordinates with compliance; provides IRM direct and unrestricted access; inquires into breaches of risk appetite/limits, remediation timeliness, and audit-plan appropriateness.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SR 21-3 / CA 21-1 (Feb. 26, 2021), Attachment, Attribute 4, p. 6.</w:t>
      </w:r>
      <w:r>
        <w:rPr>
          <w:rFonts w:ascii="Arial" w:cs="Arial" w:eastAsia="Arial" w:hAnsi="Arial"/>
          <w:i/>
          <w:iCs/>
          <w:color w:val="3B6FB0"/>
          <w:sz w:val="15"/>
          <w:szCs w:val="15"/>
        </w:rPr>
        <w:t xml:space="preserve"> [https://www.federalreserve.gov/supervisionreg/srletters/SR2103.htm]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Audit committee &amp; independence  ·  Redundancy: Candidate redundancy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GOV-12  —  Audit committee  ·  BHC</w:t>
      </w:r>
      <w:r>
        <w:rPr>
          <w:sz w:val="2"/>
          <w:szCs w:val="2"/>
        </w:rPr>
        <w:t xml:space="preserve"/>
      </w:r>
    </w:p>
    <w:p>
      <w:pPr>
        <w:spacing w:after="24"/>
      </w:pPr>
      <w:r>
        <w:rPr>
          <w:rFonts w:ascii="Arial" w:cs="Arial" w:eastAsia="Arial" w:hAnsi="Arial"/>
          <w:sz w:val="21"/>
          <w:szCs w:val="21"/>
        </w:rPr>
        <w:t xml:space="preserve">Audit committee meets directly with the CAE; supports internal-audit budget and staffing; reviews status of remediation of material/persistent deficiencies from internal/external audit and supervisory findings.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SR 21-3 / CA 21-1 (Feb. 26, 2021), Attachment, Attribute 4, p. 6.</w:t>
      </w:r>
      <w:r>
        <w:rPr>
          <w:rFonts w:ascii="Arial" w:cs="Arial" w:eastAsia="Arial" w:hAnsi="Arial"/>
          <w:i/>
          <w:iCs/>
          <w:color w:val="3B6FB0"/>
          <w:sz w:val="15"/>
          <w:szCs w:val="15"/>
        </w:rPr>
        <w:t xml:space="preserve"> [https://www.federalreserve.gov/supervisionreg/srletters/SR2103.htm]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Audit committee &amp; independence  ·  Redundancy: Candidate redundancy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GOV-13  —  Nominating/Governance committee  ·  BHC</w:t>
      </w:r>
      <w:r>
        <w:rPr>
          <w:sz w:val="2"/>
          <w:szCs w:val="2"/>
        </w:rPr>
        <w:t xml:space="preserve"/>
      </w:r>
    </w:p>
    <w:p>
      <w:pPr>
        <w:spacing w:after="24"/>
      </w:pPr>
      <w:r>
        <w:rPr>
          <w:rFonts w:ascii="Arial" w:cs="Arial" w:eastAsia="Arial" w:hAnsi="Arial"/>
          <w:sz w:val="21"/>
          <w:szCs w:val="21"/>
        </w:rPr>
        <w:t xml:space="preserve">Board establishes a director-nomination process with a mix of skills and experience and considers a diverse pool of potential nominees.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SR 21-3 / CA 21-1 (Feb. 26, 2021), Attachment, Attribute 5, p. 7, fn. 19.</w:t>
      </w:r>
      <w:r>
        <w:rPr>
          <w:rFonts w:ascii="Arial" w:cs="Arial" w:eastAsia="Arial" w:hAnsi="Arial"/>
          <w:i/>
          <w:iCs/>
          <w:color w:val="3B6FB0"/>
          <w:sz w:val="15"/>
          <w:szCs w:val="15"/>
        </w:rPr>
        <w:t xml:space="preserve"> [https://www.federalreserve.gov/supervisionreg/srletters/SR2103.htm]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Risk-governance framework / strategy  ·  Redundancy: Candidate redundancy  ·  Confidence: Medium</w:t>
      </w:r>
    </w:p>
    <w:p>
      <w:pPr>
        <w:spacing w:after="104"/>
      </w:pPr>
      <w:r>
        <w:rPr>
          <w:rFonts w:ascii="Arial" w:cs="Arial" w:eastAsia="Arial" w:hAnsi="Arial"/>
          <w:i/>
          <w:iCs/>
          <w:color w:val="595959"/>
          <w:sz w:val="17"/>
          <w:szCs w:val="17"/>
        </w:rPr>
        <w:t xml:space="preserve">Note: The 'diverse pool... including women and minorities' sub-clause references the 2015 Interagency Diversity Policy Statement; most exposed element given 2025-26 federal DEI rollback, though SR 21-3 not formally amended.</w:t>
      </w:r>
    </w:p>
    <w:p>
      <w:pPr>
        <w:keepNext/>
        <w:spacing w:after="16" w:before="104"/>
      </w:pPr>
      <w:r>
        <w:rPr>
          <w:rFonts w:ascii="Arial" w:cs="Arial" w:eastAsia="Arial" w:hAnsi="Arial"/>
          <w:b/>
          <w:bCs/>
          <w:color w:val="1F3864"/>
          <w:sz w:val="21"/>
          <w:szCs w:val="21"/>
        </w:rPr>
        <w:t xml:space="preserve">GOV-14  —  Full board  ·  BHC</w:t>
      </w:r>
      <w:r>
        <w:rPr>
          <w:sz w:val="2"/>
          <w:szCs w:val="2"/>
        </w:rPr>
        <w:t xml:space="preserve"/>
      </w:r>
    </w:p>
    <w:p>
      <w:pPr>
        <w:spacing w:after="24"/>
      </w:pPr>
      <w:r>
        <w:rPr>
          <w:rFonts w:ascii="Arial" w:cs="Arial" w:eastAsia="Arial" w:hAnsi="Arial"/>
          <w:sz w:val="21"/>
          <w:szCs w:val="21"/>
        </w:rPr>
        <w:t xml:space="preserve">Board conducts an annual self-assessment of its strengths and weaknesses, including committee (risk, audit, key committees) performance, and adapts.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SR 21-3 / CA 21-1 (Feb. 26, 2021), Attachment, Attribute 5, p. 7.</w:t>
      </w:r>
      <w:r>
        <w:rPr>
          <w:rFonts w:ascii="Arial" w:cs="Arial" w:eastAsia="Arial" w:hAnsi="Arial"/>
          <w:i/>
          <w:iCs/>
          <w:color w:val="3B6FB0"/>
          <w:sz w:val="15"/>
          <w:szCs w:val="15"/>
        </w:rPr>
        <w:t xml:space="preserve"> [https://www.federalreserve.gov/supervisionreg/srletters/SR2103.htm]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Annual  ·  Cluster: Board self-assessment / effectiveness  ·  Redundancy: Candidate redundancy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GOV-15  —  Full board  ·  BHC</w:t>
      </w:r>
      <w:r>
        <w:rPr>
          <w:sz w:val="2"/>
          <w:szCs w:val="2"/>
        </w:rPr>
        <w:t xml:space="preserve"/>
      </w:r>
    </w:p>
    <w:p>
      <w:pPr>
        <w:spacing w:after="24"/>
      </w:pPr>
      <w:r>
        <w:rPr>
          <w:rFonts w:ascii="Arial" w:cs="Arial" w:eastAsia="Arial" w:hAnsi="Arial"/>
          <w:sz w:val="21"/>
          <w:szCs w:val="21"/>
        </w:rPr>
        <w:t xml:space="preserve">Board (with senior management) establishes and maintains the firm's culture, incentives, structure, and processes that promote compliance with laws, regulations, and supervisory guidance.</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SR 12-17 / CA 12-14, Consolidated Supervision Framework for Large Financial Institutions (Dec. 17, 2012; revised Oct. 1, 2025), Section A.2 (Corporate Governance), pp. 5-6.</w:t>
      </w:r>
      <w:r>
        <w:rPr>
          <w:rFonts w:ascii="Arial" w:cs="Arial" w:eastAsia="Arial" w:hAnsi="Arial"/>
          <w:i/>
          <w:iCs/>
          <w:color w:val="3B6FB0"/>
          <w:sz w:val="15"/>
          <w:szCs w:val="15"/>
        </w:rPr>
        <w:t xml:space="preserve"> [https://www.federalreserve.gov/supervisionreg/srletters/sr1217.htm]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Risk-governance framework / strategy  ·  Redundancy: Candidate redundancy  ·  Confidence: Medium</w:t>
      </w:r>
    </w:p>
    <w:p>
      <w:pPr>
        <w:spacing w:after="104"/>
      </w:pPr>
      <w:r>
        <w:rPr>
          <w:rFonts w:ascii="Arial" w:cs="Arial" w:eastAsia="Arial" w:hAnsi="Arial"/>
          <w:i/>
          <w:iCs/>
          <w:color w:val="595959"/>
          <w:sz w:val="17"/>
          <w:szCs w:val="17"/>
        </w:rPr>
        <w:t xml:space="preserve">Note: Oct. 1, 2025 revision removed all references to 'reputational risk.' Board governance duties otherwise intact.</w:t>
      </w:r>
    </w:p>
    <w:p>
      <w:pPr>
        <w:keepNext/>
        <w:spacing w:after="16" w:before="104"/>
      </w:pPr>
      <w:r>
        <w:rPr>
          <w:rFonts w:ascii="Arial" w:cs="Arial" w:eastAsia="Arial" w:hAnsi="Arial"/>
          <w:b/>
          <w:bCs/>
          <w:color w:val="1F3864"/>
          <w:sz w:val="21"/>
          <w:szCs w:val="21"/>
        </w:rPr>
        <w:t xml:space="preserve">GOV-16  —  Full board  ·  BHC</w:t>
      </w:r>
      <w:r>
        <w:rPr>
          <w:sz w:val="2"/>
          <w:szCs w:val="2"/>
        </w:rPr>
        <w:t xml:space="preserve"/>
      </w:r>
    </w:p>
    <w:p>
      <w:pPr>
        <w:spacing w:after="24"/>
      </w:pPr>
      <w:r>
        <w:rPr>
          <w:rFonts w:ascii="Arial" w:cs="Arial" w:eastAsia="Arial" w:hAnsi="Arial"/>
          <w:sz w:val="21"/>
          <w:szCs w:val="21"/>
        </w:rPr>
        <w:t xml:space="preserve">Board sets direction/oversight for revenue generation and control functions; ensures management capability; emphasizes compliance/consumer protection and management of legal risk; ensures independent and effective control functions; aligns incentives with risk appetite; ensures adequate MIS; and approves capital and liquidity goals.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SR 12-17 / CA 12-14 (rev. Oct. 1, 2025), Section A.2(a)-(f); A.1(f).</w:t>
      </w:r>
      <w:r>
        <w:rPr>
          <w:rFonts w:ascii="Arial" w:cs="Arial" w:eastAsia="Arial" w:hAnsi="Arial"/>
          <w:i/>
          <w:iCs/>
          <w:color w:val="3B6FB0"/>
          <w:sz w:val="15"/>
          <w:szCs w:val="15"/>
        </w:rPr>
        <w:t xml:space="preserve"> [https://www.federalreserve.gov/supervisionreg/srletters/sr1217.htm]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Director independence (cross-cutting)  ·  Redundancy: Candidate redundancy  ·  Confidence: Medium</w:t>
      </w:r>
    </w:p>
    <w:p>
      <w:pPr>
        <w:spacing w:after="104"/>
      </w:pPr>
      <w:r>
        <w:rPr>
          <w:rFonts w:ascii="Arial" w:cs="Arial" w:eastAsia="Arial" w:hAnsi="Arial"/>
          <w:i/>
          <w:iCs/>
          <w:color w:val="595959"/>
          <w:sz w:val="17"/>
          <w:szCs w:val="17"/>
        </w:rPr>
        <w:t xml:space="preserve">Note: Consolidates the corporate-governance expectations of A.2(a)-(f) and the capital/liquidity goal-approval of A.1(f).</w:t>
      </w:r>
    </w:p>
    <w:p>
      <w:pPr>
        <w:keepNext/>
        <w:spacing w:after="16" w:before="104"/>
      </w:pPr>
      <w:r>
        <w:rPr>
          <w:rFonts w:ascii="Arial" w:cs="Arial" w:eastAsia="Arial" w:hAnsi="Arial"/>
          <w:b/>
          <w:bCs/>
          <w:color w:val="1F3864"/>
          <w:sz w:val="21"/>
          <w:szCs w:val="21"/>
        </w:rPr>
        <w:t xml:space="preserve">GOV-17  —  Full board; committees  ·  BHC</w:t>
      </w:r>
      <w:r>
        <w:rPr>
          <w:sz w:val="2"/>
          <w:szCs w:val="2"/>
        </w:rPr>
        <w:t xml:space="preserve"/>
      </w:r>
    </w:p>
    <w:p>
      <w:pPr>
        <w:spacing w:after="24"/>
      </w:pPr>
      <w:r>
        <w:rPr>
          <w:rFonts w:ascii="Arial" w:cs="Arial" w:eastAsia="Arial" w:hAnsi="Arial"/>
          <w:sz w:val="21"/>
          <w:szCs w:val="21"/>
        </w:rPr>
        <w:t xml:space="preserve">Recovery and resolution planning are integrated into governance, independently validated, and supported by MIS reporting to the board and its committees.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SR 12-17 / CA 12-14 (rev. Oct. 1, 2025), Sections A.3(f), B.3(g).</w:t>
      </w:r>
      <w:r>
        <w:rPr>
          <w:rFonts w:ascii="Arial" w:cs="Arial" w:eastAsia="Arial" w:hAnsi="Arial"/>
          <w:i/>
          <w:iCs/>
          <w:color w:val="3B6FB0"/>
          <w:sz w:val="15"/>
          <w:szCs w:val="15"/>
        </w:rPr>
        <w:t xml:space="preserve"> [https://www.federalreserve.gov/supervisionreg/srletters/sr1217.htm]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Director independence (cross-cutting)  ·  Redundancy: Candidate redundancy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GOV-18  —  Full board  ·  BHC</w:t>
      </w:r>
      <w:r>
        <w:rPr>
          <w:sz w:val="2"/>
          <w:szCs w:val="2"/>
        </w:rPr>
        <w:t xml:space="preserve"/>
      </w:r>
    </w:p>
    <w:p>
      <w:pPr>
        <w:spacing w:after="24"/>
      </w:pPr>
      <w:r>
        <w:rPr>
          <w:rFonts w:ascii="Arial" w:cs="Arial" w:eastAsia="Arial" w:hAnsi="Arial"/>
          <w:sz w:val="21"/>
          <w:szCs w:val="21"/>
        </w:rPr>
        <w:t xml:space="preserve">Board effectiveness is a rated supervisory element: the Governance &amp; Controls component evaluates the extent to which the board exhibits the five SR 21-3 attributes. This is the supervisory enforcement vehicle for the SR 21-3 board expectations.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SR 19-3 / CA 19-2, Large Financial Institution (LFI) Rating System (Feb. 26, 2019; framework amended Nov. 5, 2025), Attachment, Governance &amp; Controls component, sec. C.3, p. 12.</w:t>
      </w:r>
      <w:r>
        <w:rPr>
          <w:rFonts w:ascii="Arial" w:cs="Arial" w:eastAsia="Arial" w:hAnsi="Arial"/>
          <w:i/>
          <w:iCs/>
          <w:color w:val="3B6FB0"/>
          <w:sz w:val="15"/>
          <w:szCs w:val="15"/>
        </w:rPr>
        <w:t xml:space="preserve"> [https://www.federalreserve.gov/supervisionreg/srletters/sr1903.htm]</w:t>
      </w:r>
    </w:p>
    <w:p>
      <w:pPr>
        <w:spacing w:after="6"/>
      </w:pPr>
      <w:r>
        <w:rPr>
          <w:rFonts w:ascii="Arial" w:cs="Arial" w:eastAsia="Arial" w:hAnsi="Arial"/>
          <w:i/>
          <w:iCs/>
          <w:color w:val="7030A0"/>
          <w:sz w:val="17"/>
          <w:szCs w:val="17"/>
        </w:rPr>
        <w:t xml:space="preserve">Legal force: Rating framework  ·  Consequence: Drives LFI Governance &amp; Controls rating  ·  Cadence: Periodic / ongoing  ·  Cluster: Risk-governance framework / strategy  ·  Redundancy: Candidate redundancy  ·  Confidence: High (web-verified)</w:t>
      </w:r>
    </w:p>
    <w:p>
      <w:pPr>
        <w:spacing w:after="104"/>
      </w:pPr>
      <w:r>
        <w:rPr>
          <w:rFonts w:ascii="Arial" w:cs="Arial" w:eastAsia="Arial" w:hAnsi="Arial"/>
          <w:i/>
          <w:iCs/>
          <w:color w:val="595959"/>
          <w:sz w:val="17"/>
          <w:szCs w:val="17"/>
        </w:rPr>
        <w:t xml:space="preserve">Note: Confirmed via FRB press release bcreg20251105 and Federal Register 90 FR 51329 (Nov. 17, 2025).</w:t>
      </w:r>
    </w:p>
    <w:p>
      <w:pPr>
        <w:keepNext/>
        <w:spacing w:after="16" w:before="104"/>
      </w:pPr>
      <w:r>
        <w:rPr>
          <w:rFonts w:ascii="Arial" w:cs="Arial" w:eastAsia="Arial" w:hAnsi="Arial"/>
          <w:b/>
          <w:bCs/>
          <w:color w:val="1F3864"/>
          <w:sz w:val="21"/>
          <w:szCs w:val="21"/>
        </w:rPr>
        <w:t xml:space="preserve">GOV-19  —  Full board (consequence framework)  ·  BHC</w:t>
      </w:r>
      <w:r>
        <w:rPr>
          <w:sz w:val="2"/>
          <w:szCs w:val="2"/>
        </w:rPr>
        <w:t xml:space="preserve"/>
      </w:r>
    </w:p>
    <w:p>
      <w:pPr>
        <w:spacing w:after="24"/>
      </w:pPr>
      <w:r>
        <w:rPr>
          <w:rFonts w:ascii="Arial" w:cs="Arial" w:eastAsia="Arial" w:hAnsi="Arial"/>
          <w:sz w:val="21"/>
          <w:szCs w:val="21"/>
        </w:rPr>
        <w:t xml:space="preserve">CONSEQUENCE CHANGE: 'ascetic principle' repealed — a single Deficient-1 rating in any component (including Governance &amp; Controls) no longer makes a firm 'not well managed'; the strong presumption of enforcement for a Deficient-1 was removed. Substantially lowers the supervisory stakes of board/governance findings.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SR 19-3 LFI framework amendment (adopted Nov. 5, 2025, 6-1), Adopting release (bcreg20251105a1), pp. 6, 10-12, 24.</w:t>
      </w:r>
      <w:r>
        <w:rPr>
          <w:rFonts w:ascii="Arial" w:cs="Arial" w:eastAsia="Arial" w:hAnsi="Arial"/>
          <w:i/>
          <w:iCs/>
          <w:color w:val="3B6FB0"/>
          <w:sz w:val="15"/>
          <w:szCs w:val="15"/>
        </w:rPr>
        <w:t xml:space="preserve"> [https://www.federalreserve.gov/supervisionreg/srletters/sr1903.htm]</w:t>
      </w:r>
    </w:p>
    <w:p>
      <w:pPr>
        <w:spacing w:after="6"/>
      </w:pPr>
      <w:r>
        <w:rPr>
          <w:rFonts w:ascii="Arial" w:cs="Arial" w:eastAsia="Arial" w:hAnsi="Arial"/>
          <w:i/>
          <w:iCs/>
          <w:color w:val="7030A0"/>
          <w:sz w:val="17"/>
          <w:szCs w:val="17"/>
        </w:rPr>
        <w:t xml:space="preserve">Legal force: Rating framework  ·  Consequence: Drives LFI Governance &amp; Controls rating  ·  Cadence: Periodic / ongoing  ·  Cluster: Risk-governance framework / strategy  ·  Redundancy: Candidate redundancy  ·  Confidence: High (web-verified)</w:t>
      </w:r>
    </w:p>
    <w:p>
      <w:pPr>
        <w:spacing w:after="104"/>
      </w:pPr>
      <w:r>
        <w:rPr>
          <w:rFonts w:ascii="Arial" w:cs="Arial" w:eastAsia="Arial" w:hAnsi="Arial"/>
          <w:i/>
          <w:iCs/>
          <w:color w:val="595959"/>
          <w:sz w:val="17"/>
          <w:szCs w:val="17"/>
        </w:rPr>
        <w:t xml:space="preserve">Note: Not a board duty per se; a material change in how board/governance deficiencies bite. Constrained where the subsidiary IDI carries a sub-satisfactory CAMELS management/composite rating.</w:t>
      </w:r>
    </w:p>
    <w:p>
      <w:pPr>
        <w:keepNext/>
        <w:spacing w:after="16" w:before="104"/>
      </w:pPr>
      <w:r>
        <w:rPr>
          <w:rFonts w:ascii="Arial" w:cs="Arial" w:eastAsia="Arial" w:hAnsi="Arial"/>
          <w:b/>
          <w:bCs/>
          <w:color w:val="1F3864"/>
          <w:sz w:val="21"/>
          <w:szCs w:val="21"/>
        </w:rPr>
        <w:t xml:space="preserve">GOV-20  —  Full board  ·  BHC</w:t>
      </w:r>
      <w:r>
        <w:rPr>
          <w:sz w:val="2"/>
          <w:szCs w:val="2"/>
        </w:rPr>
        <w:t xml:space="preserve"/>
      </w:r>
    </w:p>
    <w:p>
      <w:pPr>
        <w:spacing w:after="24"/>
      </w:pPr>
      <w:r>
        <w:rPr>
          <w:rFonts w:ascii="Arial" w:cs="Arial" w:eastAsia="Arial" w:hAnsi="Arial"/>
          <w:sz w:val="21"/>
          <w:szCs w:val="21"/>
        </w:rPr>
        <w:t xml:space="preserve">Board (with senior management) is responsible for active oversight of risk-management processes and internal controls.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SR 95-51 (SUP), Rating the Adequacy of Risk Management Processes and Internal Controls (Nov. 1995), Risk-management rating definitions.</w:t>
      </w:r>
      <w:r>
        <w:rPr>
          <w:rFonts w:ascii="Arial" w:cs="Arial" w:eastAsia="Arial" w:hAnsi="Arial"/>
          <w:i/>
          <w:iCs/>
          <w:color w:val="3B6FB0"/>
          <w:sz w:val="15"/>
          <w:szCs w:val="15"/>
        </w:rPr>
        <w:t xml:space="preserve"> [https://www.federalreserve.gov/supervisionreg/srletters/SR9551.htm]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Risk-governance framework / strategy  ·  Redundancy: Candidate redundancy  ·  Confidence: Medium</w:t>
      </w:r>
    </w:p>
    <w:p>
      <w:pPr>
        <w:spacing w:after="104"/>
      </w:pPr>
      <w:r>
        <w:rPr>
          <w:rFonts w:ascii="Arial" w:cs="Arial" w:eastAsia="Arial" w:hAnsi="Arial"/>
          <w:i/>
          <w:iCs/>
          <w:color w:val="595959"/>
          <w:sz w:val="17"/>
          <w:szCs w:val="17"/>
        </w:rPr>
        <w:t xml:space="preserve">Note: Superseded by SR 16-11 only for firms &lt;$100B; remains the operative risk-management-rating letter at &gt;=$100B (e.g., State Street Bank &amp; Trust). GSIB holding companies are rated under the LFI system.</w:t>
      </w:r>
    </w:p>
    <w:p>
      <w:pPr>
        <w:keepNext/>
        <w:spacing w:after="16" w:before="104"/>
      </w:pPr>
      <w:r>
        <w:rPr>
          <w:rFonts w:ascii="Arial" w:cs="Arial" w:eastAsia="Arial" w:hAnsi="Arial"/>
          <w:b/>
          <w:bCs/>
          <w:color w:val="1F3864"/>
          <w:sz w:val="21"/>
          <w:szCs w:val="21"/>
        </w:rPr>
        <w:t xml:space="preserve">GOV-21  —  Full board; Risk committee  ·  IDI</w:t>
      </w:r>
      <w:r>
        <w:rPr>
          <w:sz w:val="2"/>
          <w:szCs w:val="2"/>
        </w:rPr>
        <w:t xml:space="preserve"/>
      </w:r>
    </w:p>
    <w:p>
      <w:pPr>
        <w:spacing w:after="24"/>
      </w:pPr>
      <w:r>
        <w:rPr>
          <w:rFonts w:ascii="Arial" w:cs="Arial" w:eastAsia="Arial" w:hAnsi="Arial"/>
          <w:sz w:val="21"/>
          <w:szCs w:val="21"/>
        </w:rPr>
        <w:t xml:space="preserve">Board requires management to establish and implement a risk-governance framework meeting the minimum standards; board or risk committee approves significant changes and approves the risk appetite statement at least annually, and monitors compliance.</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OCC Guidelines Establishing Heightened Standards, 12 CFR part 30, Appendix D (79 FR 54545, Sept. 11, 2014; OCC Bulletin 2014-45), App. D, sec. III.A; sec. II.A, II.G.1.</w:t>
      </w:r>
      <w:r>
        <w:rPr>
          <w:rFonts w:ascii="Arial" w:cs="Arial" w:eastAsia="Arial" w:hAnsi="Arial"/>
          <w:i/>
          <w:iCs/>
          <w:color w:val="3B6FB0"/>
          <w:sz w:val="15"/>
          <w:szCs w:val="15"/>
        </w:rPr>
        <w:t xml:space="preserve"> [https://www.ecfr.gov/current/title-12/chapter-I/part-30/appendix-Appendix%20D%20to%20Part%2030]</w:t>
      </w:r>
    </w:p>
    <w:p>
      <w:pPr>
        <w:spacing w:after="6"/>
      </w:pPr>
      <w:r>
        <w:rPr>
          <w:rFonts w:ascii="Arial" w:cs="Arial" w:eastAsia="Arial" w:hAnsi="Arial"/>
          <w:i/>
          <w:iCs/>
          <w:color w:val="7030A0"/>
          <w:sz w:val="17"/>
          <w:szCs w:val="17"/>
        </w:rPr>
        <w:t xml:space="preserve">Legal force: Regulation / enforceable (cross-listed)  ·  Consequence: Enforcement + rating (rule-backed)  ·  Cadence: Annual  ·  Cluster: Risk appetite statement  ·  Redundancy: Candidate redundancy  ·  Confidence: Medium</w:t>
      </w:r>
    </w:p>
    <w:p>
      <w:pPr>
        <w:spacing w:after="104"/>
      </w:pPr>
      <w:r>
        <w:rPr>
          <w:rFonts w:ascii="Arial" w:cs="Arial" w:eastAsia="Arial" w:hAnsi="Arial"/>
          <w:i/>
          <w:iCs/>
          <w:color w:val="595959"/>
          <w:sz w:val="17"/>
          <w:szCs w:val="17"/>
        </w:rPr>
        <w:t xml:space="preserve">Note: Enforceable guideline for covered banks (currently IDIs &gt;=$50B). OCC Bulletin 2025-51 (Dec. 23, 2025) proposes raising threshold to $700B; all eight GSIB lead IDIs would remain covered. OCC also invites comment on reducing prescriptiveness.</w:t>
      </w:r>
    </w:p>
    <w:p>
      <w:pPr>
        <w:keepNext/>
        <w:spacing w:after="16" w:before="104"/>
      </w:pPr>
      <w:r>
        <w:rPr>
          <w:rFonts w:ascii="Arial" w:cs="Arial" w:eastAsia="Arial" w:hAnsi="Arial"/>
          <w:b/>
          <w:bCs/>
          <w:color w:val="1F3864"/>
          <w:sz w:val="21"/>
          <w:szCs w:val="21"/>
        </w:rPr>
        <w:t xml:space="preserve">GOV-22  —  Full board  ·  IDI</w:t>
      </w:r>
      <w:r>
        <w:rPr>
          <w:sz w:val="2"/>
          <w:szCs w:val="2"/>
        </w:rPr>
        <w:t xml:space="preserve"/>
      </w:r>
    </w:p>
    <w:p>
      <w:pPr>
        <w:spacing w:after="24"/>
      </w:pPr>
      <w:r>
        <w:rPr>
          <w:rFonts w:ascii="Arial" w:cs="Arial" w:eastAsia="Arial" w:hAnsi="Arial"/>
          <w:sz w:val="21"/>
          <w:szCs w:val="21"/>
        </w:rPr>
        <w:t xml:space="preserve">Board provides active oversight of management's risk-taking and holds management accountable; may rely on IRM and internal-audit assessments to question, challenge, and when necessary oppose management decisions that could exceed risk appetite or jeopardize safety and soundness.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OCC Heightened Standards, 12 CFR part 30, App. D, App. D, sec. III.B.</w:t>
      </w:r>
      <w:r>
        <w:rPr>
          <w:rFonts w:ascii="Arial" w:cs="Arial" w:eastAsia="Arial" w:hAnsi="Arial"/>
          <w:i/>
          <w:iCs/>
          <w:color w:val="3B6FB0"/>
          <w:sz w:val="15"/>
          <w:szCs w:val="15"/>
        </w:rPr>
        <w:t xml:space="preserve"> [https://www.ecfr.gov/current/title-12/chapter-I/part-30/appendix-Appendix%20D%20to%20Part%2030]</w:t>
      </w:r>
    </w:p>
    <w:p>
      <w:pPr>
        <w:spacing w:after="6"/>
      </w:pPr>
      <w:r>
        <w:rPr>
          <w:rFonts w:ascii="Arial" w:cs="Arial" w:eastAsia="Arial" w:hAnsi="Arial"/>
          <w:i/>
          <w:iCs/>
          <w:color w:val="7030A0"/>
          <w:sz w:val="17"/>
          <w:szCs w:val="17"/>
        </w:rPr>
        <w:t xml:space="preserve">Legal force: Regulation / enforceable (cross-listed)  ·  Consequence: Enforcement + rating (rule-backed)  ·  Cadence: Periodic / ongoing  ·  Cluster: Audit committee &amp; independence  ·  Redundancy: Candidate redundancy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GOV-23  —  Each director  ·  IDI</w:t>
      </w:r>
      <w:r>
        <w:rPr>
          <w:sz w:val="2"/>
          <w:szCs w:val="2"/>
        </w:rPr>
        <w:t xml:space="preserve"/>
      </w:r>
    </w:p>
    <w:p>
      <w:pPr>
        <w:spacing w:after="24"/>
      </w:pPr>
      <w:r>
        <w:rPr>
          <w:rFonts w:ascii="Arial" w:cs="Arial" w:eastAsia="Arial" w:hAnsi="Arial"/>
          <w:sz w:val="21"/>
          <w:szCs w:val="21"/>
        </w:rPr>
        <w:t xml:space="preserve">Each member of the board should exercise sound, independent judgment.</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OCC Heightened Standards, 12 CFR part 30, App. D, App. D, sec. III.C.</w:t>
      </w:r>
      <w:r>
        <w:rPr>
          <w:rFonts w:ascii="Arial" w:cs="Arial" w:eastAsia="Arial" w:hAnsi="Arial"/>
          <w:i/>
          <w:iCs/>
          <w:color w:val="3B6FB0"/>
          <w:sz w:val="15"/>
          <w:szCs w:val="15"/>
        </w:rPr>
        <w:t xml:space="preserve"> [https://www.ecfr.gov/current/title-12/chapter-I/part-30/appendix-Appendix%20D%20to%20Part%2030]</w:t>
      </w:r>
    </w:p>
    <w:p>
      <w:pPr>
        <w:spacing w:after="6"/>
      </w:pPr>
      <w:r>
        <w:rPr>
          <w:rFonts w:ascii="Arial" w:cs="Arial" w:eastAsia="Arial" w:hAnsi="Arial"/>
          <w:i/>
          <w:iCs/>
          <w:color w:val="7030A0"/>
          <w:sz w:val="17"/>
          <w:szCs w:val="17"/>
        </w:rPr>
        <w:t xml:space="preserve">Legal force: Regulation / enforceable (cross-listed)  ·  Consequence: Enforcement + rating (rule-backed)  ·  Cadence: Periodic / ongoing  ·  Cluster: Director independence (cross-cutting)  ·  Redundancy: Candidate redundancy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GOV-24  —  Full board (composition)  ·  IDI</w:t>
      </w:r>
      <w:r>
        <w:rPr>
          <w:sz w:val="2"/>
          <w:szCs w:val="2"/>
        </w:rPr>
        <w:t xml:space="preserve"/>
      </w:r>
    </w:p>
    <w:p>
      <w:pPr>
        <w:spacing w:after="24"/>
      </w:pPr>
      <w:r>
        <w:rPr>
          <w:rFonts w:ascii="Arial" w:cs="Arial" w:eastAsia="Arial" w:hAnsi="Arial"/>
          <w:sz w:val="21"/>
          <w:szCs w:val="21"/>
        </w:rPr>
        <w:t xml:space="preserve">Board should include at least two members who are not officers/employees of the parent or bank within the prior 3 years, not immediate family of an executive officer, and who qualify as independent under a national securities exchange's listing standards.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OCC Heightened Standards, 12 CFR part 30, App. D, App. D, sec. III.D.</w:t>
      </w:r>
      <w:r>
        <w:rPr>
          <w:rFonts w:ascii="Arial" w:cs="Arial" w:eastAsia="Arial" w:hAnsi="Arial"/>
          <w:i/>
          <w:iCs/>
          <w:color w:val="3B6FB0"/>
          <w:sz w:val="15"/>
          <w:szCs w:val="15"/>
        </w:rPr>
        <w:t xml:space="preserve"> [https://www.ecfr.gov/current/title-12/chapter-I/part-30/appendix-Appendix%20D%20to%20Part%2030]</w:t>
      </w:r>
    </w:p>
    <w:p>
      <w:pPr>
        <w:spacing w:after="6"/>
      </w:pPr>
      <w:r>
        <w:rPr>
          <w:rFonts w:ascii="Arial" w:cs="Arial" w:eastAsia="Arial" w:hAnsi="Arial"/>
          <w:i/>
          <w:iCs/>
          <w:color w:val="7030A0"/>
          <w:sz w:val="17"/>
          <w:szCs w:val="17"/>
        </w:rPr>
        <w:t xml:space="preserve">Legal force: Regulation / enforceable (cross-listed)  ·  Consequence: Enforcement + rating (rule-backed)  ·  Cadence: Periodic / ongoing  ·  Cluster: Director independence (cross-cutting)  ·  Redundancy: Candidate redundancy  ·  Confidence: Medium</w:t>
      </w:r>
    </w:p>
    <w:p>
      <w:pPr>
        <w:spacing w:after="104"/>
      </w:pPr>
      <w:r>
        <w:rPr>
          <w:rFonts w:ascii="Arial" w:cs="Arial" w:eastAsia="Arial" w:hAnsi="Arial"/>
          <w:i/>
          <w:iCs/>
          <w:color w:val="595959"/>
          <w:sz w:val="17"/>
          <w:szCs w:val="17"/>
        </w:rPr>
        <w:t xml:space="preserve">Note: Does not supersede separate FSA board-composition requirements (App. D fn. 6).</w:t>
      </w:r>
    </w:p>
    <w:p>
      <w:pPr>
        <w:keepNext/>
        <w:spacing w:after="16" w:before="104"/>
      </w:pPr>
      <w:r>
        <w:rPr>
          <w:rFonts w:ascii="Arial" w:cs="Arial" w:eastAsia="Arial" w:hAnsi="Arial"/>
          <w:b/>
          <w:bCs/>
          <w:color w:val="1F3864"/>
          <w:sz w:val="21"/>
          <w:szCs w:val="21"/>
        </w:rPr>
        <w:t xml:space="preserve">GOV-25  —  Full board  ·  IDI</w:t>
      </w:r>
      <w:r>
        <w:rPr>
          <w:sz w:val="2"/>
          <w:szCs w:val="2"/>
        </w:rPr>
        <w:t xml:space="preserve"/>
      </w:r>
    </w:p>
    <w:p>
      <w:pPr>
        <w:spacing w:after="24"/>
      </w:pPr>
      <w:r>
        <w:rPr>
          <w:rFonts w:ascii="Arial" w:cs="Arial" w:eastAsia="Arial" w:hAnsi="Arial"/>
          <w:sz w:val="21"/>
          <w:szCs w:val="21"/>
        </w:rPr>
        <w:t xml:space="preserve">Board establishes a formal, ongoing training program for all directors covering complex products/risks, applicable laws and supervisory requirements, and other topics.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OCC Heightened Standards, 12 CFR part 30, App. D, App. D, sec. III.E.</w:t>
      </w:r>
      <w:r>
        <w:rPr>
          <w:rFonts w:ascii="Arial" w:cs="Arial" w:eastAsia="Arial" w:hAnsi="Arial"/>
          <w:i/>
          <w:iCs/>
          <w:color w:val="3B6FB0"/>
          <w:sz w:val="15"/>
          <w:szCs w:val="15"/>
        </w:rPr>
        <w:t xml:space="preserve"> [https://www.ecfr.gov/current/title-12/chapter-I/part-30/appendix-Appendix%20D%20to%20Part%2030]</w:t>
      </w:r>
    </w:p>
    <w:p>
      <w:pPr>
        <w:spacing w:after="6"/>
      </w:pPr>
      <w:r>
        <w:rPr>
          <w:rFonts w:ascii="Arial" w:cs="Arial" w:eastAsia="Arial" w:hAnsi="Arial"/>
          <w:i/>
          <w:iCs/>
          <w:color w:val="7030A0"/>
          <w:sz w:val="17"/>
          <w:szCs w:val="17"/>
        </w:rPr>
        <w:t xml:space="preserve">Legal force: Regulation / enforceable (cross-listed)  ·  Consequence: Enforcement + rating (rule-backed)  ·  Cadence: Periodic / ongoing  ·  Cluster: Director training  ·  Redundancy: Candidate redundancy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GOV-26  —  Full board  ·  IDI</w:t>
      </w:r>
      <w:r>
        <w:rPr>
          <w:sz w:val="2"/>
          <w:szCs w:val="2"/>
        </w:rPr>
        <w:t xml:space="preserve"/>
      </w:r>
    </w:p>
    <w:p>
      <w:pPr>
        <w:spacing w:after="24"/>
      </w:pPr>
      <w:r>
        <w:rPr>
          <w:rFonts w:ascii="Arial" w:cs="Arial" w:eastAsia="Arial" w:hAnsi="Arial"/>
          <w:sz w:val="21"/>
          <w:szCs w:val="21"/>
        </w:rPr>
        <w:t xml:space="preserve">Board conducts an annual self-assessment of its effectiveness in meeting the Section III standards.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OCC Heightened Standards, 12 CFR part 30, App. D, App. D, sec. III.F.</w:t>
      </w:r>
      <w:r>
        <w:rPr>
          <w:rFonts w:ascii="Arial" w:cs="Arial" w:eastAsia="Arial" w:hAnsi="Arial"/>
          <w:i/>
          <w:iCs/>
          <w:color w:val="3B6FB0"/>
          <w:sz w:val="15"/>
          <w:szCs w:val="15"/>
        </w:rPr>
        <w:t xml:space="preserve"> [https://www.ecfr.gov/current/title-12/chapter-I/part-30/appendix-Appendix%20D%20to%20Part%2030]</w:t>
      </w:r>
    </w:p>
    <w:p>
      <w:pPr>
        <w:spacing w:after="6"/>
      </w:pPr>
      <w:r>
        <w:rPr>
          <w:rFonts w:ascii="Arial" w:cs="Arial" w:eastAsia="Arial" w:hAnsi="Arial"/>
          <w:i/>
          <w:iCs/>
          <w:color w:val="7030A0"/>
          <w:sz w:val="17"/>
          <w:szCs w:val="17"/>
        </w:rPr>
        <w:t xml:space="preserve">Legal force: Regulation / enforceable (cross-listed)  ·  Consequence: Enforcement + rating (rule-backed)  ·  Cadence: Annual  ·  Cluster: Board self-assessment / effectiveness  ·  Redundancy: Candidate redundancy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GOV-27  —  Full board; Risk committee  ·  IDI</w:t>
      </w:r>
      <w:r>
        <w:rPr>
          <w:sz w:val="2"/>
          <w:szCs w:val="2"/>
        </w:rPr>
        <w:t xml:space="preserve"/>
      </w:r>
    </w:p>
    <w:p>
      <w:pPr>
        <w:spacing w:after="24"/>
      </w:pPr>
      <w:r>
        <w:rPr>
          <w:rFonts w:ascii="Arial" w:cs="Arial" w:eastAsia="Arial" w:hAnsi="Arial"/>
          <w:sz w:val="21"/>
          <w:szCs w:val="21"/>
        </w:rPr>
        <w:t xml:space="preserve">Board evaluates and approves the bank's 3-year strategic plan and monitors implementation at least annually; receives IRM reporting on risk profile vs. appetite and limit compliance at least quarterly; and receives risk-limit-breach protocols and escalation.</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OCC Heightened Standards, 12 CFR part 30, App. D, App. D, secs. II.D, II.G.3, II.H.3.</w:t>
      </w:r>
      <w:r>
        <w:rPr>
          <w:rFonts w:ascii="Arial" w:cs="Arial" w:eastAsia="Arial" w:hAnsi="Arial"/>
          <w:i/>
          <w:iCs/>
          <w:color w:val="3B6FB0"/>
          <w:sz w:val="15"/>
          <w:szCs w:val="15"/>
        </w:rPr>
        <w:t xml:space="preserve"> [https://www.ecfr.gov/current/title-12/chapter-I/part-30/appendix-Appendix%20D%20to%20Part%2030]</w:t>
      </w:r>
    </w:p>
    <w:p>
      <w:pPr>
        <w:spacing w:after="6"/>
      </w:pPr>
      <w:r>
        <w:rPr>
          <w:rFonts w:ascii="Arial" w:cs="Arial" w:eastAsia="Arial" w:hAnsi="Arial"/>
          <w:i/>
          <w:iCs/>
          <w:color w:val="7030A0"/>
          <w:sz w:val="17"/>
          <w:szCs w:val="17"/>
        </w:rPr>
        <w:t xml:space="preserve">Legal force: Regulation / enforceable (cross-listed)  ·  Consequence: Enforcement + rating (rule-backed)  ·  Cadence: Annual  ·  Cluster: Risk-governance framework / strategy  ·  Redundancy: Candidate redundancy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GOV-28  —  Full board; Risk committee; Audit committee  ·  IDI</w:t>
      </w:r>
      <w:r>
        <w:rPr>
          <w:sz w:val="2"/>
          <w:szCs w:val="2"/>
        </w:rPr>
        <w:t xml:space="preserve"/>
      </w:r>
    </w:p>
    <w:p>
      <w:pPr>
        <w:spacing w:after="24"/>
      </w:pPr>
      <w:r>
        <w:rPr>
          <w:rFonts w:ascii="Arial" w:cs="Arial" w:eastAsia="Arial" w:hAnsi="Arial"/>
          <w:sz w:val="21"/>
          <w:szCs w:val="21"/>
        </w:rPr>
        <w:t xml:space="preserve">Board or appropriate committee appoints the CEO and appoints/approves the CAE and CRO(s); reviews/approves the written talent-management and succession program; risk committee approves CRO appointment/removal and compensation; audit committee approves the internal-audit charter/plans and CAE appointment/removal/compensation.</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OCC Heightened Standards, 12 CFR part 30, App. D, App. D, sec. II.L; definitions of 'independent risk management' and 'internal audit'.</w:t>
      </w:r>
      <w:r>
        <w:rPr>
          <w:rFonts w:ascii="Arial" w:cs="Arial" w:eastAsia="Arial" w:hAnsi="Arial"/>
          <w:i/>
          <w:iCs/>
          <w:color w:val="3B6FB0"/>
          <w:sz w:val="15"/>
          <w:szCs w:val="15"/>
        </w:rPr>
        <w:t xml:space="preserve"> [https://www.ecfr.gov/current/title-12/chapter-I/part-30/appendix-Appendix%20D%20to%20Part%2030]</w:t>
      </w:r>
    </w:p>
    <w:p>
      <w:pPr>
        <w:spacing w:after="6"/>
      </w:pPr>
      <w:r>
        <w:rPr>
          <w:rFonts w:ascii="Arial" w:cs="Arial" w:eastAsia="Arial" w:hAnsi="Arial"/>
          <w:i/>
          <w:iCs/>
          <w:color w:val="7030A0"/>
          <w:sz w:val="17"/>
          <w:szCs w:val="17"/>
        </w:rPr>
        <w:t xml:space="preserve">Legal force: Regulation / enforceable (cross-listed)  ·  Consequence: Enforcement + rating (rule-backed)  ·  Cadence: Event-driven  ·  Cluster: Director independence (cross-cutting)  ·  Redundancy: Candidate redundancy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GOV-29  —  Full board  ·  IDI</w:t>
      </w:r>
      <w:r>
        <w:rPr>
          <w:sz w:val="2"/>
          <w:szCs w:val="2"/>
        </w:rPr>
        <w:t xml:space="preserve"/>
      </w:r>
    </w:p>
    <w:p>
      <w:pPr>
        <w:spacing w:after="24"/>
      </w:pPr>
      <w:r>
        <w:rPr>
          <w:rFonts w:ascii="Arial" w:cs="Arial" w:eastAsia="Arial" w:hAnsi="Arial"/>
          <w:sz w:val="21"/>
          <w:szCs w:val="21"/>
        </w:rPr>
        <w:t xml:space="preserve">Board oversees management and provides organizational leadership; establishes core corporate values; creates a corporate/risk-governance framework setting strategic direction, risk culture, and risk appetite; holds management accountable — while not managing day-to-day.</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The Director's Book: Role of Directors for National Banks and Federal Savings Associations (2020); Comptroller's Handbook, 'Corporate and Risk Governance' booklet (rev. July 2019), Director's Book (OCC Bulletin 2020-97); Corporate and Risk Governance booklet.</w:t>
      </w:r>
      <w:r>
        <w:rPr>
          <w:rFonts w:ascii="Arial" w:cs="Arial" w:eastAsia="Arial" w:hAnsi="Arial"/>
          <w:i/>
          <w:iCs/>
          <w:color w:val="3B6FB0"/>
          <w:sz w:val="15"/>
          <w:szCs w:val="15"/>
        </w:rPr>
        <w:t xml:space="preserve"> [https://www.occ.gov/publications-and-resources/publications/banker-education/files/pub-directors-book.pdf]</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Risk appetite statement  ·  Redundancy: Candidate redundancy  ·  Confidence: Medium</w:t>
      </w:r>
    </w:p>
    <w:p>
      <w:pPr>
        <w:spacing w:after="104"/>
      </w:pPr>
      <w:r>
        <w:rPr>
          <w:rFonts w:ascii="Arial" w:cs="Arial" w:eastAsia="Arial" w:hAnsi="Arial"/>
          <w:i/>
          <w:iCs/>
          <w:color w:val="595959"/>
          <w:sz w:val="17"/>
          <w:szCs w:val="17"/>
        </w:rPr>
        <w:t xml:space="preserve">Note: Examiner-facing guidance for national banks/FSAs (GSIB lead IDIs).</w:t>
      </w:r>
    </w:p>
    <w:p>
      <w:pPr>
        <w:keepNext/>
        <w:spacing w:after="16" w:before="104"/>
      </w:pPr>
      <w:r>
        <w:rPr>
          <w:rFonts w:ascii="Arial" w:cs="Arial" w:eastAsia="Arial" w:hAnsi="Arial"/>
          <w:b/>
          <w:bCs/>
          <w:color w:val="1F3864"/>
          <w:sz w:val="21"/>
          <w:szCs w:val="21"/>
        </w:rPr>
        <w:t xml:space="preserve">GOV-30  —  Full board (audit committee for auditor oversight)  ·  IDI</w:t>
      </w:r>
      <w:r>
        <w:rPr>
          <w:sz w:val="2"/>
          <w:szCs w:val="2"/>
        </w:rPr>
        <w:t xml:space="preserve"/>
      </w:r>
    </w:p>
    <w:p>
      <w:pPr>
        <w:spacing w:after="24"/>
      </w:pPr>
      <w:r>
        <w:rPr>
          <w:rFonts w:ascii="Arial" w:cs="Arial" w:eastAsia="Arial" w:hAnsi="Arial"/>
          <w:sz w:val="21"/>
          <w:szCs w:val="21"/>
        </w:rPr>
        <w:t xml:space="preserve">Each director should: maintain independence and exercise independent judgment; keep informed (attend meetings, review materials/auditor findings/supervisory communications, pursue education); ensure qualified management; supervise management (establish written policies, monitor via reports, provide for independent third-party review, and heed supervisory reports); and avoid preferential transactions with insiders.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FDIC Pocket Guide for Directors; Statement Concerning the Responsibilities of Bank Directors and Officers (last updated Jan. 3, 2024), Five enumerated duties.</w:t>
      </w:r>
      <w:r>
        <w:rPr>
          <w:rFonts w:ascii="Arial" w:cs="Arial" w:eastAsia="Arial" w:hAnsi="Arial"/>
          <w:i/>
          <w:iCs/>
          <w:color w:val="BF8F00"/>
          <w:sz w:val="15"/>
          <w:szCs w:val="15"/>
        </w:rPr>
        <w:t xml:space="preserve">  [URL not captured]</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Director independence (cross-cutting)  ·  Redundancy: Candidate redundancy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GOV-31  —  Full board; Audit committee  ·  Both</w:t>
      </w:r>
      <w:r>
        <w:rPr>
          <w:sz w:val="2"/>
          <w:szCs w:val="2"/>
        </w:rPr>
        <w:t xml:space="preserve"/>
      </w:r>
    </w:p>
    <w:p>
      <w:pPr>
        <w:spacing w:after="24"/>
      </w:pPr>
      <w:r>
        <w:rPr>
          <w:rFonts w:ascii="Arial" w:cs="Arial" w:eastAsia="Arial" w:hAnsi="Arial"/>
          <w:sz w:val="21"/>
          <w:szCs w:val="21"/>
        </w:rPr>
        <w:t xml:space="preserve">Institution maintains internal controls and information systems with clear lines of authority, effective risk assessment, timely/accurate reporting, asset safeguards, and legal compliance; the audit committee or board of directors reviews the effectiveness of internal audit systems.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Interagency Guidelines Establishing Standards for Safety and Soundness, 12 CFR part 30 App. A (OCC) / part 364 App. A (FDIC) (last amended 83 FR 17742, Apr. 24, 2018), App. A, secs. II.A, II.B.7.</w:t>
      </w:r>
      <w:r>
        <w:rPr>
          <w:rFonts w:ascii="Arial" w:cs="Arial" w:eastAsia="Arial" w:hAnsi="Arial"/>
          <w:i/>
          <w:iCs/>
          <w:color w:val="3B6FB0"/>
          <w:sz w:val="15"/>
          <w:szCs w:val="15"/>
        </w:rPr>
        <w:t xml:space="preserve"> [https://www.ecfr.gov/current/title-12/chapter-I/part-30/appendix-Appendix%20A%20to%20Part%2030]</w:t>
      </w:r>
    </w:p>
    <w:p>
      <w:pPr>
        <w:spacing w:after="6"/>
      </w:pPr>
      <w:r>
        <w:rPr>
          <w:rFonts w:ascii="Arial" w:cs="Arial" w:eastAsia="Arial" w:hAnsi="Arial"/>
          <w:i/>
          <w:iCs/>
          <w:color w:val="7030A0"/>
          <w:sz w:val="17"/>
          <w:szCs w:val="17"/>
        </w:rPr>
        <w:t xml:space="preserve">Legal force: Regulation / enforceable (cross-listed)  ·  Consequence: Enforcement + rating (rule-backed)  ·  Cadence: Periodic / ongoing  ·  Cluster: Audit committee &amp; independence  ·  Redundancy: Candidate redundancy  ·  Confidence: Medium</w:t>
      </w:r>
    </w:p>
    <w:p>
      <w:pPr>
        <w:spacing w:after="104"/>
      </w:pPr>
      <w:r>
        <w:rPr>
          <w:rFonts w:ascii="Arial" w:cs="Arial" w:eastAsia="Arial" w:hAnsi="Arial"/>
          <w:i/>
          <w:iCs/>
          <w:color w:val="595959"/>
          <w:sz w:val="17"/>
          <w:szCs w:val="17"/>
        </w:rPr>
        <w:t xml:space="preserve">Note: Issued under FDI Act sec. 39.</w:t>
      </w:r>
    </w:p>
    <w:p>
      <w:pPr>
        <w:keepNext/>
        <w:spacing w:after="16" w:before="104"/>
      </w:pPr>
      <w:r>
        <w:rPr>
          <w:rFonts w:ascii="Arial" w:cs="Arial" w:eastAsia="Arial" w:hAnsi="Arial"/>
          <w:b/>
          <w:bCs/>
          <w:color w:val="1F3864"/>
          <w:sz w:val="21"/>
          <w:szCs w:val="21"/>
        </w:rPr>
        <w:t xml:space="preserve">GOV-32  —  Full board  ·  Both</w:t>
      </w:r>
      <w:r>
        <w:rPr>
          <w:sz w:val="2"/>
          <w:szCs w:val="2"/>
        </w:rPr>
        <w:t xml:space="preserve"/>
      </w:r>
    </w:p>
    <w:p>
      <w:pPr>
        <w:spacing w:after="24"/>
      </w:pPr>
      <w:r>
        <w:rPr>
          <w:rFonts w:ascii="Arial" w:cs="Arial" w:eastAsia="Arial" w:hAnsi="Arial"/>
          <w:sz w:val="21"/>
          <w:szCs w:val="21"/>
        </w:rPr>
        <w:t xml:space="preserve">Board receives appropriate communication and periodic reporting sufficient to assess credit underwriting/review, interest-rate risk, asset quality, and earnings.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Interagency Guidelines Establishing Standards for Safety and Soundness, 12 CFR part 30 App. A / part 364 App. A, App. A, secs. II.D.4, II.E.2, II.G.6, II.H.5.</w:t>
      </w:r>
      <w:r>
        <w:rPr>
          <w:rFonts w:ascii="Arial" w:cs="Arial" w:eastAsia="Arial" w:hAnsi="Arial"/>
          <w:i/>
          <w:iCs/>
          <w:color w:val="3B6FB0"/>
          <w:sz w:val="15"/>
          <w:szCs w:val="15"/>
        </w:rPr>
        <w:t xml:space="preserve"> [https://www.ecfr.gov/current/title-12/chapter-I/part-30/appendix-Appendix%20A%20to%20Part%2030]</w:t>
      </w:r>
    </w:p>
    <w:p>
      <w:pPr>
        <w:spacing w:after="6"/>
      </w:pPr>
      <w:r>
        <w:rPr>
          <w:rFonts w:ascii="Arial" w:cs="Arial" w:eastAsia="Arial" w:hAnsi="Arial"/>
          <w:i/>
          <w:iCs/>
          <w:color w:val="7030A0"/>
          <w:sz w:val="17"/>
          <w:szCs w:val="17"/>
        </w:rPr>
        <w:t xml:space="preserve">Legal force: Regulation / enforceable (cross-listed)  ·  Consequence: Enforcement + rating (rule-backed)  ·  Cadence: Periodic / ongoing  ·  Cluster: Risk-governance framework / strategy  ·  Redundancy: Candidate redundancy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GOV-33  —  Full board; Compensation committee  ·  Both</w:t>
      </w:r>
      <w:r>
        <w:rPr>
          <w:sz w:val="2"/>
          <w:szCs w:val="2"/>
        </w:rPr>
        <w:t xml:space="preserve"/>
      </w:r>
    </w:p>
    <w:p>
      <w:pPr>
        <w:spacing w:after="24"/>
      </w:pPr>
      <w:r>
        <w:rPr>
          <w:rFonts w:ascii="Arial" w:cs="Arial" w:eastAsia="Arial" w:hAnsi="Arial"/>
          <w:sz w:val="21"/>
          <w:szCs w:val="21"/>
        </w:rPr>
        <w:t xml:space="preserve">Institution maintains safeguards against excessive compensation to any executive officer, employee, director, or principal shareholder, and against compensation that could cause material financial loss.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Interagency Guidelines Establishing Standards for Safety and Soundness, 12 CFR part 30 App. A / part 364 App. A, App. A, secs. II.I, III.A-B.</w:t>
      </w:r>
      <w:r>
        <w:rPr>
          <w:rFonts w:ascii="Arial" w:cs="Arial" w:eastAsia="Arial" w:hAnsi="Arial"/>
          <w:i/>
          <w:iCs/>
          <w:color w:val="3B6FB0"/>
          <w:sz w:val="15"/>
          <w:szCs w:val="15"/>
        </w:rPr>
        <w:t xml:space="preserve"> [https://www.ecfr.gov/current/title-12/chapter-I/part-30/appendix-Appendix%20A%20to%20Part%2030]</w:t>
      </w:r>
    </w:p>
    <w:p>
      <w:pPr>
        <w:spacing w:after="6"/>
      </w:pPr>
      <w:r>
        <w:rPr>
          <w:rFonts w:ascii="Arial" w:cs="Arial" w:eastAsia="Arial" w:hAnsi="Arial"/>
          <w:i/>
          <w:iCs/>
          <w:color w:val="7030A0"/>
          <w:sz w:val="17"/>
          <w:szCs w:val="17"/>
        </w:rPr>
        <w:t xml:space="preserve">Legal force: Regulation / enforceable (cross-listed)  ·  Consequence: Enforcement + rating (rule-backed)  ·  Cadence: Periodic / ongoing  ·  Cluster: Risk-governance framework / strategy  ·  Redundancy: Candidate redundancy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IAU-01  —  Audit committee  ·  BHC</w:t>
      </w:r>
      <w:r>
        <w:rPr>
          <w:sz w:val="2"/>
          <w:szCs w:val="2"/>
        </w:rPr>
        <w:t xml:space="preserve"/>
      </w:r>
    </w:p>
    <w:p>
      <w:pPr>
        <w:spacing w:after="24"/>
      </w:pPr>
      <w:r>
        <w:rPr>
          <w:rFonts w:ascii="Arial" w:cs="Arial" w:eastAsia="Arial" w:hAnsi="Arial"/>
          <w:sz w:val="21"/>
          <w:szCs w:val="21"/>
        </w:rPr>
        <w:t xml:space="preserve">The chief audit executive should report functionally to the audit committee on the audit plan, audit findings, and the CAE's performance and compensation; the audit committee should be positioned so the board has confidence internal audit is impartial and not unduly influenced by operating management.</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SR 13-1 / CA 13-1, Supplemental Policy Statement on the Internal Audit Function and Its Outsourcing (Jan. 23, 2013), Attachment, p. (local ll. 195-217).</w:t>
      </w:r>
      <w:r>
        <w:rPr>
          <w:rFonts w:ascii="Arial" w:cs="Arial" w:eastAsia="Arial" w:hAnsi="Arial"/>
          <w:i/>
          <w:iCs/>
          <w:color w:val="3B6FB0"/>
          <w:sz w:val="15"/>
          <w:szCs w:val="15"/>
        </w:rPr>
        <w:t xml:space="preserve"> [https://www.federalreserve.gov/supervisionreg/srletters/sr1301.htm]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Audit committee &amp; independence  ·  Redundancy: Candidate redundancy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IAU-02  —  Audit committee  ·  BHC</w:t>
      </w:r>
      <w:r>
        <w:rPr>
          <w:sz w:val="2"/>
          <w:szCs w:val="2"/>
        </w:rPr>
        <w:t xml:space="preserve"/>
      </w:r>
    </w:p>
    <w:p>
      <w:pPr>
        <w:spacing w:after="24"/>
      </w:pPr>
      <w:r>
        <w:rPr>
          <w:rFonts w:ascii="Arial" w:cs="Arial" w:eastAsia="Arial" w:hAnsi="Arial"/>
          <w:sz w:val="21"/>
          <w:szCs w:val="21"/>
        </w:rPr>
        <w:t xml:space="preserve">Where the CAE reports administratively to someone other than the CEO, the audit committee should document its rationale and at least annually evaluate whether the CAE remains impartial and objective.</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SR 13-1 / CA 13-1 (Jan. 23, 2013), Attachment, p. (local ll. 209-217).</w:t>
      </w:r>
      <w:r>
        <w:rPr>
          <w:rFonts w:ascii="Arial" w:cs="Arial" w:eastAsia="Arial" w:hAnsi="Arial"/>
          <w:i/>
          <w:iCs/>
          <w:color w:val="3B6FB0"/>
          <w:sz w:val="15"/>
          <w:szCs w:val="15"/>
        </w:rPr>
        <w:t xml:space="preserve"> [https://www.federalreserve.gov/supervisionreg/srletters/sr1301.htm]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Annual  ·  Cluster: Audit committee &amp; independence  ·  Redundancy: Candidate redundancy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IAU-03  —  Audit committee  ·  BHC</w:t>
      </w:r>
      <w:r>
        <w:rPr>
          <w:sz w:val="2"/>
          <w:szCs w:val="2"/>
        </w:rPr>
        <w:t xml:space="preserve"/>
      </w:r>
    </w:p>
    <w:p>
      <w:pPr>
        <w:spacing w:after="24"/>
      </w:pPr>
      <w:r>
        <w:rPr>
          <w:rFonts w:ascii="Arial" w:cs="Arial" w:eastAsia="Arial" w:hAnsi="Arial"/>
          <w:sz w:val="21"/>
          <w:szCs w:val="21"/>
        </w:rPr>
        <w:t xml:space="preserve">Responsibility for an effective system of internal controls cannot be delegated to a third party; where internal audit is outsourced, the audit committee must maintain ownership of the function, approve all significant aspects of outsourcing arrangements, and, with the CAE, is responsible for vendor selection and retention.</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SR 13-1 / CA 13-1 (Jan. 23, 2013), Attachment, p. (local ll. 599-623).</w:t>
      </w:r>
      <w:r>
        <w:rPr>
          <w:rFonts w:ascii="Arial" w:cs="Arial" w:eastAsia="Arial" w:hAnsi="Arial"/>
          <w:i/>
          <w:iCs/>
          <w:color w:val="3B6FB0"/>
          <w:sz w:val="15"/>
          <w:szCs w:val="15"/>
        </w:rPr>
        <w:t xml:space="preserve"> [https://www.federalreserve.gov/supervisionreg/srletters/sr1301.htm]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Audit committee &amp; independence  ·  Redundancy: Candidate redundancy  ·  Confidence: Medium</w:t>
      </w:r>
    </w:p>
    <w:p>
      <w:pPr>
        <w:spacing w:after="104"/>
      </w:pPr>
      <w:r>
        <w:rPr>
          <w:rFonts w:ascii="Arial" w:cs="Arial" w:eastAsia="Arial" w:hAnsi="Arial"/>
          <w:i/>
          <w:iCs/>
          <w:color w:val="595959"/>
          <w:sz w:val="17"/>
          <w:szCs w:val="17"/>
        </w:rPr>
        <w:t xml:space="preserve">Note: Overlaps third-party risk management.</w:t>
      </w:r>
    </w:p>
    <w:p>
      <w:pPr>
        <w:keepNext/>
        <w:spacing w:after="16" w:before="104"/>
      </w:pPr>
      <w:r>
        <w:rPr>
          <w:rFonts w:ascii="Arial" w:cs="Arial" w:eastAsia="Arial" w:hAnsi="Arial"/>
          <w:b/>
          <w:bCs/>
          <w:color w:val="1F3864"/>
          <w:sz w:val="21"/>
          <w:szCs w:val="21"/>
        </w:rPr>
        <w:t xml:space="preserve">FDR-01  —  Full board  ·  IDI</w:t>
      </w:r>
      <w:r>
        <w:rPr>
          <w:sz w:val="2"/>
          <w:szCs w:val="2"/>
        </w:rPr>
        <w:t xml:space="preserve"/>
      </w:r>
    </w:p>
    <w:p>
      <w:pPr>
        <w:spacing w:after="24"/>
      </w:pPr>
      <w:r>
        <w:rPr>
          <w:rFonts w:ascii="Arial" w:cs="Arial" w:eastAsia="Arial" w:hAnsi="Arial"/>
          <w:sz w:val="21"/>
          <w:szCs w:val="21"/>
        </w:rPr>
        <w:t xml:space="preserve">The board is the source of authority and responsibility; it is responsible for sound policies and objectives, effective supervision of affairs, and the bank's welfare; the institution's continuing health depends on an informed and vigilant board.</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FDIC Risk Management Manual of Examination Policies, Management section, Management (local ll. ~11944-12024).</w:t>
      </w:r>
      <w:r>
        <w:rPr>
          <w:rFonts w:ascii="Arial" w:cs="Arial" w:eastAsia="Arial" w:hAnsi="Arial"/>
          <w:i/>
          <w:iCs/>
          <w:color w:val="3B6FB0"/>
          <w:sz w:val="15"/>
          <w:szCs w:val="15"/>
        </w:rPr>
        <w:t xml:space="preserve"> [https://www.fdic.gov/bank-examinations/risk-management-manual-examination-policies]</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Risk-governance framework / strategy  ·  Redundancy: Candidate redundancy  ·  Confidence: Medium</w:t>
      </w:r>
    </w:p>
    <w:p>
      <w:pPr>
        <w:spacing w:after="104"/>
      </w:pPr>
      <w:r>
        <w:rPr>
          <w:rFonts w:ascii="Arial" w:cs="Arial" w:eastAsia="Arial" w:hAnsi="Arial"/>
          <w:i/>
          <w:iCs/>
          <w:color w:val="595959"/>
          <w:sz w:val="17"/>
          <w:szCs w:val="17"/>
        </w:rPr>
        <w:t xml:space="preserve">Note: Current FDIC examiner manual; applies to FDIC-supervised institutions.</w:t>
      </w:r>
    </w:p>
    <w:p>
      <w:pPr>
        <w:keepNext/>
        <w:spacing w:after="16" w:before="104"/>
      </w:pPr>
      <w:r>
        <w:rPr>
          <w:rFonts w:ascii="Arial" w:cs="Arial" w:eastAsia="Arial" w:hAnsi="Arial"/>
          <w:b/>
          <w:bCs/>
          <w:color w:val="1F3864"/>
          <w:sz w:val="21"/>
          <w:szCs w:val="21"/>
        </w:rPr>
        <w:t xml:space="preserve">FDR-02  —  Full board  ·  IDI</w:t>
      </w:r>
      <w:r>
        <w:rPr>
          <w:sz w:val="2"/>
          <w:szCs w:val="2"/>
        </w:rPr>
        <w:t xml:space="preserve"/>
      </w:r>
    </w:p>
    <w:p>
      <w:pPr>
        <w:spacing w:after="24"/>
      </w:pPr>
      <w:r>
        <w:rPr>
          <w:rFonts w:ascii="Arial" w:cs="Arial" w:eastAsia="Arial" w:hAnsi="Arial"/>
          <w:sz w:val="21"/>
          <w:szCs w:val="21"/>
        </w:rPr>
        <w:t xml:space="preserve">Directors should set a clear risk appetite, strategic focus, and objectives, and give final approval to written policies covering investments, loans, funds management, capital planning, internal controls, audit, conflicts of interest, ethics, personnel, BSA, IT, trust, and consumer compliance.</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FDIC RMS Manual, Management section, Management (local ll. ~12024-12054).</w:t>
      </w:r>
      <w:r>
        <w:rPr>
          <w:rFonts w:ascii="Arial" w:cs="Arial" w:eastAsia="Arial" w:hAnsi="Arial"/>
          <w:i/>
          <w:iCs/>
          <w:color w:val="BF8F00"/>
          <w:sz w:val="15"/>
          <w:szCs w:val="15"/>
        </w:rPr>
        <w:t xml:space="preserve">  [URL not captured]</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Audit committee &amp; independence  ·  Redundancy: Candidate redundancy  ·  Confidence: Medium</w:t>
      </w:r>
    </w:p>
    <w:p>
      <w:pPr>
        <w:spacing w:after="104"/>
      </w:pPr>
      <w:r>
        <w:rPr>
          <w:rFonts w:ascii="Arial" w:cs="Arial" w:eastAsia="Arial" w:hAnsi="Arial"/>
          <w:i/>
          <w:iCs/>
          <w:color w:val="595959"/>
          <w:sz w:val="17"/>
          <w:szCs w:val="17"/>
        </w:rPr>
        <w:t xml:space="preserve">Note: Specialty-area policy list facilitating director oversight.</w:t>
      </w:r>
    </w:p>
    <w:p>
      <w:pPr>
        <w:keepNext/>
        <w:spacing w:after="16" w:before="104"/>
      </w:pPr>
      <w:r>
        <w:rPr>
          <w:rFonts w:ascii="Arial" w:cs="Arial" w:eastAsia="Arial" w:hAnsi="Arial"/>
          <w:b/>
          <w:bCs/>
          <w:color w:val="1F3864"/>
          <w:sz w:val="21"/>
          <w:szCs w:val="21"/>
        </w:rPr>
        <w:t xml:space="preserve">FDR-03  —  Full board  ·  IDI</w:t>
      </w:r>
      <w:r>
        <w:rPr>
          <w:sz w:val="2"/>
          <w:szCs w:val="2"/>
        </w:rPr>
        <w:t xml:space="preserve"/>
      </w:r>
    </w:p>
    <w:p>
      <w:pPr>
        <w:spacing w:after="24"/>
      </w:pPr>
      <w:r>
        <w:rPr>
          <w:rFonts w:ascii="Arial" w:cs="Arial" w:eastAsia="Arial" w:hAnsi="Arial"/>
          <w:sz w:val="21"/>
          <w:szCs w:val="21"/>
        </w:rPr>
        <w:t xml:space="preserve">A primary board duty is selecting and retaining competent executive officers and replacing officers who cannot meet reasonable standards; the board sets future direction through a dynamic strategic-planning process.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FDIC RMS Manual, Management section, Management (local ll. ~12073-12119).</w:t>
      </w:r>
      <w:r>
        <w:rPr>
          <w:rFonts w:ascii="Arial" w:cs="Arial" w:eastAsia="Arial" w:hAnsi="Arial"/>
          <w:i/>
          <w:iCs/>
          <w:color w:val="BF8F00"/>
          <w:sz w:val="15"/>
          <w:szCs w:val="15"/>
        </w:rPr>
        <w:t xml:space="preserve">  [URL not captured]</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Risk-governance framework / strategy  ·  Redundancy: Candidate redundancy  ·  Confidence: Medium</w:t>
      </w:r>
    </w:p>
    <w:p>
      <w:pPr>
        <w:spacing w:after="104"/>
      </w:pPr>
      <w:r>
        <w:rPr>
          <w:rFonts w:ascii="Arial" w:cs="Arial" w:eastAsia="Arial" w:hAnsi="Arial"/>
          <w:i/>
          <w:iCs/>
          <w:color w:val="595959"/>
          <w:sz w:val="17"/>
          <w:szCs w:val="17"/>
        </w:rPr>
        <w:t xml:space="preserve">Note: Aligns with FRB/OCC succession and strategy expectations.</w:t>
      </w:r>
    </w:p>
    <w:p>
      <w:pPr>
        <w:keepNext/>
        <w:spacing w:after="16" w:before="104"/>
      </w:pPr>
      <w:r>
        <w:rPr>
          <w:rFonts w:ascii="Arial" w:cs="Arial" w:eastAsia="Arial" w:hAnsi="Arial"/>
          <w:b/>
          <w:bCs/>
          <w:color w:val="1F3864"/>
          <w:sz w:val="21"/>
          <w:szCs w:val="21"/>
        </w:rPr>
        <w:t xml:space="preserve">FDR-04  —  Full board; individual directors  ·  IDI</w:t>
      </w:r>
      <w:r>
        <w:rPr>
          <w:sz w:val="2"/>
          <w:szCs w:val="2"/>
        </w:rPr>
        <w:t xml:space="preserve"/>
      </w:r>
    </w:p>
    <w:p>
      <w:pPr>
        <w:spacing w:after="24"/>
      </w:pPr>
      <w:r>
        <w:rPr>
          <w:rFonts w:ascii="Arial" w:cs="Arial" w:eastAsia="Arial" w:hAnsi="Arial"/>
          <w:sz w:val="21"/>
          <w:szCs w:val="21"/>
        </w:rPr>
        <w:t xml:space="preserve">Directors should receive relevant, accurate, concise written information at regular intervals and act on it; establish and oversee internal controls and audit; use committees and advisors without relinquishing responsibility; record dissent where appropriate; and avoid indifference or unsupervised delegation. Use of committees does not relieve the full board of fundamental responsibility.</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FDIC RMS Manual, Management section, Management (local ll. ~12170-12270).</w:t>
      </w:r>
      <w:r>
        <w:rPr>
          <w:rFonts w:ascii="Arial" w:cs="Arial" w:eastAsia="Arial" w:hAnsi="Arial"/>
          <w:i/>
          <w:iCs/>
          <w:color w:val="BF8F00"/>
          <w:sz w:val="15"/>
          <w:szCs w:val="15"/>
        </w:rPr>
        <w:t xml:space="preserve">  [URL not captured]</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Audit committee &amp; independence  ·  Redundancy: Candidate redundancy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FDR-05  —  Full board and management  ·  IDI</w:t>
      </w:r>
      <w:r>
        <w:rPr>
          <w:sz w:val="2"/>
          <w:szCs w:val="2"/>
        </w:rPr>
        <w:t xml:space="preserve"/>
      </w:r>
    </w:p>
    <w:p>
      <w:pPr>
        <w:spacing w:after="24"/>
      </w:pPr>
      <w:r>
        <w:rPr>
          <w:rFonts w:ascii="Arial" w:cs="Arial" w:eastAsia="Arial" w:hAnsi="Arial"/>
          <w:sz w:val="21"/>
          <w:szCs w:val="21"/>
        </w:rPr>
        <w:t xml:space="preserve">The CAMELS management-component rating evaluates the board's and management's ability to identify, measure, monitor, and control risks; compliance with laws; adequacy of and conformance with policies; responsiveness to examiner and auditor recommendations; and the need for board action.</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FDIC RMS Manual, Uniform Financial Institutions Rating System (CAMELS), Management component (local ll. ~1576-1607).</w:t>
      </w:r>
      <w:r>
        <w:rPr>
          <w:rFonts w:ascii="Arial" w:cs="Arial" w:eastAsia="Arial" w:hAnsi="Arial"/>
          <w:i/>
          <w:iCs/>
          <w:color w:val="BF8F00"/>
          <w:sz w:val="15"/>
          <w:szCs w:val="15"/>
        </w:rPr>
        <w:t xml:space="preserve">  [URL not captured]</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Audit committee &amp; independence  ·  Redundancy: Candidate redundancy  ·  Confidence: Medium</w:t>
      </w:r>
    </w:p>
    <w:p>
      <w:pPr>
        <w:spacing w:after="104"/>
      </w:pPr>
      <w:r>
        <w:rPr>
          <w:rFonts w:ascii="Arial" w:cs="Arial" w:eastAsia="Arial" w:hAnsi="Arial"/>
          <w:i/>
          <w:iCs/>
          <w:color w:val="595959"/>
          <w:sz w:val="17"/>
          <w:szCs w:val="17"/>
        </w:rPr>
        <w:t xml:space="preserve">Note: Rating framework that operationalizes board expectations; FFIEC proposed CAMELS revisions in 2026 (situational awareness only).</w:t>
      </w:r>
    </w:p>
    <w:p>
      <w:pPr>
        <w:keepNext/>
        <w:spacing w:after="16" w:before="104"/>
      </w:pPr>
      <w:r>
        <w:rPr>
          <w:rFonts w:ascii="Arial" w:cs="Arial" w:eastAsia="Arial" w:hAnsi="Arial"/>
          <w:b/>
          <w:bCs/>
          <w:color w:val="1F3864"/>
          <w:sz w:val="21"/>
          <w:szCs w:val="21"/>
        </w:rPr>
        <w:t xml:space="preserve">SUB-01  —  IDI (subsidiary) board  ·  IDI</w:t>
      </w:r>
      <w:r>
        <w:rPr>
          <w:sz w:val="2"/>
          <w:szCs w:val="2"/>
        </w:rPr>
        <w:t xml:space="preserve"/>
      </w:r>
    </w:p>
    <w:p>
      <w:pPr>
        <w:spacing w:after="24"/>
      </w:pPr>
      <w:r>
        <w:rPr>
          <w:rFonts w:ascii="Arial" w:cs="Arial" w:eastAsia="Arial" w:hAnsi="Arial"/>
          <w:sz w:val="21"/>
          <w:szCs w:val="21"/>
        </w:rPr>
        <w:t xml:space="preserve">The primary duty of a subsidiary bank's board is to ensure the bank operates safely and soundly; the bank's board must ensure the bank's interests are not subordinated to the parent holding company. If the holding company engages in practices that may harm the bank, the bank's board should seek modifications, dissent on the record, consider hiring independent legal counsel or an accountant, and may raise concerns with its regulators.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The Director's Book: Role of Directors for National Banks and Federal Savings Associations (2020), Corporate Governance — subsidiary bank / affiliate relationships (local ll. ~1915-1962).</w:t>
      </w:r>
      <w:r>
        <w:rPr>
          <w:rFonts w:ascii="Arial" w:cs="Arial" w:eastAsia="Arial" w:hAnsi="Arial"/>
          <w:i/>
          <w:iCs/>
          <w:color w:val="3B6FB0"/>
          <w:sz w:val="15"/>
          <w:szCs w:val="15"/>
        </w:rPr>
        <w:t xml:space="preserve"> [https://www.occ.gov/publications-and-resources/publications/banker-education/files/pub-directors-book.pdf]</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Director independence (cross-cutting)  ·  Redundancy: Candidate redundancy  ·  Confidence: Medium</w:t>
      </w:r>
    </w:p>
    <w:p>
      <w:pPr>
        <w:spacing w:after="104"/>
      </w:pPr>
      <w:r>
        <w:rPr>
          <w:rFonts w:ascii="Arial" w:cs="Arial" w:eastAsia="Arial" w:hAnsi="Arial"/>
          <w:i/>
          <w:iCs/>
          <w:color w:val="595959"/>
          <w:sz w:val="17"/>
          <w:szCs w:val="17"/>
        </w:rPr>
        <w:t xml:space="preserve">Note: Key holding-company/IDI-subsidiary tension directly relevant to GSIB group structures and interlocking boards; cross-refers to 12 USC 371c/371c-1 and Regulation W.</w:t>
      </w:r>
    </w:p>
    <w:p>
      <w:pPr>
        <w:pStyle w:val="Heading2"/>
      </w:pPr>
      <w:r>
        <w:t xml:space="preserve">2. Board structure &amp; committee governance</w:t>
      </w:r>
    </w:p>
    <w:p>
      <w:pPr>
        <w:keepNext/>
        <w:spacing w:after="16" w:before="104"/>
      </w:pPr>
      <w:r>
        <w:rPr>
          <w:rFonts w:ascii="Arial" w:cs="Arial" w:eastAsia="Arial" w:hAnsi="Arial"/>
          <w:b/>
          <w:bCs/>
          <w:color w:val="1F3864"/>
          <w:sz w:val="21"/>
          <w:szCs w:val="21"/>
        </w:rPr>
        <w:t xml:space="preserve">BCG-01  —  Executive committee; full board  ·  IDI</w:t>
      </w:r>
      <w:r>
        <w:rPr>
          <w:sz w:val="2"/>
          <w:szCs w:val="2"/>
        </w:rPr>
        <w:t xml:space="preserve"/>
      </w:r>
    </w:p>
    <w:p>
      <w:pPr>
        <w:spacing w:after="24"/>
      </w:pPr>
      <w:r>
        <w:rPr>
          <w:rFonts w:ascii="Arial" w:cs="Arial" w:eastAsia="Arial" w:hAnsi="Arial"/>
          <w:sz w:val="21"/>
          <w:szCs w:val="21"/>
        </w:rPr>
        <w:t xml:space="preserve">An executive committee may act between full-board meetings, but the full board should limit its authority and reserve extraordinary matters (e.g., mergers and acquisitions); use of an executive committee must not create a two-tiered class of directors — all directors share the same responsibilities and liabilities.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Comptroller's Handbook, Corporate and Risk Governance, v2.0, Appendix C (Common Board Committees), Appendix C — Executive committee.</w:t>
      </w:r>
      <w:r>
        <w:rPr>
          <w:rFonts w:ascii="Arial" w:cs="Arial" w:eastAsia="Arial" w:hAnsi="Arial"/>
          <w:i/>
          <w:iCs/>
          <w:color w:val="3B6FB0"/>
          <w:sz w:val="15"/>
          <w:szCs w:val="15"/>
        </w:rPr>
        <w:t xml:space="preserve"> [https://www.occ.gov/publications-and-resources/publications/comptrollers-handbook/index-comptrollers-handbook.html]</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Risk-governance framework / strategy  ·  Redundancy: Candidate redundancy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BCG-02  —  Audit committee  ·  IDI</w:t>
      </w:r>
      <w:r>
        <w:rPr>
          <w:sz w:val="2"/>
          <w:szCs w:val="2"/>
        </w:rPr>
        <w:t xml:space="preserve"/>
      </w:r>
    </w:p>
    <w:p>
      <w:pPr>
        <w:spacing w:after="24"/>
      </w:pPr>
      <w:r>
        <w:rPr>
          <w:rFonts w:ascii="Arial" w:cs="Arial" w:eastAsia="Arial" w:hAnsi="Arial"/>
          <w:sz w:val="21"/>
          <w:szCs w:val="21"/>
        </w:rPr>
        <w:t xml:space="preserve">Audit committee oversees the audit program and confirms comprehensive coverage; holds management accountable for internal controls; appoints, terminates, compensates, and oversees the chief auditor and external auditor; ensures external-auditor independence; oversees financial reporting and accounting policies; establishes whistleblower procedures; and tracks remediation of audit/regulatory deficiencies.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Comptroller's Handbook, Corporate and Risk Governance, v2.0, Appendix C, Appendix C — Audit committee.</w:t>
      </w:r>
      <w:r>
        <w:rPr>
          <w:rFonts w:ascii="Arial" w:cs="Arial" w:eastAsia="Arial" w:hAnsi="Arial"/>
          <w:i/>
          <w:iCs/>
          <w:color w:val="3B6FB0"/>
          <w:sz w:val="15"/>
          <w:szCs w:val="15"/>
        </w:rPr>
        <w:t xml:space="preserve"> [https://www.occ.gov/publications-and-resources/publications/comptrollers-handbook/index-comptrollers-handbook.html]</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Event-driven  ·  Cluster: Audit committee &amp; independence  ·  Redundancy: Candidate redundancy  ·  Confidence: Medium</w:t>
      </w:r>
    </w:p>
    <w:p>
      <w:pPr>
        <w:spacing w:after="104"/>
      </w:pPr>
      <w:r>
        <w:rPr>
          <w:rFonts w:ascii="Arial" w:cs="Arial" w:eastAsia="Arial" w:hAnsi="Arial"/>
          <w:i/>
          <w:iCs/>
          <w:color w:val="595959"/>
          <w:sz w:val="17"/>
          <w:szCs w:val="17"/>
        </w:rPr>
        <w:t xml:space="preserve">Note: Cross-refers to the Internal and External Audits booklet.</w:t>
      </w:r>
    </w:p>
    <w:p>
      <w:pPr>
        <w:keepNext/>
        <w:spacing w:after="16" w:before="104"/>
      </w:pPr>
      <w:r>
        <w:rPr>
          <w:rFonts w:ascii="Arial" w:cs="Arial" w:eastAsia="Arial" w:hAnsi="Arial"/>
          <w:b/>
          <w:bCs/>
          <w:color w:val="1F3864"/>
          <w:sz w:val="21"/>
          <w:szCs w:val="21"/>
        </w:rPr>
        <w:t xml:space="preserve">BCG-03  —  Credit committee  ·  IDI</w:t>
      </w:r>
      <w:r>
        <w:rPr>
          <w:sz w:val="2"/>
          <w:szCs w:val="2"/>
        </w:rPr>
        <w:t xml:space="preserve"/>
      </w:r>
    </w:p>
    <w:p>
      <w:pPr>
        <w:spacing w:after="24"/>
      </w:pPr>
      <w:r>
        <w:rPr>
          <w:rFonts w:ascii="Arial" w:cs="Arial" w:eastAsia="Arial" w:hAnsi="Arial"/>
          <w:sz w:val="21"/>
          <w:szCs w:val="21"/>
        </w:rPr>
        <w:t xml:space="preserve">A credit committee (where used) establishes lending strategy, credit risk appetite, and risk limits; reviews/approves lending policies and underwriting standards; approves large credits per policy; monitors portfolio performance, exceptions, and the allowance; and oversees credit-related legal/regulatory compliance.</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Comptroller's Handbook, Corporate and Risk Governance, v2.0, Appendix C, Appendix C — Credit committee.</w:t>
      </w:r>
      <w:r>
        <w:rPr>
          <w:rFonts w:ascii="Arial" w:cs="Arial" w:eastAsia="Arial" w:hAnsi="Arial"/>
          <w:i/>
          <w:iCs/>
          <w:color w:val="3B6FB0"/>
          <w:sz w:val="15"/>
          <w:szCs w:val="15"/>
        </w:rPr>
        <w:t xml:space="preserve"> [https://www.occ.gov/publications-and-resources/publications/comptrollers-handbook/index-comptrollers-handbook.html]</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Risk-governance framework / strategy  ·  Redundancy: Candidate redundancy  ·  Confidence: Medium</w:t>
      </w:r>
    </w:p>
    <w:p>
      <w:pPr>
        <w:spacing w:after="104"/>
      </w:pPr>
      <w:r>
        <w:rPr>
          <w:rFonts w:ascii="Arial" w:cs="Arial" w:eastAsia="Arial" w:hAnsi="Arial"/>
          <w:i/>
          <w:iCs/>
          <w:color w:val="595959"/>
          <w:sz w:val="17"/>
          <w:szCs w:val="17"/>
        </w:rPr>
        <w:t xml:space="preserve">Note: Relevant to GSIB IDIs with large lending books.</w:t>
      </w:r>
    </w:p>
    <w:p>
      <w:pPr>
        <w:keepNext/>
        <w:spacing w:after="16" w:before="104"/>
      </w:pPr>
      <w:r>
        <w:rPr>
          <w:rFonts w:ascii="Arial" w:cs="Arial" w:eastAsia="Arial" w:hAnsi="Arial"/>
          <w:b/>
          <w:bCs/>
          <w:color w:val="1F3864"/>
          <w:sz w:val="21"/>
          <w:szCs w:val="21"/>
        </w:rPr>
        <w:t xml:space="preserve">BCG-04  —  Board-level ALCO (if used)  ·  IDI</w:t>
      </w:r>
      <w:r>
        <w:rPr>
          <w:sz w:val="2"/>
          <w:szCs w:val="2"/>
        </w:rPr>
        <w:t xml:space="preserve"/>
      </w:r>
    </w:p>
    <w:p>
      <w:pPr>
        <w:spacing w:after="24"/>
      </w:pPr>
      <w:r>
        <w:rPr>
          <w:rFonts w:ascii="Arial" w:cs="Arial" w:eastAsia="Arial" w:hAnsi="Arial"/>
          <w:sz w:val="21"/>
          <w:szCs w:val="21"/>
        </w:rPr>
        <w:t xml:space="preserve">Where a board-level ALCO exists, it establishes asset-liability strategies, rate-risk appetites, and limits; reviews liquidity and interest-rate-risk reports; monitors the liquidity position and policy/limit compliance; and verifies adequate capital and liquidity support. In most banks the board delegates this to a senior-management committee.</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Comptroller's Handbook, Corporate and Risk Governance, v2.0, Appendix C, Appendix C — Asset-liability committee.</w:t>
      </w:r>
      <w:r>
        <w:rPr>
          <w:rFonts w:ascii="Arial" w:cs="Arial" w:eastAsia="Arial" w:hAnsi="Arial"/>
          <w:i/>
          <w:iCs/>
          <w:color w:val="3B6FB0"/>
          <w:sz w:val="15"/>
          <w:szCs w:val="15"/>
        </w:rPr>
        <w:t xml:space="preserve"> [https://www.occ.gov/publications-and-resources/publications/comptrollers-handbook/index-comptrollers-handbook.html]</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Risk-governance framework / strategy  ·  Redundancy: Candidate redundancy  ·  Confidence: Medium</w:t>
      </w:r>
    </w:p>
    <w:p>
      <w:pPr>
        <w:spacing w:after="104"/>
      </w:pPr>
      <w:r>
        <w:rPr>
          <w:rFonts w:ascii="Arial" w:cs="Arial" w:eastAsia="Arial" w:hAnsi="Arial"/>
          <w:i/>
          <w:iCs/>
          <w:color w:val="595959"/>
          <w:sz w:val="17"/>
          <w:szCs w:val="17"/>
        </w:rPr>
        <w:t xml:space="preserve">Note: FSA boards are separately required to monitor IRR and derivatives (12 CFR 163.172/.176).</w:t>
      </w:r>
    </w:p>
    <w:p>
      <w:pPr>
        <w:keepNext/>
        <w:spacing w:after="16" w:before="104"/>
      </w:pPr>
      <w:r>
        <w:rPr>
          <w:rFonts w:ascii="Arial" w:cs="Arial" w:eastAsia="Arial" w:hAnsi="Arial"/>
          <w:b/>
          <w:bCs/>
          <w:color w:val="1F3864"/>
          <w:sz w:val="21"/>
          <w:szCs w:val="21"/>
        </w:rPr>
        <w:t xml:space="preserve">BCG-05  —  Risk committee  ·  IDI</w:t>
      </w:r>
      <w:r>
        <w:rPr>
          <w:sz w:val="2"/>
          <w:szCs w:val="2"/>
        </w:rPr>
        <w:t xml:space="preserve"/>
      </w:r>
    </w:p>
    <w:p>
      <w:pPr>
        <w:spacing w:after="24"/>
      </w:pPr>
      <w:r>
        <w:rPr>
          <w:rFonts w:ascii="Arial" w:cs="Arial" w:eastAsia="Arial" w:hAnsi="Arial"/>
          <w:sz w:val="21"/>
          <w:szCs w:val="21"/>
        </w:rPr>
        <w:t xml:space="preserve">The risk committee's primary responsibility is risk oversight: defining/confirming risk appetite; confirming strategic, liquidity, and capital plans fit the risk appetite; approving limits; confirming risk infrastructure; addressing material risks; confirming independent risk management's independence; and overseeing the chief risk executive. Larger/more complex banks customarily include independent directors.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Comptroller's Handbook, Corporate and Risk Governance, v2.0, Appendix C, Appendix C — Risk committee.</w:t>
      </w:r>
      <w:r>
        <w:rPr>
          <w:rFonts w:ascii="Arial" w:cs="Arial" w:eastAsia="Arial" w:hAnsi="Arial"/>
          <w:i/>
          <w:iCs/>
          <w:color w:val="3B6FB0"/>
          <w:sz w:val="15"/>
          <w:szCs w:val="15"/>
        </w:rPr>
        <w:t xml:space="preserve"> [https://www.occ.gov/publications-and-resources/publications/comptrollers-handbook/index-comptrollers-handbook.html]</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Risk committee architecture  ·  Redundancy: Candidate redundancy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BCG-06  —  Fiduciary committee; fiduciary audit committee  ·  IDI</w:t>
      </w:r>
      <w:r>
        <w:rPr>
          <w:sz w:val="2"/>
          <w:szCs w:val="2"/>
        </w:rPr>
        <w:t xml:space="preserve"/>
      </w:r>
    </w:p>
    <w:p>
      <w:pPr>
        <w:spacing w:after="24"/>
      </w:pPr>
      <w:r>
        <w:rPr>
          <w:rFonts w:ascii="Arial" w:cs="Arial" w:eastAsia="Arial" w:hAnsi="Arial"/>
          <w:sz w:val="21"/>
          <w:szCs w:val="21"/>
        </w:rPr>
        <w:t xml:space="preserve">A bank with fiduciary (trust) powers must have a fiduciary audit committee (and typically administrative and investment fiduciary committees) overseeing audits of significant fiduciary activities, with results and actions recorded in the minutes; composition requirements are set by regulation (12 CFR 9.9 / FSA equivalents).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Comptroller's Handbook, Corporate and Risk Governance, v2.0, Appendix C, Appendix C — Fiduciary committees.</w:t>
      </w:r>
      <w:r>
        <w:rPr>
          <w:rFonts w:ascii="Arial" w:cs="Arial" w:eastAsia="Arial" w:hAnsi="Arial"/>
          <w:i/>
          <w:iCs/>
          <w:color w:val="3B6FB0"/>
          <w:sz w:val="15"/>
          <w:szCs w:val="15"/>
        </w:rPr>
        <w:t xml:space="preserve"> [https://www.occ.gov/publications-and-resources/publications/comptrollers-handbook/index-comptrollers-handbook.html]</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Audit committee &amp; independence  ·  Redundancy: Candidate redundancy  ·  Confidence: Medium</w:t>
      </w:r>
    </w:p>
    <w:p>
      <w:pPr>
        <w:spacing w:after="104"/>
      </w:pPr>
      <w:r>
        <w:rPr>
          <w:rFonts w:ascii="Arial" w:cs="Arial" w:eastAsia="Arial" w:hAnsi="Arial"/>
          <w:i/>
          <w:iCs/>
          <w:color w:val="595959"/>
          <w:sz w:val="17"/>
          <w:szCs w:val="17"/>
        </w:rPr>
        <w:t xml:space="preserve">Note: Relevant to GSIB IDIs with trust/asset-servicing businesses (e.g., BNY, State Street).</w:t>
      </w:r>
    </w:p>
    <w:p>
      <w:pPr>
        <w:keepNext/>
        <w:spacing w:after="16" w:before="104"/>
      </w:pPr>
      <w:r>
        <w:rPr>
          <w:rFonts w:ascii="Arial" w:cs="Arial" w:eastAsia="Arial" w:hAnsi="Arial"/>
          <w:b/>
          <w:bCs/>
          <w:color w:val="1F3864"/>
          <w:sz w:val="21"/>
          <w:szCs w:val="21"/>
        </w:rPr>
        <w:t xml:space="preserve">BCG-07  —  Compensation committee  ·  IDI</w:t>
      </w:r>
      <w:r>
        <w:rPr>
          <w:sz w:val="2"/>
          <w:szCs w:val="2"/>
        </w:rPr>
        <w:t xml:space="preserve"/>
      </w:r>
    </w:p>
    <w:p>
      <w:pPr>
        <w:spacing w:after="24"/>
      </w:pPr>
      <w:r>
        <w:rPr>
          <w:rFonts w:ascii="Arial" w:cs="Arial" w:eastAsia="Arial" w:hAnsi="Arial"/>
          <w:sz w:val="21"/>
          <w:szCs w:val="21"/>
        </w:rPr>
        <w:t xml:space="preserve">A compensation committee oversees the design and implementation of incentive-compensation arrangements; reviews/recommends director and committee fee structures; works closely with the risk and audit committees to confirm alignment with strategy and risk appetite; understands all compensation/benefits arrangements; and reports periodically to the full board.</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Comptroller's Handbook, Corporate and Risk Governance, v2.0, Appendix C, Appendix C — Compensation committee.</w:t>
      </w:r>
      <w:r>
        <w:rPr>
          <w:rFonts w:ascii="Arial" w:cs="Arial" w:eastAsia="Arial" w:hAnsi="Arial"/>
          <w:i/>
          <w:iCs/>
          <w:color w:val="3B6FB0"/>
          <w:sz w:val="15"/>
          <w:szCs w:val="15"/>
        </w:rPr>
        <w:t xml:space="preserve"> [https://www.occ.gov/publications-and-resources/publications/comptrollers-handbook/index-comptrollers-handbook.html]</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Audit committee &amp; independence  ·  Redundancy: Candidate redundancy  ·  Confidence: Medium</w:t>
      </w:r>
    </w:p>
    <w:p>
      <w:pPr>
        <w:spacing w:after="104"/>
      </w:pPr>
      <w:r>
        <w:rPr>
          <w:rFonts w:ascii="Arial" w:cs="Arial" w:eastAsia="Arial" w:hAnsi="Arial"/>
          <w:i/>
          <w:iCs/>
          <w:color w:val="595959"/>
          <w:sz w:val="17"/>
          <w:szCs w:val="17"/>
        </w:rPr>
        <w:t xml:space="preserve">Note: Overlaps the 2010 incentive-comp guidance and OCC Heightened Standards comp/talent standards.</w:t>
      </w:r>
    </w:p>
    <w:p>
      <w:pPr>
        <w:keepNext/>
        <w:spacing w:after="16" w:before="104"/>
      </w:pPr>
      <w:r>
        <w:rPr>
          <w:rFonts w:ascii="Arial" w:cs="Arial" w:eastAsia="Arial" w:hAnsi="Arial"/>
          <w:b/>
          <w:bCs/>
          <w:color w:val="1F3864"/>
          <w:sz w:val="21"/>
          <w:szCs w:val="21"/>
        </w:rPr>
        <w:t xml:space="preserve">BCG-08  —  Corporate governance/nominating committee  ·  IDI</w:t>
      </w:r>
      <w:r>
        <w:rPr>
          <w:sz w:val="2"/>
          <w:szCs w:val="2"/>
        </w:rPr>
        <w:t xml:space="preserve"/>
      </w:r>
    </w:p>
    <w:p>
      <w:pPr>
        <w:spacing w:after="24"/>
      </w:pPr>
      <w:r>
        <w:rPr>
          <w:rFonts w:ascii="Arial" w:cs="Arial" w:eastAsia="Arial" w:hAnsi="Arial"/>
          <w:sz w:val="21"/>
          <w:szCs w:val="21"/>
        </w:rPr>
        <w:t xml:space="preserve">The corporate governance/nominating committee establishes criteria and qualifications (including independence) for board and committee membership; recommends nominees; assesses current directors; oversees governance practices, director education, self-assessments, tenure, and shareholder communications; and, where there is no compensation committee, the director-compensation policy.</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Comptroller's Handbook, Corporate and Risk Governance, v2.0, Appendix C, Appendix C — Corporate governance/nominating committee.</w:t>
      </w:r>
      <w:r>
        <w:rPr>
          <w:rFonts w:ascii="Arial" w:cs="Arial" w:eastAsia="Arial" w:hAnsi="Arial"/>
          <w:i/>
          <w:iCs/>
          <w:color w:val="3B6FB0"/>
          <w:sz w:val="15"/>
          <w:szCs w:val="15"/>
        </w:rPr>
        <w:t xml:space="preserve"> [https://www.occ.gov/publications-and-resources/publications/comptrollers-handbook/index-comptrollers-handbook.html]</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Incentive compensation  ·  Redundancy: Candidate redundancy  ·  Confidence: Medium</w:t>
      </w:r>
    </w:p>
    <w:p>
      <w:pPr>
        <w:spacing w:after="104"/>
      </w:pPr>
      <w:r>
        <w:rPr>
          <w:rFonts w:ascii="Arial" w:cs="Arial" w:eastAsia="Arial" w:hAnsi="Arial"/>
          <w:i/>
          <w:iCs/>
          <w:color w:val="595959"/>
          <w:sz w:val="17"/>
          <w:szCs w:val="17"/>
        </w:rPr>
        <w:t xml:space="preserve">Note: Directly responsive to the nominating/governance-committee dimension.</w:t>
      </w:r>
    </w:p>
    <w:p>
      <w:pPr>
        <w:keepNext/>
        <w:spacing w:after="16" w:before="104"/>
      </w:pPr>
      <w:r>
        <w:rPr>
          <w:rFonts w:ascii="Arial" w:cs="Arial" w:eastAsia="Arial" w:hAnsi="Arial"/>
          <w:b/>
          <w:bCs/>
          <w:color w:val="1F3864"/>
          <w:sz w:val="21"/>
          <w:szCs w:val="21"/>
        </w:rPr>
        <w:t xml:space="preserve">BCG-09  —  Full board; independent chair / lead director  ·  IDI</w:t>
      </w:r>
      <w:r>
        <w:rPr>
          <w:sz w:val="2"/>
          <w:szCs w:val="2"/>
        </w:rPr>
        <w:t xml:space="preserve"/>
      </w:r>
    </w:p>
    <w:p>
      <w:pPr>
        <w:spacing w:after="24"/>
      </w:pPr>
      <w:r>
        <w:rPr>
          <w:rFonts w:ascii="Arial" w:cs="Arial" w:eastAsia="Arial" w:hAnsi="Arial"/>
          <w:sz w:val="21"/>
          <w:szCs w:val="21"/>
        </w:rPr>
        <w:t xml:space="preserve">Board determines its leadership structure; the chair should promote candid dialogue and independent deliberation; where the CEO and chair are the same person, the board may appoint an independent lead director with a defined role.</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Comptroller's Handbook, Corporate and Risk Governance, v2.0; The Director's Book (2020), Board Leadership (CRG); Director's Book Board Structure.</w:t>
      </w:r>
      <w:r>
        <w:rPr>
          <w:rFonts w:ascii="Arial" w:cs="Arial" w:eastAsia="Arial" w:hAnsi="Arial"/>
          <w:i/>
          <w:iCs/>
          <w:color w:val="3B6FB0"/>
          <w:sz w:val="15"/>
          <w:szCs w:val="15"/>
        </w:rPr>
        <w:t xml:space="preserve"> [https://www.occ.gov/publications-and-resources/publications/banker-education/files/pub-directors-book.pdf]</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Event-driven  ·  Cluster: Risk-governance framework / strategy  ·  Redundancy: Candidate redundancy  ·  Confidence: Medium</w:t>
      </w:r>
    </w:p>
    <w:p>
      <w:pPr>
        <w:spacing w:after="104"/>
      </w:pPr>
      <w:r>
        <w:rPr>
          <w:rFonts w:ascii="Arial" w:cs="Arial" w:eastAsia="Arial" w:hAnsi="Arial"/>
          <w:i/>
          <w:iCs/>
          <w:color w:val="595959"/>
          <w:sz w:val="17"/>
          <w:szCs w:val="17"/>
        </w:rPr>
        <w:t xml:space="preserve">Note: Parallels SR 21-3 lead-independent-director expectation.</w:t>
      </w:r>
    </w:p>
    <w:p>
      <w:pPr>
        <w:keepNext/>
        <w:spacing w:after="16" w:before="104"/>
      </w:pPr>
      <w:r>
        <w:rPr>
          <w:rFonts w:ascii="Arial" w:cs="Arial" w:eastAsia="Arial" w:hAnsi="Arial"/>
          <w:b/>
          <w:bCs/>
          <w:color w:val="1F3864"/>
          <w:sz w:val="21"/>
          <w:szCs w:val="21"/>
        </w:rPr>
        <w:t xml:space="preserve">BCG-10  —  Full board or nominating committee  ·  IDI</w:t>
      </w:r>
      <w:r>
        <w:rPr>
          <w:sz w:val="2"/>
          <w:szCs w:val="2"/>
        </w:rPr>
        <w:t xml:space="preserve"/>
      </w:r>
    </w:p>
    <w:p>
      <w:pPr>
        <w:spacing w:after="24"/>
      </w:pPr>
      <w:r>
        <w:rPr>
          <w:rFonts w:ascii="Arial" w:cs="Arial" w:eastAsia="Arial" w:hAnsi="Arial"/>
          <w:sz w:val="21"/>
          <w:szCs w:val="21"/>
        </w:rPr>
        <w:t xml:space="preserve">Board (or nominating committee) establishes a process to identify, assess, and select director candidates considering knowledge, skills, experience, conflicts, time commitment, integrity, and background checks; inside directors should not exert undue influence over board-member selection.</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Comptroller's Handbook, Corporate and Risk Governance, v2.0; The Director's Book (2020), Director Nomination and Selection.</w:t>
      </w:r>
      <w:r>
        <w:rPr>
          <w:rFonts w:ascii="Arial" w:cs="Arial" w:eastAsia="Arial" w:hAnsi="Arial"/>
          <w:i/>
          <w:iCs/>
          <w:color w:val="3B6FB0"/>
          <w:sz w:val="15"/>
          <w:szCs w:val="15"/>
        </w:rPr>
        <w:t xml:space="preserve"> [https://www.occ.gov/publications-and-resources/publications/banker-education/files/pub-directors-book.pdf]</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Risk-governance framework / strategy  ·  Redundancy: Candidate redundancy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BCG-11  —  Board or designated committee  ·  IDI</w:t>
      </w:r>
      <w:r>
        <w:rPr>
          <w:sz w:val="2"/>
          <w:szCs w:val="2"/>
        </w:rPr>
        <w:t xml:space="preserve"/>
      </w:r>
    </w:p>
    <w:p>
      <w:pPr>
        <w:spacing w:after="24"/>
      </w:pPr>
      <w:r>
        <w:rPr>
          <w:rFonts w:ascii="Arial" w:cs="Arial" w:eastAsia="Arial" w:hAnsi="Arial"/>
          <w:sz w:val="21"/>
          <w:szCs w:val="21"/>
        </w:rPr>
        <w:t xml:space="preserve">Board or designated committee sets and periodically reevaluates director compensation; compensation should attract qualified directors but not be excessive or cause material financial loss.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Comptroller's Handbook, Corporate and Risk Governance, v2.0, Director Compensation.</w:t>
      </w:r>
      <w:r>
        <w:rPr>
          <w:rFonts w:ascii="Arial" w:cs="Arial" w:eastAsia="Arial" w:hAnsi="Arial"/>
          <w:i/>
          <w:iCs/>
          <w:color w:val="3B6FB0"/>
          <w:sz w:val="15"/>
          <w:szCs w:val="15"/>
        </w:rPr>
        <w:t xml:space="preserve"> [https://www.occ.gov/publications-and-resources/publications/comptrollers-handbook/index-comptrollers-handbook.html]</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Event-driven  ·  Cluster: Incentive compensation  ·  Redundancy: Candidate redundancy  ·  Confidence: Medium</w:t>
      </w:r>
    </w:p>
    <w:p>
      <w:pPr>
        <w:spacing w:after="104"/>
      </w:pPr>
      <w:r>
        <w:rPr>
          <w:rFonts w:ascii="Arial" w:cs="Arial" w:eastAsia="Arial" w:hAnsi="Arial"/>
          <w:i/>
          <w:iCs/>
          <w:color w:val="595959"/>
          <w:sz w:val="17"/>
          <w:szCs w:val="17"/>
        </w:rPr>
        <w:t xml:space="preserve">Note: Overlaps safety-and-soundness compensation standards.</w:t>
      </w:r>
    </w:p>
    <w:p>
      <w:pPr>
        <w:keepNext/>
        <w:spacing w:after="16" w:before="104"/>
      </w:pPr>
      <w:r>
        <w:rPr>
          <w:rFonts w:ascii="Arial" w:cs="Arial" w:eastAsia="Arial" w:hAnsi="Arial"/>
          <w:b/>
          <w:bCs/>
          <w:color w:val="1F3864"/>
          <w:sz w:val="21"/>
          <w:szCs w:val="21"/>
        </w:rPr>
        <w:t xml:space="preserve">BCG-12  —  Full board and committees  ·  IDI</w:t>
      </w:r>
      <w:r>
        <w:rPr>
          <w:sz w:val="2"/>
          <w:szCs w:val="2"/>
        </w:rPr>
        <w:t xml:space="preserve"/>
      </w:r>
    </w:p>
    <w:p>
      <w:pPr>
        <w:spacing w:after="24"/>
      </w:pPr>
      <w:r>
        <w:rPr>
          <w:rFonts w:ascii="Arial" w:cs="Arial" w:eastAsia="Arial" w:hAnsi="Arial"/>
          <w:sz w:val="21"/>
          <w:szCs w:val="21"/>
        </w:rPr>
        <w:t xml:space="preserve">Minutes should document attendance, votes and abstentions, materials reviewed, material agenda items, actions and follow-up, evidence of credible challenge, and that decisions were made in the bank's best interest.</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Comptroller's Handbook, Corporate and Risk Governance, v2.0, Board and Committee Minutes.</w:t>
      </w:r>
      <w:r>
        <w:rPr>
          <w:rFonts w:ascii="Arial" w:cs="Arial" w:eastAsia="Arial" w:hAnsi="Arial"/>
          <w:i/>
          <w:iCs/>
          <w:color w:val="3B6FB0"/>
          <w:sz w:val="15"/>
          <w:szCs w:val="15"/>
        </w:rPr>
        <w:t xml:space="preserve"> [https://www.occ.gov/publications-and-resources/publications/comptrollers-handbook/index-comptrollers-handbook.html]</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Risk-governance framework / strategy  ·  Redundancy: Candidate redundancy  ·  Confidence: Medium</w:t>
      </w:r>
    </w:p>
    <w:p>
      <w:pPr>
        <w:spacing w:after="104"/>
      </w:pPr>
      <w:r>
        <w:rPr>
          <w:rFonts w:ascii="Arial" w:cs="Arial" w:eastAsia="Arial" w:hAnsi="Arial"/>
          <w:i/>
          <w:iCs/>
          <w:color w:val="595959"/>
          <w:sz w:val="17"/>
          <w:szCs w:val="17"/>
        </w:rPr>
        <w:t xml:space="preserve">Note: Supports examiner review of director engagement.</w:t>
      </w:r>
    </w:p>
    <w:p>
      <w:pPr>
        <w:keepNext/>
        <w:spacing w:after="16" w:before="104"/>
      </w:pPr>
      <w:r>
        <w:rPr>
          <w:rFonts w:ascii="Arial" w:cs="Arial" w:eastAsia="Arial" w:hAnsi="Arial"/>
          <w:b/>
          <w:bCs/>
          <w:color w:val="1F3864"/>
          <w:sz w:val="21"/>
          <w:szCs w:val="21"/>
        </w:rPr>
        <w:t xml:space="preserve">BCG-13  —  Directors; full board and committees  ·  IDI</w:t>
      </w:r>
      <w:r>
        <w:rPr>
          <w:sz w:val="2"/>
          <w:szCs w:val="2"/>
        </w:rPr>
        <w:t xml:space="preserve"/>
      </w:r>
    </w:p>
    <w:p>
      <w:pPr>
        <w:spacing w:after="24"/>
      </w:pPr>
      <w:r>
        <w:rPr>
          <w:rFonts w:ascii="Arial" w:cs="Arial" w:eastAsia="Arial" w:hAnsi="Arial"/>
          <w:sz w:val="21"/>
          <w:szCs w:val="21"/>
        </w:rPr>
        <w:t xml:space="preserve">Directors should have access to employees, especially senior management, to avoid over-filtered information; the board and committees may retain independent outside advisors (e.g., for risk, accounting, strategy, or compensation) while managing conflicts and retaining fiduciary responsibility.</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Comptroller's Handbook, Corporate and Risk Governance, v2.0, Access to Senior Management; Outside Advisors.</w:t>
      </w:r>
      <w:r>
        <w:rPr>
          <w:rFonts w:ascii="Arial" w:cs="Arial" w:eastAsia="Arial" w:hAnsi="Arial"/>
          <w:i/>
          <w:iCs/>
          <w:color w:val="3B6FB0"/>
          <w:sz w:val="15"/>
          <w:szCs w:val="15"/>
        </w:rPr>
        <w:t xml:space="preserve"> [https://www.occ.gov/publications-and-resources/publications/comptrollers-handbook/index-comptrollers-handbook.html]</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Incentive compensation  ·  Redundancy: Candidate redundancy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BCG-14  —  Audit committee; full board (independence determination)  ·  IDI</w:t>
      </w:r>
      <w:r>
        <w:rPr>
          <w:sz w:val="2"/>
          <w:szCs w:val="2"/>
        </w:rPr>
        <w:t xml:space="preserve"/>
      </w:r>
    </w:p>
    <w:p>
      <w:pPr>
        <w:spacing w:after="24"/>
      </w:pPr>
      <w:r>
        <w:rPr>
          <w:rFonts w:ascii="Arial" w:cs="Arial" w:eastAsia="Arial" w:hAnsi="Arial"/>
          <w:sz w:val="21"/>
          <w:szCs w:val="21"/>
        </w:rPr>
        <w:t xml:space="preserve">For institutions over $3 billion, the audit committee should include members with banking or financial-management expertise, have access to outside counsel, and exclude large customers; the board should annually determine each audit-committee member's independence (considering advisory relationships, large-customer status, recent employment/executive ties, interlocking compensation-committee ties, payments, and audit-firm ties).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Comptroller's Handbook, Internal and External Audits, Appendix G, Audit committee composition; 12 CFR part 363 worksheet.</w:t>
      </w:r>
      <w:r>
        <w:rPr>
          <w:rFonts w:ascii="Arial" w:cs="Arial" w:eastAsia="Arial" w:hAnsi="Arial"/>
          <w:i/>
          <w:iCs/>
          <w:color w:val="3B6FB0"/>
          <w:sz w:val="15"/>
          <w:szCs w:val="15"/>
        </w:rPr>
        <w:t xml:space="preserve"> [https://www.ecfr.gov/current/title-12/chapter-III/part-363]</w:t>
      </w:r>
    </w:p>
    <w:p>
      <w:pPr>
        <w:spacing w:after="6"/>
      </w:pPr>
      <w:r>
        <w:rPr>
          <w:rFonts w:ascii="Arial" w:cs="Arial" w:eastAsia="Arial" w:hAnsi="Arial"/>
          <w:i/>
          <w:iCs/>
          <w:color w:val="7030A0"/>
          <w:sz w:val="17"/>
          <w:szCs w:val="17"/>
        </w:rPr>
        <w:t xml:space="preserve">Legal force: Regulation / enforceable (cross-listed)  ·  Consequence: Enforcement + rating (rule-backed)  ·  Cadence: Annual  ·  Cluster: Audit committee &amp; independence  ·  Redundancy: Candidate redundancy  ·  Confidence: High</w:t>
      </w:r>
    </w:p>
    <w:p>
      <w:pPr>
        <w:spacing w:after="104"/>
      </w:pPr>
      <w:r>
        <w:rPr>
          <w:rFonts w:ascii="Arial" w:cs="Arial" w:eastAsia="Arial" w:hAnsi="Arial"/>
          <w:i/>
          <w:iCs/>
          <w:color w:val="595959"/>
          <w:sz w:val="17"/>
          <w:szCs w:val="17"/>
        </w:rPr>
        <w:t xml:space="preserve">Note: Implements FDICIA/12 CFR part 363 audit-committee standards.</w:t>
      </w:r>
    </w:p>
    <w:p>
      <w:pPr>
        <w:pStyle w:val="Heading2"/>
      </w:pPr>
      <w:r>
        <w:t xml:space="preserve">3. Capital planning &amp; stress testing</w:t>
      </w:r>
    </w:p>
    <w:p>
      <w:pPr>
        <w:keepNext/>
        <w:spacing w:after="16" w:before="104"/>
      </w:pPr>
      <w:r>
        <w:rPr>
          <w:rFonts w:ascii="Arial" w:cs="Arial" w:eastAsia="Arial" w:hAnsi="Arial"/>
          <w:b/>
          <w:bCs/>
          <w:color w:val="1F3864"/>
          <w:sz w:val="21"/>
          <w:szCs w:val="21"/>
        </w:rPr>
        <w:t xml:space="preserve">CAP-01  —  Full board  ·  BHC</w:t>
      </w:r>
      <w:r>
        <w:rPr>
          <w:sz w:val="2"/>
          <w:szCs w:val="2"/>
        </w:rPr>
        <w:t xml:space="preserve"/>
      </w:r>
    </w:p>
    <w:p>
      <w:pPr>
        <w:spacing w:after="24"/>
      </w:pPr>
      <w:r>
        <w:rPr>
          <w:rFonts w:ascii="Arial" w:cs="Arial" w:eastAsia="Arial" w:hAnsi="Arial"/>
          <w:sz w:val="21"/>
          <w:szCs w:val="21"/>
        </w:rPr>
        <w:t xml:space="preserve">Board is ultimately responsible and accountable for the firm's capital-related decisions and for capital planning; capital planning must be consistent with the strategy and risk appetite set by the board.</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SR 15-18, Federal Reserve Supervisory Assessment of Capital Planning and Positions for Firms Subject to Category I Standards (Dec. 18, 2015; revised Jan. 15, 2021), Attachment, sec. III.A.1 (Board of Directors), p. 3.</w:t>
      </w:r>
      <w:r>
        <w:rPr>
          <w:rFonts w:ascii="Arial" w:cs="Arial" w:eastAsia="Arial" w:hAnsi="Arial"/>
          <w:i/>
          <w:iCs/>
          <w:color w:val="3B6FB0"/>
          <w:sz w:val="15"/>
          <w:szCs w:val="15"/>
        </w:rPr>
        <w:t xml:space="preserve"> [https://www.federalreserve.gov/supervisionreg/srletters/sr1518.htm]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Capital planning &amp; stress testing  ·  Redundancy: Candidate redundancy (intra-level)  ·  Confidence: Medium</w:t>
      </w:r>
    </w:p>
    <w:p>
      <w:pPr>
        <w:spacing w:after="104"/>
      </w:pPr>
      <w:r>
        <w:rPr>
          <w:rFonts w:ascii="Arial" w:cs="Arial" w:eastAsia="Arial" w:hAnsi="Arial"/>
          <w:i/>
          <w:iCs/>
          <w:color w:val="595959"/>
          <w:sz w:val="17"/>
          <w:szCs w:val="17"/>
        </w:rPr>
        <w:t xml:space="preserve">Note: 2021 revision retitled the letter to apply expressly to Category I standards (= U.S. GSIBs).</w:t>
      </w:r>
    </w:p>
    <w:p>
      <w:pPr>
        <w:keepNext/>
        <w:spacing w:after="16" w:before="104"/>
      </w:pPr>
      <w:r>
        <w:rPr>
          <w:rFonts w:ascii="Arial" w:cs="Arial" w:eastAsia="Arial" w:hAnsi="Arial"/>
          <w:b/>
          <w:bCs/>
          <w:color w:val="1F3864"/>
          <w:sz w:val="21"/>
          <w:szCs w:val="21"/>
        </w:rPr>
        <w:t xml:space="preserve">CAP-02  —  Full board  ·  BHC</w:t>
      </w:r>
      <w:r>
        <w:rPr>
          <w:sz w:val="2"/>
          <w:szCs w:val="2"/>
        </w:rPr>
        <w:t xml:space="preserve"/>
      </w:r>
    </w:p>
    <w:p>
      <w:pPr>
        <w:spacing w:after="24"/>
      </w:pPr>
      <w:r>
        <w:rPr>
          <w:rFonts w:ascii="Arial" w:cs="Arial" w:eastAsia="Arial" w:hAnsi="Arial"/>
          <w:sz w:val="21"/>
          <w:szCs w:val="21"/>
        </w:rPr>
        <w:t xml:space="preserve">Board must annually review and approve the firm's capital plan.</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SR 15-18 (rev. Jan. 15, 2021), Attachment, sec. III.A.1, p. 3, fn. 8 (cites 12 CFR 225.8(e)(1)(iii)).</w:t>
      </w:r>
      <w:r>
        <w:rPr>
          <w:rFonts w:ascii="Arial" w:cs="Arial" w:eastAsia="Arial" w:hAnsi="Arial"/>
          <w:i/>
          <w:iCs/>
          <w:color w:val="3B6FB0"/>
          <w:sz w:val="15"/>
          <w:szCs w:val="15"/>
        </w:rPr>
        <w:t xml:space="preserve"> [https://www.ecfr.gov/current/title-12/chapter-II/part-225/section-225.8]</w:t>
      </w:r>
    </w:p>
    <w:p>
      <w:pPr>
        <w:spacing w:after="6"/>
      </w:pPr>
      <w:r>
        <w:rPr>
          <w:rFonts w:ascii="Arial" w:cs="Arial" w:eastAsia="Arial" w:hAnsi="Arial"/>
          <w:i/>
          <w:iCs/>
          <w:color w:val="7030A0"/>
          <w:sz w:val="17"/>
          <w:szCs w:val="17"/>
        </w:rPr>
        <w:t xml:space="preserve">Legal force: Regulation / enforceable (cross-listed)  ·  Consequence: Enforcement + rating (rule-backed)  ·  Cadence: Annual  ·  Cluster: Capital planning &amp; stress testing  ·  Redundancy: Candidate redundancy (intra-level)  ·  Confidence: High</w:t>
      </w:r>
    </w:p>
    <w:p>
      <w:pPr>
        <w:spacing w:after="104"/>
      </w:pPr>
      <w:r>
        <w:rPr>
          <w:rFonts w:ascii="Arial" w:cs="Arial" w:eastAsia="Arial" w:hAnsi="Arial"/>
          <w:i/>
          <w:iCs/>
          <w:color w:val="595959"/>
          <w:sz w:val="17"/>
          <w:szCs w:val="17"/>
        </w:rPr>
        <w:t xml:space="preserve">Note: Plan-approval is non-delegable under 225.8(e); the capital policy may be delegated to a committee (see CAP-05).</w:t>
      </w:r>
    </w:p>
    <w:p>
      <w:pPr>
        <w:keepNext/>
        <w:spacing w:after="16" w:before="104"/>
      </w:pPr>
      <w:r>
        <w:rPr>
          <w:rFonts w:ascii="Arial" w:cs="Arial" w:eastAsia="Arial" w:hAnsi="Arial"/>
          <w:b/>
          <w:bCs/>
          <w:color w:val="1F3864"/>
          <w:sz w:val="21"/>
          <w:szCs w:val="21"/>
        </w:rPr>
        <w:t xml:space="preserve">CAP-03  —  Full board  ·  BHC</w:t>
      </w:r>
      <w:r>
        <w:rPr>
          <w:sz w:val="2"/>
          <w:szCs w:val="2"/>
        </w:rPr>
        <w:t xml:space="preserve"/>
      </w:r>
    </w:p>
    <w:p>
      <w:pPr>
        <w:spacing w:after="24"/>
      </w:pPr>
      <w:r>
        <w:rPr>
          <w:rFonts w:ascii="Arial" w:cs="Arial" w:eastAsia="Arial" w:hAnsi="Arial"/>
          <w:sz w:val="21"/>
          <w:szCs w:val="21"/>
        </w:rPr>
        <w:t xml:space="preserve">Board should direct senior management to provide a briefing on capital adequacy at least quarterly (more often as warranted), stating whether capital levels and planned distributions remain appropriate and highlighting problem areas identified by management, internal audit, or supervisors.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SR 15-18 (rev. Jan. 15, 2021), Attachment, sec. III.A.1, pp. 3-4; sec. III.A 'Differences in Expectations', p. 5.</w:t>
      </w:r>
      <w:r>
        <w:rPr>
          <w:rFonts w:ascii="Arial" w:cs="Arial" w:eastAsia="Arial" w:hAnsi="Arial"/>
          <w:i/>
          <w:iCs/>
          <w:color w:val="3B6FB0"/>
          <w:sz w:val="15"/>
          <w:szCs w:val="15"/>
        </w:rPr>
        <w:t xml:space="preserve"> [https://www.federalreserve.gov/supervisionreg/srletters/sr1518.htm]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Quarterly  ·  Cluster: Capital planning &amp; stress testing  ·  Redundancy: Candidate redundancy (intra-level)  ·  Confidence: Medium</w:t>
      </w:r>
    </w:p>
    <w:p>
      <w:pPr>
        <w:spacing w:after="104"/>
      </w:pPr>
      <w:r>
        <w:rPr>
          <w:rFonts w:ascii="Arial" w:cs="Arial" w:eastAsia="Arial" w:hAnsi="Arial"/>
          <w:i/>
          <w:iCs/>
          <w:color w:val="595959"/>
          <w:sz w:val="17"/>
          <w:szCs w:val="17"/>
        </w:rPr>
        <w:t xml:space="preserve">Note: For Category I firms senior management must review the capital-planning process quarterly (vs. semi-annually for Cat II/III).</w:t>
      </w:r>
    </w:p>
    <w:p>
      <w:pPr>
        <w:keepNext/>
        <w:spacing w:after="16" w:before="104"/>
      </w:pPr>
      <w:r>
        <w:rPr>
          <w:rFonts w:ascii="Arial" w:cs="Arial" w:eastAsia="Arial" w:hAnsi="Arial"/>
          <w:b/>
          <w:bCs/>
          <w:color w:val="1F3864"/>
          <w:sz w:val="21"/>
          <w:szCs w:val="21"/>
        </w:rPr>
        <w:t xml:space="preserve">CAP-04  —  Full board  ·  BHC</w:t>
      </w:r>
      <w:r>
        <w:rPr>
          <w:sz w:val="2"/>
          <w:szCs w:val="2"/>
        </w:rPr>
        <w:t xml:space="preserve"/>
      </w:r>
    </w:p>
    <w:p>
      <w:pPr>
        <w:spacing w:after="24"/>
      </w:pPr>
      <w:r>
        <w:rPr>
          <w:rFonts w:ascii="Arial" w:cs="Arial" w:eastAsia="Arial" w:hAnsi="Arial"/>
          <w:sz w:val="21"/>
          <w:szCs w:val="21"/>
        </w:rPr>
        <w:t xml:space="preserve">Board should hold senior management accountable for providing sufficient information on material risks and exposures to inform decisions on capital adequacy and capital actions (including distributions), and should understand the major drivers of projections under baseline and stress scenarios.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SR 15-18 (rev. Jan. 15, 2021), Attachment, sec. III.A.1, p. 4.</w:t>
      </w:r>
      <w:r>
        <w:rPr>
          <w:rFonts w:ascii="Arial" w:cs="Arial" w:eastAsia="Arial" w:hAnsi="Arial"/>
          <w:i/>
          <w:iCs/>
          <w:color w:val="3B6FB0"/>
          <w:sz w:val="15"/>
          <w:szCs w:val="15"/>
        </w:rPr>
        <w:t xml:space="preserve"> [https://www.federalreserve.gov/supervisionreg/srletters/sr1518.htm]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Capital planning &amp; stress testing  ·  Redundancy: Candidate redundancy (intra-level)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CAP-05  —  Full board (capital policy may be delegated to a designated committee)  ·  BHC</w:t>
      </w:r>
      <w:r>
        <w:rPr>
          <w:sz w:val="2"/>
          <w:szCs w:val="2"/>
        </w:rPr>
        <w:t xml:space="preserve"/>
      </w:r>
    </w:p>
    <w:p>
      <w:pPr>
        <w:spacing w:after="24"/>
      </w:pPr>
      <w:r>
        <w:rPr>
          <w:rFonts w:ascii="Arial" w:cs="Arial" w:eastAsia="Arial" w:hAnsi="Arial"/>
          <w:sz w:val="21"/>
          <w:szCs w:val="21"/>
        </w:rPr>
        <w:t xml:space="preserve">Board approves capital-planning policies and reviews them annually, and approves capital planning activities and strategies; the capital policy must be approved by the board or a designated committee of the board and reevaluated at least annually.</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SR 15-18 (rev. Jan. 15, 2021), Attachment, sec. III.A.1, p. 4; sec. III.D (Capital Policy), p. 11, fn. 18 (cites 225.8(e)(1)(iii)).</w:t>
      </w:r>
      <w:r>
        <w:rPr>
          <w:rFonts w:ascii="Arial" w:cs="Arial" w:eastAsia="Arial" w:hAnsi="Arial"/>
          <w:i/>
          <w:iCs/>
          <w:color w:val="3B6FB0"/>
          <w:sz w:val="15"/>
          <w:szCs w:val="15"/>
        </w:rPr>
        <w:t xml:space="preserve"> [https://www.ecfr.gov/current/title-12/chapter-II/part-225/section-225.8]</w:t>
      </w:r>
    </w:p>
    <w:p>
      <w:pPr>
        <w:spacing w:after="6"/>
      </w:pPr>
      <w:r>
        <w:rPr>
          <w:rFonts w:ascii="Arial" w:cs="Arial" w:eastAsia="Arial" w:hAnsi="Arial"/>
          <w:i/>
          <w:iCs/>
          <w:color w:val="7030A0"/>
          <w:sz w:val="17"/>
          <w:szCs w:val="17"/>
        </w:rPr>
        <w:t xml:space="preserve">Legal force: Regulation / enforceable (cross-listed)  ·  Consequence: Enforcement + rating (rule-backed)  ·  Cadence: Annual  ·  Cluster: Capital planning &amp; stress testing  ·  Redundancy: Candidate redundancy (intra-level)  ·  Confidence: Medium</w:t>
      </w:r>
    </w:p>
    <w:p>
      <w:pPr>
        <w:spacing w:after="104"/>
      </w:pPr>
      <w:r>
        <w:rPr>
          <w:rFonts w:ascii="Arial" w:cs="Arial" w:eastAsia="Arial" w:hAnsi="Arial"/>
          <w:i/>
          <w:iCs/>
          <w:color w:val="595959"/>
          <w:sz w:val="17"/>
          <w:szCs w:val="17"/>
        </w:rPr>
        <w:t xml:space="preserve">Note: Clearest committee-delegation distinction in the capital letter.</w:t>
      </w:r>
    </w:p>
    <w:p>
      <w:pPr>
        <w:keepNext/>
        <w:spacing w:after="16" w:before="104"/>
      </w:pPr>
      <w:r>
        <w:rPr>
          <w:rFonts w:ascii="Arial" w:cs="Arial" w:eastAsia="Arial" w:hAnsi="Arial"/>
          <w:b/>
          <w:bCs/>
          <w:color w:val="1F3864"/>
          <w:sz w:val="21"/>
          <w:szCs w:val="21"/>
        </w:rPr>
        <w:t xml:space="preserve">CAP-06  —  Full board  ·  BHC</w:t>
      </w:r>
      <w:r>
        <w:rPr>
          <w:sz w:val="2"/>
          <w:szCs w:val="2"/>
        </w:rPr>
        <w:t xml:space="preserve"/>
      </w:r>
    </w:p>
    <w:p>
      <w:pPr>
        <w:spacing w:after="24"/>
      </w:pPr>
      <w:r>
        <w:rPr>
          <w:rFonts w:ascii="Arial" w:cs="Arial" w:eastAsia="Arial" w:hAnsi="Arial"/>
          <w:sz w:val="21"/>
          <w:szCs w:val="21"/>
        </w:rPr>
        <w:t xml:space="preserve">Board should incorporate uncertainties in projections and limitations in the capital-planning process into its decisions, and review and approve mitigating steps to address process weaknesses; independent-review weaknesses and remediation plans should be reported to the board in a timely manner.</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SR 15-18 (rev. Jan. 15, 2021), Attachment, secs. III.A.1 and III.A.2, p. 4.</w:t>
      </w:r>
      <w:r>
        <w:rPr>
          <w:rFonts w:ascii="Arial" w:cs="Arial" w:eastAsia="Arial" w:hAnsi="Arial"/>
          <w:i/>
          <w:iCs/>
          <w:color w:val="3B6FB0"/>
          <w:sz w:val="15"/>
          <w:szCs w:val="15"/>
        </w:rPr>
        <w:t xml:space="preserve"> [https://www.federalreserve.gov/supervisionreg/srletters/sr1518.htm]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Capital planning &amp; stress testing  ·  Redundancy: Candidate redundancy (intra-level)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CAP-07  —  Full board  ·  BHC</w:t>
      </w:r>
      <w:r>
        <w:rPr>
          <w:sz w:val="2"/>
          <w:szCs w:val="2"/>
        </w:rPr>
        <w:t xml:space="preserve"/>
      </w:r>
    </w:p>
    <w:p>
      <w:pPr>
        <w:spacing w:after="24"/>
      </w:pPr>
      <w:r>
        <w:rPr>
          <w:rFonts w:ascii="Arial" w:cs="Arial" w:eastAsia="Arial" w:hAnsi="Arial"/>
          <w:sz w:val="21"/>
          <w:szCs w:val="21"/>
        </w:rPr>
        <w:t xml:space="preserve">Board should maintain an accurate record of its meetings pertaining to the firm's capital-planning process.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SR 15-18 (rev. Jan. 15, 2021), Attachment, sec. III.A.1, p. 4.</w:t>
      </w:r>
      <w:r>
        <w:rPr>
          <w:rFonts w:ascii="Arial" w:cs="Arial" w:eastAsia="Arial" w:hAnsi="Arial"/>
          <w:i/>
          <w:iCs/>
          <w:color w:val="3B6FB0"/>
          <w:sz w:val="15"/>
          <w:szCs w:val="15"/>
        </w:rPr>
        <w:t xml:space="preserve"> [https://www.federalreserve.gov/supervisionreg/srletters/sr1518.htm]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Capital planning &amp; stress testing  ·  Redundancy: Candidate redundancy (intra-level)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CAP-08  —  Full board / designated committee  ·  BHC</w:t>
      </w:r>
      <w:r>
        <w:rPr>
          <w:sz w:val="2"/>
          <w:szCs w:val="2"/>
        </w:rPr>
        <w:t xml:space="preserve"/>
      </w:r>
    </w:p>
    <w:p>
      <w:pPr>
        <w:spacing w:after="24"/>
      </w:pPr>
      <w:r>
        <w:rPr>
          <w:rFonts w:ascii="Arial" w:cs="Arial" w:eastAsia="Arial" w:hAnsi="Arial"/>
          <w:sz w:val="21"/>
          <w:szCs w:val="21"/>
        </w:rPr>
        <w:t xml:space="preserve">The board-owned capital policy should incorporate actionable protocols (governance and escalation) in the event a post-stress capital goal, real-time targeted capital level, or early-warning metric is breached, including roles for analysis, review, and capital-distribution decisions.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SR 15-18 (rev. Jan. 15, 2021), Attachment, sec. III.D, p. 12.</w:t>
      </w:r>
      <w:r>
        <w:rPr>
          <w:rFonts w:ascii="Arial" w:cs="Arial" w:eastAsia="Arial" w:hAnsi="Arial"/>
          <w:i/>
          <w:iCs/>
          <w:color w:val="3B6FB0"/>
          <w:sz w:val="15"/>
          <w:szCs w:val="15"/>
        </w:rPr>
        <w:t xml:space="preserve"> [https://www.federalreserve.gov/supervisionreg/srletters/sr1518.htm]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Capital planning &amp; stress testing  ·  Redundancy: Candidate redundancy (intra-level)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CAP-09  —  Full board or designated committee  ·  BHC</w:t>
      </w:r>
      <w:r>
        <w:rPr>
          <w:sz w:val="2"/>
          <w:szCs w:val="2"/>
        </w:rPr>
        <w:t xml:space="preserve"/>
      </w:r>
    </w:p>
    <w:p>
      <w:pPr>
        <w:spacing w:after="24"/>
      </w:pPr>
      <w:r>
        <w:rPr>
          <w:rFonts w:ascii="Arial" w:cs="Arial" w:eastAsia="Arial" w:hAnsi="Arial"/>
          <w:sz w:val="21"/>
          <w:szCs w:val="21"/>
        </w:rPr>
        <w:t xml:space="preserve">Board or a designated committee must, at least annually and before submission, review the robustness of the capital-adequacy assessment process, ensure deficiencies are remedied, and approve the capital plan (which must contain a board-approved capital policy).</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Capital plan rule, 12 CFR 225.8 (Reg Y); parallel SLHC rule 12 CFR 238 subpart S, 12 CFR 225.8(e)(1)(iii); 225.8(d).</w:t>
      </w:r>
      <w:r>
        <w:rPr>
          <w:rFonts w:ascii="Arial" w:cs="Arial" w:eastAsia="Arial" w:hAnsi="Arial"/>
          <w:i/>
          <w:iCs/>
          <w:color w:val="3B6FB0"/>
          <w:sz w:val="15"/>
          <w:szCs w:val="15"/>
        </w:rPr>
        <w:t xml:space="preserve"> [https://www.ecfr.gov/current/title-12/chapter-II/part-225/section-225.8]</w:t>
      </w:r>
    </w:p>
    <w:p>
      <w:pPr>
        <w:spacing w:after="6"/>
      </w:pPr>
      <w:r>
        <w:rPr>
          <w:rFonts w:ascii="Arial" w:cs="Arial" w:eastAsia="Arial" w:hAnsi="Arial"/>
          <w:i/>
          <w:iCs/>
          <w:color w:val="7030A0"/>
          <w:sz w:val="17"/>
          <w:szCs w:val="17"/>
        </w:rPr>
        <w:t xml:space="preserve">Legal force: Regulation / enforceable (cross-listed)  ·  Consequence: Enforcement + rating (rule-backed)  ·  Cadence: Annual  ·  Cluster: Capital planning &amp; stress testing  ·  Redundancy: Candidate redundancy (intra-level)  ·  Confidence: High</w:t>
      </w:r>
    </w:p>
    <w:p>
      <w:pPr>
        <w:spacing w:after="104"/>
      </w:pPr>
      <w:r>
        <w:rPr>
          <w:rFonts w:ascii="Arial" w:cs="Arial" w:eastAsia="Arial" w:hAnsi="Arial"/>
          <w:i/>
          <w:iCs/>
          <w:color w:val="595959"/>
          <w:sz w:val="17"/>
          <w:szCs w:val="17"/>
        </w:rPr>
        <w:t xml:space="preserve">Note: Rule provision; cited because the supervisory expectation (SR 15-18) is inseparable from it. SCB calculation frozen until 2027 (Feb. 4, 2026) affects the output, not the board duty.</w:t>
      </w:r>
    </w:p>
    <w:p>
      <w:pPr>
        <w:keepNext/>
        <w:spacing w:after="16" w:before="104"/>
      </w:pPr>
      <w:r>
        <w:rPr>
          <w:rFonts w:ascii="Arial" w:cs="Arial" w:eastAsia="Arial" w:hAnsi="Arial"/>
          <w:b/>
          <w:bCs/>
          <w:color w:val="1F3864"/>
          <w:sz w:val="21"/>
          <w:szCs w:val="21"/>
        </w:rPr>
        <w:t xml:space="preserve">CAP-10  —  Senior management (CFO) — reported to board  ·  BHC</w:t>
      </w:r>
      <w:r>
        <w:rPr>
          <w:sz w:val="2"/>
          <w:szCs w:val="2"/>
        </w:rPr>
        <w:t xml:space="preserve"/>
      </w:r>
    </w:p>
    <w:p>
      <w:pPr>
        <w:spacing w:after="24"/>
      </w:pPr>
      <w:r>
        <w:rPr>
          <w:rFonts w:ascii="Arial" w:cs="Arial" w:eastAsia="Arial" w:hAnsi="Arial"/>
          <w:sz w:val="21"/>
          <w:szCs w:val="21"/>
        </w:rPr>
        <w:t xml:space="preserve">No board-of-directors attestation is required on the FR Y-14A; the FR Y-14A attestation is signed by the CFO (or equivalent senior officer). The board-level instrument is the 225.8(e)/SR 15-18 capital-plan approval. The SCB rule imposes no separate board attestation beyond plan approval.</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CCAR / FR Y-14A capital-plan submission instructions; Stress Capital Buffer framework (12 CFR 217.11 / 225.8), FR Y-14A attestation requirement.</w:t>
      </w:r>
      <w:r>
        <w:rPr>
          <w:rFonts w:ascii="Arial" w:cs="Arial" w:eastAsia="Arial" w:hAnsi="Arial"/>
          <w:i/>
          <w:iCs/>
          <w:color w:val="3B6FB0"/>
          <w:sz w:val="15"/>
          <w:szCs w:val="15"/>
        </w:rPr>
        <w:t xml:space="preserve"> [https://www.ecfr.gov/current/title-12/chapter-II/part-225/section-225.8]</w:t>
      </w:r>
    </w:p>
    <w:p>
      <w:pPr>
        <w:spacing w:after="6"/>
      </w:pPr>
      <w:r>
        <w:rPr>
          <w:rFonts w:ascii="Arial" w:cs="Arial" w:eastAsia="Arial" w:hAnsi="Arial"/>
          <w:i/>
          <w:iCs/>
          <w:color w:val="7030A0"/>
          <w:sz w:val="17"/>
          <w:szCs w:val="17"/>
        </w:rPr>
        <w:t xml:space="preserve">Legal force: Regulation / enforceable (cross-listed)  ·  Consequence: Enforcement + rating (rule-backed)  ·  Cadence: Periodic / ongoing  ·  Cluster: Capital planning &amp; stress testing  ·  Redundancy: Candidate redundancy (intra-level)  ·  Confidence: High</w:t>
      </w:r>
    </w:p>
    <w:p>
      <w:pPr>
        <w:spacing w:after="104"/>
      </w:pPr>
      <w:r>
        <w:rPr>
          <w:rFonts w:ascii="Arial" w:cs="Arial" w:eastAsia="Arial" w:hAnsi="Arial"/>
          <w:i/>
          <w:iCs/>
          <w:color w:val="595959"/>
          <w:sz w:val="17"/>
          <w:szCs w:val="17"/>
        </w:rPr>
        <w:t xml:space="preserve">Note: Frequently misstated. Oct. 2025 FR Y-14 documentation-reduction proposal does not remove the CFO attestation or board approval.</w:t>
      </w:r>
    </w:p>
    <w:p>
      <w:pPr>
        <w:keepNext/>
        <w:spacing w:after="16" w:before="104"/>
      </w:pPr>
      <w:r>
        <w:rPr>
          <w:rFonts w:ascii="Arial" w:cs="Arial" w:eastAsia="Arial" w:hAnsi="Arial"/>
          <w:b/>
          <w:bCs/>
          <w:color w:val="1F3864"/>
          <w:sz w:val="21"/>
          <w:szCs w:val="21"/>
        </w:rPr>
        <w:t xml:space="preserve">CAP-11  —  n/a (superseded for target firms)  ·  BHC</w:t>
      </w:r>
      <w:r>
        <w:rPr>
          <w:rFonts w:ascii="Arial" w:cs="Arial" w:eastAsia="Arial" w:hAnsi="Arial"/>
          <w:b/>
          <w:bCs/>
          <w:color w:val="C00000"/>
          <w:sz w:val="17"/>
          <w:szCs w:val="17"/>
        </w:rPr>
        <w:t xml:space="preserve">  [SUPERSEDED FOR CATEGORY I GSIBS]</w:t>
      </w:r>
    </w:p>
    <w:p>
      <w:pPr>
        <w:spacing w:after="24"/>
      </w:pPr>
      <w:r>
        <w:rPr>
          <w:rFonts w:ascii="Arial" w:cs="Arial" w:eastAsia="Arial" w:hAnsi="Arial"/>
          <w:sz w:val="21"/>
          <w:szCs w:val="21"/>
        </w:rPr>
        <w:t xml:space="preserve">SUPERSEDED for the GSIBs: SR 09-4's board duties (comprehensive dividend policy; board consideration of capital adequacy before distributions) are superseded with respect to firms subject to SR 15-18. For the GSIBs, the operative dividend/repurchase board expectations live in SR 15-18 sec. III.D and 12 CFR 225.8.</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SR 09-4, Applying Supervisory Guidance and Regulations on the Payment of Dividends, Stock Redemptions, and Stock Repurchases at Bank Holding Companies (Feb. 24, 2009), SR 15-18 fn. 5 (supersession).</w:t>
      </w:r>
      <w:r>
        <w:rPr>
          <w:rFonts w:ascii="Arial" w:cs="Arial" w:eastAsia="Arial" w:hAnsi="Arial"/>
          <w:i/>
          <w:iCs/>
          <w:color w:val="3B6FB0"/>
          <w:sz w:val="15"/>
          <w:szCs w:val="15"/>
        </w:rPr>
        <w:t xml:space="preserve"> [https://www.federalreserve.gov/supervisionreg/srletters/sr1518.htm]</w:t>
      </w:r>
    </w:p>
    <w:p>
      <w:pPr>
        <w:spacing w:after="6"/>
      </w:pPr>
      <w:r>
        <w:rPr>
          <w:rFonts w:ascii="Arial" w:cs="Arial" w:eastAsia="Arial" w:hAnsi="Arial"/>
          <w:i/>
          <w:iCs/>
          <w:color w:val="7030A0"/>
          <w:sz w:val="17"/>
          <w:szCs w:val="17"/>
        </w:rPr>
        <w:t xml:space="preserve">Legal force: Superseded guidance  ·  Consequence: None (not current)  ·  Cadence: Periodic / ongoing  ·  Cluster: Capital planning &amp; stress testing  ·  Redundancy: Candidate redundancy (intra-level)  ·  Confidence: High</w:t>
      </w:r>
    </w:p>
    <w:p>
      <w:pPr>
        <w:spacing w:after="104"/>
      </w:pPr>
      <w:r>
        <w:rPr>
          <w:rFonts w:ascii="Arial" w:cs="Arial" w:eastAsia="Arial" w:hAnsi="Arial"/>
          <w:i/>
          <w:iCs/>
          <w:color w:val="595959"/>
          <w:sz w:val="17"/>
          <w:szCs w:val="17"/>
        </w:rPr>
        <w:t xml:space="preserve">Note: Do not cite SR 09-4 as a live GSIB board expectation. Remains active only for smaller BHCs outside SR 15-18/15-19.</w:t>
      </w:r>
    </w:p>
    <w:p>
      <w:pPr>
        <w:keepNext/>
        <w:spacing w:after="16" w:before="104"/>
      </w:pPr>
      <w:r>
        <w:rPr>
          <w:rFonts w:ascii="Arial" w:cs="Arial" w:eastAsia="Arial" w:hAnsi="Arial"/>
          <w:b/>
          <w:bCs/>
          <w:color w:val="1F3864"/>
          <w:sz w:val="21"/>
          <w:szCs w:val="21"/>
        </w:rPr>
        <w:t xml:space="preserve">STR-01  —  Full board  ·  BHC</w:t>
      </w:r>
      <w:r>
        <w:rPr>
          <w:sz w:val="2"/>
          <w:szCs w:val="2"/>
        </w:rPr>
        <w:t xml:space="preserve"/>
      </w:r>
    </w:p>
    <w:p>
      <w:pPr>
        <w:spacing w:after="24"/>
      </w:pPr>
      <w:r>
        <w:rPr>
          <w:rFonts w:ascii="Arial" w:cs="Arial" w:eastAsia="Arial" w:hAnsi="Arial"/>
          <w:sz w:val="21"/>
          <w:szCs w:val="21"/>
        </w:rPr>
        <w:t xml:space="preserve">Board and senior management establish a comprehensive, integrated, and effective stress-testing framework that fits into the broader risk management of the organization; the board is ultimately responsible for ensuring the framework is effective, while senior management implements it.</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SR 12-7, Supervisory Guidance on Stress Testing for Banking Organizations with More Than $10 Billion in Total Consolidated Assets (May 14, 2012), Attachment, Principle/Governance, p. (local ll. 800-806).</w:t>
      </w:r>
      <w:r>
        <w:rPr>
          <w:rFonts w:ascii="Arial" w:cs="Arial" w:eastAsia="Arial" w:hAnsi="Arial"/>
          <w:i/>
          <w:iCs/>
          <w:color w:val="3B6FB0"/>
          <w:sz w:val="15"/>
          <w:szCs w:val="15"/>
        </w:rPr>
        <w:t xml:space="preserve"> [https://www.federalreserve.gov/supervisionreg/srletters/sr1207.htm]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Capital planning &amp; stress testing  ·  Redundancy: Candidate redundancy (intra-level)  ·  Confidence: Medium</w:t>
      </w:r>
    </w:p>
    <w:p>
      <w:pPr>
        <w:spacing w:after="104"/>
      </w:pPr>
      <w:r>
        <w:rPr>
          <w:rFonts w:ascii="Arial" w:cs="Arial" w:eastAsia="Arial" w:hAnsi="Arial"/>
          <w:i/>
          <w:iCs/>
          <w:color w:val="595959"/>
          <w:sz w:val="17"/>
          <w:szCs w:val="17"/>
        </w:rPr>
        <w:t xml:space="preserve">Note: Applies to organizations &gt;$10B; for the GSIBs much CCAR/DFAST governance now runs through SR 15-18, but SR 12-7 states the underlying board framework expectation.</w:t>
      </w:r>
    </w:p>
    <w:p>
      <w:pPr>
        <w:keepNext/>
        <w:spacing w:after="16" w:before="104"/>
      </w:pPr>
      <w:r>
        <w:rPr>
          <w:rFonts w:ascii="Arial" w:cs="Arial" w:eastAsia="Arial" w:hAnsi="Arial"/>
          <w:b/>
          <w:bCs/>
          <w:color w:val="1F3864"/>
          <w:sz w:val="21"/>
          <w:szCs w:val="21"/>
        </w:rPr>
        <w:t xml:space="preserve">STR-02  —  Full board  ·  BHC</w:t>
      </w:r>
      <w:r>
        <w:rPr>
          <w:sz w:val="2"/>
          <w:szCs w:val="2"/>
        </w:rPr>
        <w:t xml:space="preserve"/>
      </w:r>
    </w:p>
    <w:p>
      <w:pPr>
        <w:spacing w:after="24"/>
      </w:pPr>
      <w:r>
        <w:rPr>
          <w:rFonts w:ascii="Arial" w:cs="Arial" w:eastAsia="Arial" w:hAnsi="Arial"/>
          <w:sz w:val="21"/>
          <w:szCs w:val="21"/>
        </w:rPr>
        <w:t xml:space="preserve">Board approves, and annually reviews, written stress-testing policies governing purpose, rigor, roles, controls over external resources, frequency, use of results, and remedial-action triggers.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SR 12-7 (May 14, 2012), Attachment, p. (local ll. 822-838).</w:t>
      </w:r>
      <w:r>
        <w:rPr>
          <w:rFonts w:ascii="Arial" w:cs="Arial" w:eastAsia="Arial" w:hAnsi="Arial"/>
          <w:i/>
          <w:iCs/>
          <w:color w:val="3B6FB0"/>
          <w:sz w:val="15"/>
          <w:szCs w:val="15"/>
        </w:rPr>
        <w:t xml:space="preserve"> [https://www.federalreserve.gov/supervisionreg/srletters/sr1207.htm]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Annual  ·  Cluster: Capital planning &amp; stress testing  ·  Redundancy: Candidate redundancy (intra-level)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STR-03  —  Full board; relevant committees  ·  BHC</w:t>
      </w:r>
      <w:r>
        <w:rPr>
          <w:sz w:val="2"/>
          <w:szCs w:val="2"/>
        </w:rPr>
        <w:t xml:space="preserve"/>
      </w:r>
    </w:p>
    <w:p>
      <w:pPr>
        <w:spacing w:after="24"/>
      </w:pPr>
      <w:r>
        <w:rPr>
          <w:rFonts w:ascii="Arial" w:cs="Arial" w:eastAsia="Arial" w:hAnsi="Arial"/>
          <w:sz w:val="21"/>
          <w:szCs w:val="21"/>
        </w:rPr>
        <w:t xml:space="preserve">Senior management, directly and through relevant committees, regularly reports stress-testing developments, scenarios, results, and policy compliance to the board; board members actively evaluate and discuss the information and direct changes where appropriate.</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SR 12-7 (May 14, 2012), Attachment, p. (local ll. 813-822).</w:t>
      </w:r>
      <w:r>
        <w:rPr>
          <w:rFonts w:ascii="Arial" w:cs="Arial" w:eastAsia="Arial" w:hAnsi="Arial"/>
          <w:i/>
          <w:iCs/>
          <w:color w:val="3B6FB0"/>
          <w:sz w:val="15"/>
          <w:szCs w:val="15"/>
        </w:rPr>
        <w:t xml:space="preserve"> [https://www.federalreserve.gov/supervisionreg/srletters/sr1207.htm]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Capital planning &amp; stress testing  ·  Redundancy: Candidate redundancy (intra-level)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STR-04  —  Full board  ·  BHC</w:t>
      </w:r>
      <w:r>
        <w:rPr>
          <w:sz w:val="2"/>
          <w:szCs w:val="2"/>
        </w:rPr>
        <w:t xml:space="preserve"/>
      </w:r>
    </w:p>
    <w:p>
      <w:pPr>
        <w:spacing w:after="24"/>
      </w:pPr>
      <w:r>
        <w:rPr>
          <w:rFonts w:ascii="Arial" w:cs="Arial" w:eastAsia="Arial" w:hAnsi="Arial"/>
          <w:sz w:val="21"/>
          <w:szCs w:val="21"/>
        </w:rPr>
        <w:t xml:space="preserve">Stress-test results should facilitate board decision-making and inform alignment of the risk profile with risk appetite, operating and strategic decisions, capital and liquidity adequacy, and capital and contingency funding plans.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SR 12-7 (May 14, 2012), Attachment, p. (local ll. 860-872).</w:t>
      </w:r>
      <w:r>
        <w:rPr>
          <w:rFonts w:ascii="Arial" w:cs="Arial" w:eastAsia="Arial" w:hAnsi="Arial"/>
          <w:i/>
          <w:iCs/>
          <w:color w:val="3B6FB0"/>
          <w:sz w:val="15"/>
          <w:szCs w:val="15"/>
        </w:rPr>
        <w:t xml:space="preserve"> [https://www.federalreserve.gov/supervisionreg/srletters/sr1207.htm]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Capital planning &amp; stress testing  ·  Redundancy: Candidate redundancy (intra-level)  ·  Confidence: Medium</w:t>
      </w:r>
    </w:p>
    <w:p>
      <w:pPr>
        <w:spacing w:after="104"/>
      </w:pPr>
      <w:r>
        <w:rPr>
          <w:rFonts w:ascii="Arial" w:cs="Arial" w:eastAsia="Arial" w:hAnsi="Arial"/>
          <w:i/>
          <w:iCs/>
          <w:color w:val="595959"/>
          <w:sz w:val="17"/>
          <w:szCs w:val="17"/>
        </w:rPr>
        <w:t xml:space="preserve">Note: Links stress testing to capital and liquidity governance.</w:t>
      </w:r>
    </w:p>
    <w:p>
      <w:pPr>
        <w:pStyle w:val="Heading2"/>
      </w:pPr>
      <w:r>
        <w:t xml:space="preserve">4. Liquidity risk management</w:t>
      </w:r>
    </w:p>
    <w:p>
      <w:pPr>
        <w:keepNext/>
        <w:spacing w:after="16" w:before="104"/>
      </w:pPr>
      <w:r>
        <w:rPr>
          <w:rFonts w:ascii="Arial" w:cs="Arial" w:eastAsia="Arial" w:hAnsi="Arial"/>
          <w:b/>
          <w:bCs/>
          <w:color w:val="1F3864"/>
          <w:sz w:val="21"/>
          <w:szCs w:val="21"/>
        </w:rPr>
        <w:t xml:space="preserve">LIQ-01  —  Full board  ·  BHC</w:t>
      </w:r>
      <w:r>
        <w:rPr>
          <w:sz w:val="2"/>
          <w:szCs w:val="2"/>
        </w:rPr>
        <w:t xml:space="preserve"/>
      </w:r>
    </w:p>
    <w:p>
      <w:pPr>
        <w:spacing w:after="24"/>
      </w:pPr>
      <w:r>
        <w:rPr>
          <w:rFonts w:ascii="Arial" w:cs="Arial" w:eastAsia="Arial" w:hAnsi="Arial"/>
          <w:sz w:val="21"/>
          <w:szCs w:val="21"/>
        </w:rPr>
        <w:t xml:space="preserve">Board must approve the acceptable level of liquidity risk the firm may assume (liquidity risk tolerance) at least annually, accounting for capital structure, risk profile, complexity, activities, and size.</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Regulation YY, Enhanced Prudential Standards, 12 CFR 252.34 (Liquidity risk-management requirements), 12 CFR 252.34(a)(1)(i).</w:t>
      </w:r>
      <w:r>
        <w:rPr>
          <w:rFonts w:ascii="Arial" w:cs="Arial" w:eastAsia="Arial" w:hAnsi="Arial"/>
          <w:i/>
          <w:iCs/>
          <w:color w:val="3B6FB0"/>
          <w:sz w:val="15"/>
          <w:szCs w:val="15"/>
        </w:rPr>
        <w:t xml:space="preserve"> [https://www.ecfr.gov/current/title-12/chapter-II/part-252]</w:t>
      </w:r>
    </w:p>
    <w:p>
      <w:pPr>
        <w:spacing w:after="6"/>
      </w:pPr>
      <w:r>
        <w:rPr>
          <w:rFonts w:ascii="Arial" w:cs="Arial" w:eastAsia="Arial" w:hAnsi="Arial"/>
          <w:i/>
          <w:iCs/>
          <w:color w:val="7030A0"/>
          <w:sz w:val="17"/>
          <w:szCs w:val="17"/>
        </w:rPr>
        <w:t xml:space="preserve">Legal force: Regulation / enforceable (cross-listed)  ·  Consequence: Enforcement + rating (rule-backed)  ·  Cadence: Annual  ·  Cluster: Liquidity risk management  ·  Redundancy: Candidate redundancy  ·  Confidence: High</w:t>
      </w:r>
    </w:p>
    <w:p>
      <w:pPr>
        <w:spacing w:after="104"/>
      </w:pPr>
      <w:r>
        <w:rPr>
          <w:rFonts w:ascii="Arial" w:cs="Arial" w:eastAsia="Arial" w:hAnsi="Arial"/>
          <w:i/>
          <w:iCs/>
          <w:color w:val="595959"/>
          <w:sz w:val="17"/>
          <w:szCs w:val="17"/>
        </w:rPr>
        <w:t xml:space="preserve">Note: This specific approval is assigned to the board, not the risk committee. Rule provision underlying SR 10-6 supervisory expectations.</w:t>
      </w:r>
    </w:p>
    <w:p>
      <w:pPr>
        <w:keepNext/>
        <w:spacing w:after="16" w:before="104"/>
      </w:pPr>
      <w:r>
        <w:rPr>
          <w:rFonts w:ascii="Arial" w:cs="Arial" w:eastAsia="Arial" w:hAnsi="Arial"/>
          <w:b/>
          <w:bCs/>
          <w:color w:val="1F3864"/>
          <w:sz w:val="21"/>
          <w:szCs w:val="21"/>
        </w:rPr>
        <w:t xml:space="preserve">LIQ-02  —  Full board  ·  BHC</w:t>
      </w:r>
      <w:r>
        <w:rPr>
          <w:sz w:val="2"/>
          <w:szCs w:val="2"/>
        </w:rPr>
        <w:t xml:space="preserve"/>
      </w:r>
    </w:p>
    <w:p>
      <w:pPr>
        <w:spacing w:after="24"/>
      </w:pPr>
      <w:r>
        <w:rPr>
          <w:rFonts w:ascii="Arial" w:cs="Arial" w:eastAsia="Arial" w:hAnsi="Arial"/>
          <w:sz w:val="21"/>
          <w:szCs w:val="21"/>
        </w:rPr>
        <w:t xml:space="preserve">Board must receive and review at least semi-annually information from senior management to determine whether the firm is operating in accordance with its established liquidity risk tolerance.</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Regulation YY, 12 CFR 252.34, 12 CFR 252.34(a)(1)(ii).</w:t>
      </w:r>
      <w:r>
        <w:rPr>
          <w:rFonts w:ascii="Arial" w:cs="Arial" w:eastAsia="Arial" w:hAnsi="Arial"/>
          <w:i/>
          <w:iCs/>
          <w:color w:val="3B6FB0"/>
          <w:sz w:val="15"/>
          <w:szCs w:val="15"/>
        </w:rPr>
        <w:t xml:space="preserve"> [https://www.ecfr.gov/current/title-12/chapter-II/part-252]</w:t>
      </w:r>
    </w:p>
    <w:p>
      <w:pPr>
        <w:spacing w:after="6"/>
      </w:pPr>
      <w:r>
        <w:rPr>
          <w:rFonts w:ascii="Arial" w:cs="Arial" w:eastAsia="Arial" w:hAnsi="Arial"/>
          <w:i/>
          <w:iCs/>
          <w:color w:val="7030A0"/>
          <w:sz w:val="17"/>
          <w:szCs w:val="17"/>
        </w:rPr>
        <w:t xml:space="preserve">Legal force: Regulation / enforceable (cross-listed)  ·  Consequence: Enforcement + rating (rule-backed)  ·  Cadence: Annual  ·  Cluster: Liquidity risk management  ·  Redundancy: Candidate redundancy  ·  Confidence: High</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LIQ-03  —  Full board  ·  BHC</w:t>
      </w:r>
      <w:r>
        <w:rPr>
          <w:sz w:val="2"/>
          <w:szCs w:val="2"/>
        </w:rPr>
        <w:t xml:space="preserve"/>
      </w:r>
    </w:p>
    <w:p>
      <w:pPr>
        <w:spacing w:after="24"/>
      </w:pPr>
      <w:r>
        <w:rPr>
          <w:rFonts w:ascii="Arial" w:cs="Arial" w:eastAsia="Arial" w:hAnsi="Arial"/>
          <w:sz w:val="21"/>
          <w:szCs w:val="21"/>
        </w:rPr>
        <w:t xml:space="preserve">Board must approve and periodically review the liquidity risk-management strategies, policies, and procedures established by senior management.</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Regulation YY, 12 CFR 252.34, 12 CFR 252.34(a)(2), (c)(1)(i).</w:t>
      </w:r>
      <w:r>
        <w:rPr>
          <w:rFonts w:ascii="Arial" w:cs="Arial" w:eastAsia="Arial" w:hAnsi="Arial"/>
          <w:i/>
          <w:iCs/>
          <w:color w:val="3B6FB0"/>
          <w:sz w:val="15"/>
          <w:szCs w:val="15"/>
        </w:rPr>
        <w:t xml:space="preserve"> [https://www.ecfr.gov/current/title-12/chapter-II/part-252]</w:t>
      </w:r>
    </w:p>
    <w:p>
      <w:pPr>
        <w:spacing w:after="6"/>
      </w:pPr>
      <w:r>
        <w:rPr>
          <w:rFonts w:ascii="Arial" w:cs="Arial" w:eastAsia="Arial" w:hAnsi="Arial"/>
          <w:i/>
          <w:iCs/>
          <w:color w:val="7030A0"/>
          <w:sz w:val="17"/>
          <w:szCs w:val="17"/>
        </w:rPr>
        <w:t xml:space="preserve">Legal force: Regulation / enforceable (cross-listed)  ·  Consequence: Enforcement + rating (rule-backed)  ·  Cadence: Periodic / ongoing  ·  Cluster: Liquidity risk management  ·  Redundancy: Candidate redundancy  ·  Confidence: High</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LIQ-04  —  Risk committee (or board subcommittee)  ·  BHC</w:t>
      </w:r>
      <w:r>
        <w:rPr>
          <w:sz w:val="2"/>
          <w:szCs w:val="2"/>
        </w:rPr>
        <w:t xml:space="preserve"/>
      </w:r>
    </w:p>
    <w:p>
      <w:pPr>
        <w:spacing w:after="24"/>
      </w:pPr>
      <w:r>
        <w:rPr>
          <w:rFonts w:ascii="Arial" w:cs="Arial" w:eastAsia="Arial" w:hAnsi="Arial"/>
          <w:sz w:val="21"/>
          <w:szCs w:val="21"/>
        </w:rPr>
        <w:t xml:space="preserve">The risk committee (or a designated subcommittee composed of board members) must approve the contingency funding plan at least annually and approve any material revisions prior to implementation.</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Regulation YY, 12 CFR 252.34, 12 CFR 252.34(b).</w:t>
      </w:r>
      <w:r>
        <w:rPr>
          <w:rFonts w:ascii="Arial" w:cs="Arial" w:eastAsia="Arial" w:hAnsi="Arial"/>
          <w:i/>
          <w:iCs/>
          <w:color w:val="3B6FB0"/>
          <w:sz w:val="15"/>
          <w:szCs w:val="15"/>
        </w:rPr>
        <w:t xml:space="preserve"> [https://www.ecfr.gov/current/title-12/chapter-II/part-252]</w:t>
      </w:r>
    </w:p>
    <w:p>
      <w:pPr>
        <w:spacing w:after="6"/>
      </w:pPr>
      <w:r>
        <w:rPr>
          <w:rFonts w:ascii="Arial" w:cs="Arial" w:eastAsia="Arial" w:hAnsi="Arial"/>
          <w:i/>
          <w:iCs/>
          <w:color w:val="7030A0"/>
          <w:sz w:val="17"/>
          <w:szCs w:val="17"/>
        </w:rPr>
        <w:t xml:space="preserve">Legal force: Regulation / enforceable (cross-listed)  ·  Consequence: Enforcement + rating (rule-backed)  ·  Cadence: Annual  ·  Cluster: Liquidity risk management  ·  Redundancy: Candidate redundancy  ·  Confidence: High</w:t>
      </w:r>
    </w:p>
    <w:p>
      <w:pPr>
        <w:spacing w:after="104"/>
      </w:pPr>
      <w:r>
        <w:rPr>
          <w:rFonts w:ascii="Arial" w:cs="Arial" w:eastAsia="Arial" w:hAnsi="Arial"/>
          <w:i/>
          <w:iCs/>
          <w:color w:val="595959"/>
          <w:sz w:val="17"/>
          <w:szCs w:val="17"/>
        </w:rPr>
        <w:t xml:space="preserve">Note: The most committee-specific liquidity expectation.</w:t>
      </w:r>
    </w:p>
    <w:p>
      <w:pPr>
        <w:keepNext/>
        <w:spacing w:after="16" w:before="104"/>
      </w:pPr>
      <w:r>
        <w:rPr>
          <w:rFonts w:ascii="Arial" w:cs="Arial" w:eastAsia="Arial" w:hAnsi="Arial"/>
          <w:b/>
          <w:bCs/>
          <w:color w:val="1F3864"/>
          <w:sz w:val="21"/>
          <w:szCs w:val="21"/>
        </w:rPr>
        <w:t xml:space="preserve">LIQ-05  —  Full board or Risk committee  ·  BHC</w:t>
      </w:r>
      <w:r>
        <w:rPr>
          <w:sz w:val="2"/>
          <w:szCs w:val="2"/>
        </w:rPr>
        <w:t xml:space="preserve"/>
      </w:r>
    </w:p>
    <w:p>
      <w:pPr>
        <w:spacing w:after="24"/>
      </w:pPr>
      <w:r>
        <w:rPr>
          <w:rFonts w:ascii="Arial" w:cs="Arial" w:eastAsia="Arial" w:hAnsi="Arial"/>
          <w:sz w:val="21"/>
          <w:szCs w:val="21"/>
        </w:rPr>
        <w:t xml:space="preserve">Senior management must report to the board or the risk committee regarding the firm's liquidity risk profile and liquidity risk tolerance at least quarterly (more often if warranted).</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Regulation YY, 12 CFR 252.34, 12 CFR 252.34(c)(2).</w:t>
      </w:r>
      <w:r>
        <w:rPr>
          <w:rFonts w:ascii="Arial" w:cs="Arial" w:eastAsia="Arial" w:hAnsi="Arial"/>
          <w:i/>
          <w:iCs/>
          <w:color w:val="3B6FB0"/>
          <w:sz w:val="15"/>
          <w:szCs w:val="15"/>
        </w:rPr>
        <w:t xml:space="preserve"> [https://www.ecfr.gov/current/title-12/chapter-II/part-252]</w:t>
      </w:r>
    </w:p>
    <w:p>
      <w:pPr>
        <w:spacing w:after="6"/>
      </w:pPr>
      <w:r>
        <w:rPr>
          <w:rFonts w:ascii="Arial" w:cs="Arial" w:eastAsia="Arial" w:hAnsi="Arial"/>
          <w:i/>
          <w:iCs/>
          <w:color w:val="7030A0"/>
          <w:sz w:val="17"/>
          <w:szCs w:val="17"/>
        </w:rPr>
        <w:t xml:space="preserve">Legal force: Regulation / enforceable (cross-listed)  ·  Consequence: Enforcement + rating (rule-backed)  ·  Cadence: Quarterly  ·  Cluster: Liquidity risk management  ·  Redundancy: Candidate redundancy  ·  Confidence: High</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LIQ-06  —  Full board or Risk committee  ·  BHC</w:t>
      </w:r>
      <w:r>
        <w:rPr>
          <w:sz w:val="2"/>
          <w:szCs w:val="2"/>
        </w:rPr>
        <w:t xml:space="preserve"/>
      </w:r>
    </w:p>
    <w:p>
      <w:pPr>
        <w:spacing w:after="24"/>
      </w:pPr>
      <w:r>
        <w:rPr>
          <w:rFonts w:ascii="Arial" w:cs="Arial" w:eastAsia="Arial" w:hAnsi="Arial"/>
          <w:sz w:val="21"/>
          <w:szCs w:val="21"/>
        </w:rPr>
        <w:t xml:space="preserve">The independent review function (independent of funding management) must report material liquidity risk-management issues to the board or the risk committee in writing for corrective action.</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Regulation YY, 12 CFR 252.34, 12 CFR 252.34(d)(2)(iii).</w:t>
      </w:r>
      <w:r>
        <w:rPr>
          <w:rFonts w:ascii="Arial" w:cs="Arial" w:eastAsia="Arial" w:hAnsi="Arial"/>
          <w:i/>
          <w:iCs/>
          <w:color w:val="3B6FB0"/>
          <w:sz w:val="15"/>
          <w:szCs w:val="15"/>
        </w:rPr>
        <w:t xml:space="preserve"> [https://www.ecfr.gov/current/title-12/chapter-II/part-252]</w:t>
      </w:r>
    </w:p>
    <w:p>
      <w:pPr>
        <w:spacing w:after="6"/>
      </w:pPr>
      <w:r>
        <w:rPr>
          <w:rFonts w:ascii="Arial" w:cs="Arial" w:eastAsia="Arial" w:hAnsi="Arial"/>
          <w:i/>
          <w:iCs/>
          <w:color w:val="7030A0"/>
          <w:sz w:val="17"/>
          <w:szCs w:val="17"/>
        </w:rPr>
        <w:t xml:space="preserve">Legal force: Regulation / enforceable (cross-listed)  ·  Consequence: Enforcement + rating (rule-backed)  ·  Cadence: Periodic / ongoing  ·  Cluster: Liquidity risk management  ·  Redundancy: Candidate redundancy  ·  Confidence: High</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LIQ-07  —  Risk committee (reports to full board)  ·  BHC</w:t>
      </w:r>
      <w:r>
        <w:rPr>
          <w:sz w:val="2"/>
          <w:szCs w:val="2"/>
        </w:rPr>
        <w:t xml:space="preserve"/>
      </w:r>
    </w:p>
    <w:p>
      <w:pPr>
        <w:spacing w:after="24"/>
      </w:pPr>
      <w:r>
        <w:rPr>
          <w:rFonts w:ascii="Arial" w:cs="Arial" w:eastAsia="Arial" w:hAnsi="Arial"/>
          <w:sz w:val="21"/>
          <w:szCs w:val="21"/>
        </w:rPr>
        <w:t xml:space="preserve">Firm must maintain a risk committee that approves and periodically reviews global risk-management policies and oversees the global risk-management framework; the risk committee must report directly to the board, receive and review reports from the CRO at least quarterly, meet at least quarterly, and fully document proceedings. For a Category I GSIB the risk committee must include at least one independent director and a member with risk-management experience.</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Regulation YY, 12 CFR 252.33 (Risk-management and risk committee requirements), 12 CFR 252.33.</w:t>
      </w:r>
      <w:r>
        <w:rPr>
          <w:rFonts w:ascii="Arial" w:cs="Arial" w:eastAsia="Arial" w:hAnsi="Arial"/>
          <w:i/>
          <w:iCs/>
          <w:color w:val="3B6FB0"/>
          <w:sz w:val="15"/>
          <w:szCs w:val="15"/>
        </w:rPr>
        <w:t xml:space="preserve"> [https://www.ecfr.gov/current/title-12/chapter-II/part-252]</w:t>
      </w:r>
    </w:p>
    <w:p>
      <w:pPr>
        <w:spacing w:after="6"/>
      </w:pPr>
      <w:r>
        <w:rPr>
          <w:rFonts w:ascii="Arial" w:cs="Arial" w:eastAsia="Arial" w:hAnsi="Arial"/>
          <w:i/>
          <w:iCs/>
          <w:color w:val="7030A0"/>
          <w:sz w:val="17"/>
          <w:szCs w:val="17"/>
        </w:rPr>
        <w:t xml:space="preserve">Legal force: Regulation / enforceable (cross-listed)  ·  Consequence: Enforcement + rating (rule-backed)  ·  Cadence: Quarterly  ·  Cluster: Liquidity risk management  ·  Redundancy: Candidate redundancy  ·  Confidence: High</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LIQ-08  —  Full board  ·  Both</w:t>
      </w:r>
      <w:r>
        <w:rPr>
          <w:sz w:val="2"/>
          <w:szCs w:val="2"/>
        </w:rPr>
        <w:t xml:space="preserve"/>
      </w:r>
    </w:p>
    <w:p>
      <w:pPr>
        <w:spacing w:after="24"/>
      </w:pPr>
      <w:r>
        <w:rPr>
          <w:rFonts w:ascii="Arial" w:cs="Arial" w:eastAsia="Arial" w:hAnsi="Arial"/>
          <w:sz w:val="21"/>
          <w:szCs w:val="21"/>
        </w:rPr>
        <w:t xml:space="preserve">Board is ultimately responsible for the liquidity risk assumed by the institution and should ensure the liquidity risk tolerance is established and communicated so that all levels of management understand the trade-offs between liquidity risk and short-term profits.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SR 10-6, Interagency Policy Statement on Funding and Liquidity Risk Management (Mar. 17, 2010; addendum Aug. 1, 2023), Attachment, Corporate Governance, p. 3.</w:t>
      </w:r>
      <w:r>
        <w:rPr>
          <w:rFonts w:ascii="Arial" w:cs="Arial" w:eastAsia="Arial" w:hAnsi="Arial"/>
          <w:i/>
          <w:iCs/>
          <w:color w:val="3B6FB0"/>
          <w:sz w:val="15"/>
          <w:szCs w:val="15"/>
        </w:rPr>
        <w:t xml:space="preserve"> [https://www.federalreserve.gov/supervisionreg/srletters/SR1006.htm]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Liquidity risk management  ·  Redundancy: Candidate redundancy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LIQ-09  —  Full board or delegated board committee  ·  Both</w:t>
      </w:r>
      <w:r>
        <w:rPr>
          <w:sz w:val="2"/>
          <w:szCs w:val="2"/>
        </w:rPr>
        <w:t xml:space="preserve"/>
      </w:r>
    </w:p>
    <w:p>
      <w:pPr>
        <w:spacing w:after="24"/>
      </w:pPr>
      <w:r>
        <w:rPr>
          <w:rFonts w:ascii="Arial" w:cs="Arial" w:eastAsia="Arial" w:hAnsi="Arial"/>
          <w:sz w:val="21"/>
          <w:szCs w:val="21"/>
        </w:rPr>
        <w:t xml:space="preserve">Board or its delegated committee of board members should oversee the establishment and approval of liquidity-management strategies, policies, and procedures, and review them at least annually.</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SR 10-6 (rev. addendum Aug. 1, 2023), Attachment, p. 3.</w:t>
      </w:r>
      <w:r>
        <w:rPr>
          <w:rFonts w:ascii="Arial" w:cs="Arial" w:eastAsia="Arial" w:hAnsi="Arial"/>
          <w:i/>
          <w:iCs/>
          <w:color w:val="3B6FB0"/>
          <w:sz w:val="15"/>
          <w:szCs w:val="15"/>
        </w:rPr>
        <w:t xml:space="preserve"> [https://www.federalreserve.gov/supervisionreg/srletters/SR1006.htm]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Annual  ·  Cluster: Liquidity risk management  ·  Redundancy: Candidate redundancy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LIQ-10  —  Full board  ·  Both</w:t>
      </w:r>
      <w:r>
        <w:rPr>
          <w:sz w:val="2"/>
          <w:szCs w:val="2"/>
        </w:rPr>
        <w:t xml:space="preserve"/>
      </w:r>
    </w:p>
    <w:p>
      <w:pPr>
        <w:spacing w:after="24"/>
      </w:pPr>
      <w:r>
        <w:rPr>
          <w:rFonts w:ascii="Arial" w:cs="Arial" w:eastAsia="Arial" w:hAnsi="Arial"/>
          <w:sz w:val="21"/>
          <w:szCs w:val="21"/>
        </w:rPr>
        <w:t xml:space="preserve">Board should ensure it: understands the nature of the firm's liquidity risks and periodically reviews information to maintain that understanding; establishes executive-level lines of authority and responsibility; enforces management's duties to identify, measure, monitor, and control liquidity risk; understands and periodically reviews contingency funding plans; and understands the liquidity profiles of important subsidiaries/affiliates.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SR 10-6, Attachment, p. 3.</w:t>
      </w:r>
      <w:r>
        <w:rPr>
          <w:rFonts w:ascii="Arial" w:cs="Arial" w:eastAsia="Arial" w:hAnsi="Arial"/>
          <w:i/>
          <w:iCs/>
          <w:color w:val="3B6FB0"/>
          <w:sz w:val="15"/>
          <w:szCs w:val="15"/>
        </w:rPr>
        <w:t xml:space="preserve"> [https://www.federalreserve.gov/supervisionreg/srletters/SR1006.htm]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Liquidity risk management  ·  Redundancy: Candidate redundancy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LIQ-11  —  Full board  ·  Both</w:t>
      </w:r>
      <w:r>
        <w:rPr>
          <w:sz w:val="2"/>
          <w:szCs w:val="2"/>
        </w:rPr>
        <w:t xml:space="preserve"/>
      </w:r>
    </w:p>
    <w:p>
      <w:pPr>
        <w:spacing w:after="24"/>
      </w:pPr>
      <w:r>
        <w:rPr>
          <w:rFonts w:ascii="Arial" w:cs="Arial" w:eastAsia="Arial" w:hAnsi="Arial"/>
          <w:sz w:val="21"/>
          <w:szCs w:val="21"/>
        </w:rPr>
        <w:t xml:space="preserve">Board of directors should receive liquidity risk reports at least quarterly, conveying risk exposure, limit compliance, and consistency of strategies with the board's expressed risk tolerance.</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SR 10-6, Attachment, p. 5.</w:t>
      </w:r>
      <w:r>
        <w:rPr>
          <w:rFonts w:ascii="Arial" w:cs="Arial" w:eastAsia="Arial" w:hAnsi="Arial"/>
          <w:i/>
          <w:iCs/>
          <w:color w:val="3B6FB0"/>
          <w:sz w:val="15"/>
          <w:szCs w:val="15"/>
        </w:rPr>
        <w:t xml:space="preserve"> [https://www.federalreserve.gov/supervisionreg/srletters/SR1006.htm]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Quarterly  ·  Cluster: Liquidity risk management  ·  Redundancy: Candidate redundancy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LIQ-12  —  Full board; senior management  ·  Both</w:t>
      </w:r>
      <w:r>
        <w:rPr>
          <w:sz w:val="2"/>
          <w:szCs w:val="2"/>
        </w:rPr>
        <w:t xml:space="preserve"/>
      </w:r>
    </w:p>
    <w:p>
      <w:pPr>
        <w:spacing w:after="24"/>
      </w:pPr>
      <w:r>
        <w:rPr>
          <w:rFonts w:ascii="Arial" w:cs="Arial" w:eastAsia="Arial" w:hAnsi="Arial"/>
          <w:sz w:val="21"/>
          <w:szCs w:val="21"/>
        </w:rPr>
        <w:t xml:space="preserve">Institutions should maintain, regularly test, and update actionable contingency funding plans across a range of stress scenarios, with explicit direction to boards and management; if the discount window is part of the CFP, establish operational readiness (including periodic test transactions).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SR 10-6, 2023 Addendum: Importance of Contingency Funding Plans (issued July 28, 2023; eff. Aug. 1, 2023; OCC Bulletin 2023-25; FDIC FIL-39-2023), Addendum.</w:t>
      </w:r>
      <w:r>
        <w:rPr>
          <w:rFonts w:ascii="Arial" w:cs="Arial" w:eastAsia="Arial" w:hAnsi="Arial"/>
          <w:i/>
          <w:iCs/>
          <w:color w:val="3B6FB0"/>
          <w:sz w:val="15"/>
          <w:szCs w:val="15"/>
        </w:rPr>
        <w:t xml:space="preserve"> [https://www.federalreserve.gov/supervisionreg/srletters/SR1006.htm]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Liquidity risk management  ·  Redundancy: Candidate redundancy  ·  Confidence: Medium</w:t>
      </w:r>
    </w:p>
    <w:p>
      <w:pPr>
        <w:spacing w:after="104"/>
      </w:pPr>
      <w:r>
        <w:rPr>
          <w:rFonts w:ascii="Arial" w:cs="Arial" w:eastAsia="Arial" w:hAnsi="Arial"/>
          <w:i/>
          <w:iCs/>
          <w:color w:val="595959"/>
          <w:sz w:val="17"/>
          <w:szCs w:val="17"/>
        </w:rPr>
        <w:t xml:space="preserve">Note: Post-2023 tightening; runs counter to the 2025-26 capital-side loosening.</w:t>
      </w:r>
    </w:p>
    <w:p>
      <w:pPr>
        <w:keepNext/>
        <w:spacing w:after="16" w:before="104"/>
      </w:pPr>
      <w:r>
        <w:rPr>
          <w:rFonts w:ascii="Arial" w:cs="Arial" w:eastAsia="Arial" w:hAnsi="Arial"/>
          <w:b/>
          <w:bCs/>
          <w:color w:val="1F3864"/>
          <w:sz w:val="21"/>
          <w:szCs w:val="21"/>
        </w:rPr>
        <w:t xml:space="preserve">LIQ-13  —  Risk committee (CFP); Full board (tolerance); senior management (methodology/buffer)  ·  BHC</w:t>
      </w:r>
      <w:r>
        <w:rPr>
          <w:sz w:val="2"/>
          <w:szCs w:val="2"/>
        </w:rPr>
        <w:t xml:space="preserve"/>
      </w:r>
    </w:p>
    <w:p>
      <w:pPr>
        <w:spacing w:after="24"/>
      </w:pPr>
      <w:r>
        <w:rPr>
          <w:rFonts w:ascii="Arial" w:cs="Arial" w:eastAsia="Arial" w:hAnsi="Arial"/>
          <w:sz w:val="21"/>
          <w:szCs w:val="21"/>
        </w:rPr>
        <w:t xml:space="preserve">No separate board-approval duty exists for the ILST methodology or for LCR/NSFR; senior management approves ILST practices/assumptions, reviews results quarterly, and approves the liquidity buffer. Board/risk-committee hooks run through the risk-tolerance approval (LIQ-01) and the CFP approval (LIQ-04).</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Internal Liquidity Stress Testing, 12 CFR 252.35; LCR (12 CFR 249) and NSFR governance, 12 CFR 252.35; 252.34(c)(6).</w:t>
      </w:r>
      <w:r>
        <w:rPr>
          <w:rFonts w:ascii="Arial" w:cs="Arial" w:eastAsia="Arial" w:hAnsi="Arial"/>
          <w:i/>
          <w:iCs/>
          <w:color w:val="3B6FB0"/>
          <w:sz w:val="15"/>
          <w:szCs w:val="15"/>
        </w:rPr>
        <w:t xml:space="preserve"> [https://www.ecfr.gov/current/title-12/chapter-II/part-252]</w:t>
      </w:r>
    </w:p>
    <w:p>
      <w:pPr>
        <w:spacing w:after="6"/>
      </w:pPr>
      <w:r>
        <w:rPr>
          <w:rFonts w:ascii="Arial" w:cs="Arial" w:eastAsia="Arial" w:hAnsi="Arial"/>
          <w:i/>
          <w:iCs/>
          <w:color w:val="7030A0"/>
          <w:sz w:val="17"/>
          <w:szCs w:val="17"/>
        </w:rPr>
        <w:t xml:space="preserve">Legal force: Regulation / enforceable (cross-listed)  ·  Consequence: Enforcement + rating (rule-backed)  ·  Cadence: Quarterly  ·  Cluster: Liquidity risk management  ·  Redundancy: Candidate redundancy  ·  Confidence: High</w:t>
      </w:r>
    </w:p>
    <w:p>
      <w:pPr>
        <w:spacing w:after="104"/>
      </w:pPr>
      <w:r>
        <w:rPr>
          <w:rFonts w:ascii="Arial" w:cs="Arial" w:eastAsia="Arial" w:hAnsi="Arial"/>
          <w:i/>
          <w:iCs/>
          <w:color w:val="595959"/>
          <w:sz w:val="17"/>
          <w:szCs w:val="17"/>
        </w:rPr>
        <w:t xml:space="preserve">Note: Clarifies the absence of a discrete board ILST/LCR/NSFR attestation.</w:t>
      </w:r>
    </w:p>
    <w:p>
      <w:pPr>
        <w:keepNext/>
        <w:spacing w:after="16" w:before="104"/>
      </w:pPr>
      <w:r>
        <w:rPr>
          <w:rFonts w:ascii="Arial" w:cs="Arial" w:eastAsia="Arial" w:hAnsi="Arial"/>
          <w:b/>
          <w:bCs/>
          <w:color w:val="1F3864"/>
          <w:sz w:val="21"/>
          <w:szCs w:val="21"/>
        </w:rPr>
        <w:t xml:space="preserve">OLQ-01  —  Full board  ·  IDI</w:t>
      </w:r>
      <w:r>
        <w:rPr>
          <w:sz w:val="2"/>
          <w:szCs w:val="2"/>
        </w:rPr>
        <w:t xml:space="preserve"/>
      </w:r>
    </w:p>
    <w:p>
      <w:pPr>
        <w:spacing w:after="24"/>
      </w:pPr>
      <w:r>
        <w:rPr>
          <w:rFonts w:ascii="Arial" w:cs="Arial" w:eastAsia="Arial" w:hAnsi="Arial"/>
          <w:sz w:val="21"/>
          <w:szCs w:val="21"/>
        </w:rPr>
        <w:t xml:space="preserve">Board and management implement an effective liquidity risk-management process supported by reliable, forward-looking MIS; the board sets strategic direction, assesses liquidity risk appetite and the liquidity needed for strategic initiatives, implements policies for business-as-usual and stressed conditions, defines committee/management roles with segregation of execution and oversight, and establishes key liquidity risk limits.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Comptroller's Handbook, Liquidity, v1.2, Board responsibilities (local ll. ~1260-1282).</w:t>
      </w:r>
      <w:r>
        <w:rPr>
          <w:rFonts w:ascii="Arial" w:cs="Arial" w:eastAsia="Arial" w:hAnsi="Arial"/>
          <w:i/>
          <w:iCs/>
          <w:color w:val="BF8F00"/>
          <w:sz w:val="15"/>
          <w:szCs w:val="15"/>
        </w:rPr>
        <w:t xml:space="preserve">  [URL not captured]</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Liquidity risk management  ·  Redundancy: Candidate redundancy  ·  Confidence: Medium</w:t>
      </w:r>
    </w:p>
    <w:p>
      <w:pPr>
        <w:spacing w:after="104"/>
      </w:pPr>
      <w:r>
        <w:rPr>
          <w:rFonts w:ascii="Arial" w:cs="Arial" w:eastAsia="Arial" w:hAnsi="Arial"/>
          <w:i/>
          <w:iCs/>
          <w:color w:val="595959"/>
          <w:sz w:val="17"/>
          <w:szCs w:val="17"/>
        </w:rPr>
        <w:t xml:space="preserve">Note: IDI-level handbook complement to SR 10-6 and Reg YY.</w:t>
      </w:r>
    </w:p>
    <w:p>
      <w:pPr>
        <w:keepNext/>
        <w:spacing w:after="16" w:before="104"/>
      </w:pPr>
      <w:r>
        <w:rPr>
          <w:rFonts w:ascii="Arial" w:cs="Arial" w:eastAsia="Arial" w:hAnsi="Arial"/>
          <w:b/>
          <w:bCs/>
          <w:color w:val="1F3864"/>
          <w:sz w:val="21"/>
          <w:szCs w:val="21"/>
        </w:rPr>
        <w:t xml:space="preserve">OLQ-02  —  Full board  ·  IDI</w:t>
      </w:r>
      <w:r>
        <w:rPr>
          <w:sz w:val="2"/>
          <w:szCs w:val="2"/>
        </w:rPr>
        <w:t xml:space="preserve"/>
      </w:r>
    </w:p>
    <w:p>
      <w:pPr>
        <w:spacing w:after="24"/>
      </w:pPr>
      <w:r>
        <w:rPr>
          <w:rFonts w:ascii="Arial" w:cs="Arial" w:eastAsia="Arial" w:hAnsi="Arial"/>
          <w:sz w:val="21"/>
          <w:szCs w:val="21"/>
        </w:rPr>
        <w:t xml:space="preserve">Board should regularly receive reports detailing the bank's liquidity position, be immediately informed of material changes in the liquidity risk profile, approve formal liquidity policies and procedures, and (in multibank holding companies) understand the liquidity profile of important affiliates and their impact on the bank.</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Comptroller's Handbook, Liquidity, v1.2, Board reporting (local ll. ~1273-1295).</w:t>
      </w:r>
      <w:r>
        <w:rPr>
          <w:rFonts w:ascii="Arial" w:cs="Arial" w:eastAsia="Arial" w:hAnsi="Arial"/>
          <w:i/>
          <w:iCs/>
          <w:color w:val="BF8F00"/>
          <w:sz w:val="15"/>
          <w:szCs w:val="15"/>
        </w:rPr>
        <w:t xml:space="preserve">  [URL not captured]</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Liquidity risk management  ·  Redundancy: Candidate redundancy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OLQ-03  —  Full board; audit committee  ·  IDI</w:t>
      </w:r>
      <w:r>
        <w:rPr>
          <w:sz w:val="2"/>
          <w:szCs w:val="2"/>
        </w:rPr>
        <w:t xml:space="preserve"/>
      </w:r>
    </w:p>
    <w:p>
      <w:pPr>
        <w:spacing w:after="24"/>
      </w:pPr>
      <w:r>
        <w:rPr>
          <w:rFonts w:ascii="Arial" w:cs="Arial" w:eastAsia="Arial" w:hAnsi="Arial"/>
          <w:sz w:val="21"/>
          <w:szCs w:val="21"/>
        </w:rPr>
        <w:t xml:space="preserve">Examiners assess whether reporting and escalation processes inform the board of liquidity risks and whether control/reporting deficiencies are reported to the audit committee with remediation plans.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Comptroller's Handbook, Liquidity, v1.2, Examination procedures (local ll. ~3442-3455).</w:t>
      </w:r>
      <w:r>
        <w:rPr>
          <w:rFonts w:ascii="Arial" w:cs="Arial" w:eastAsia="Arial" w:hAnsi="Arial"/>
          <w:i/>
          <w:iCs/>
          <w:color w:val="BF8F00"/>
          <w:sz w:val="15"/>
          <w:szCs w:val="15"/>
        </w:rPr>
        <w:t xml:space="preserve">  [URL not captured]</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Liquidity risk management  ·  Redundancy: Candidate redundancy  ·  Confidence: Medium</w:t>
      </w:r>
    </w:p>
    <w:p>
      <w:pPr>
        <w:spacing w:after="96"/>
      </w:pPr>
      <w:r>
        <w:rPr>
          <w:sz w:val="2"/>
          <w:szCs w:val="2"/>
        </w:rPr>
        <w:t xml:space="preserve"/>
      </w:r>
    </w:p>
    <w:p>
      <w:pPr>
        <w:pStyle w:val="Heading2"/>
      </w:pPr>
      <w:r>
        <w:t xml:space="preserve">5. Resolution planning</w:t>
      </w:r>
    </w:p>
    <w:p>
      <w:pPr>
        <w:keepNext/>
        <w:spacing w:after="16" w:before="104"/>
      </w:pPr>
      <w:r>
        <w:rPr>
          <w:rFonts w:ascii="Arial" w:cs="Arial" w:eastAsia="Arial" w:hAnsi="Arial"/>
          <w:b/>
          <w:bCs/>
          <w:color w:val="1F3864"/>
          <w:sz w:val="21"/>
          <w:szCs w:val="21"/>
        </w:rPr>
        <w:t xml:space="preserve">RES-01  —  Full board (parent and material-entity boards)  ·  Both</w:t>
      </w:r>
      <w:r>
        <w:rPr>
          <w:sz w:val="2"/>
          <w:szCs w:val="2"/>
        </w:rPr>
        <w:t xml:space="preserve"/>
      </w:r>
    </w:p>
    <w:p>
      <w:pPr>
        <w:spacing w:after="24"/>
      </w:pPr>
      <w:r>
        <w:rPr>
          <w:rFonts w:ascii="Arial" w:cs="Arial" w:eastAsia="Arial" w:hAnsi="Arial"/>
          <w:sz w:val="21"/>
          <w:szCs w:val="21"/>
        </w:rPr>
        <w:t xml:space="preserve">Firm should identify governance mechanisms ensuring execution of required board actions at the appropriate time, with pre-action triggers and existing agreements; governance playbooks should detail the board and senior-management actions necessary to facilitate the preferred resolution strategy.</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Final Guidance for the 2019 and Subsequent Resolution Plan Submissions by the Eight Largest, Complex U.S. Banking Organizations (84 FR 1438, Feb. 4, 2019), Section IV (Governance Mechanisms), p. 54.</w:t>
      </w:r>
      <w:r>
        <w:rPr>
          <w:rFonts w:ascii="Arial" w:cs="Arial" w:eastAsia="Arial" w:hAnsi="Arial"/>
          <w:i/>
          <w:iCs/>
          <w:color w:val="BF8F00"/>
          <w:sz w:val="15"/>
          <w:szCs w:val="15"/>
        </w:rPr>
        <w:t xml:space="preserve">  [URL not captured]</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Resolution, recovery &amp; contingency funding  ·  Redundancy: Mixed (parallel-but-justified + candidate redundancy)  ·  Confidence: Medium</w:t>
      </w:r>
    </w:p>
    <w:p>
      <w:pPr>
        <w:spacing w:after="104"/>
      </w:pPr>
      <w:r>
        <w:rPr>
          <w:rFonts w:ascii="Arial" w:cs="Arial" w:eastAsia="Arial" w:hAnsi="Arial"/>
          <w:i/>
          <w:iCs/>
          <w:color w:val="595959"/>
          <w:sz w:val="17"/>
          <w:szCs w:val="17"/>
        </w:rPr>
        <w:t xml:space="preserve">Note: Operative Title I sec.165(d) guidance for the eight U.S. GSIBs (biennial filers); governed the July 2025 submissions. The underlying plan-approval duty is in Regulation QQ, 12 CFR part 243 (a legal obligation).</w:t>
      </w:r>
    </w:p>
    <w:p>
      <w:pPr>
        <w:keepNext/>
        <w:spacing w:after="16" w:before="104"/>
      </w:pPr>
      <w:r>
        <w:rPr>
          <w:rFonts w:ascii="Arial" w:cs="Arial" w:eastAsia="Arial" w:hAnsi="Arial"/>
          <w:b/>
          <w:bCs/>
          <w:color w:val="1F3864"/>
          <w:sz w:val="21"/>
          <w:szCs w:val="21"/>
        </w:rPr>
        <w:t xml:space="preserve">RES-02  —  Full board (group-wide boards)  ·  Both</w:t>
      </w:r>
      <w:r>
        <w:rPr>
          <w:sz w:val="2"/>
          <w:szCs w:val="2"/>
        </w:rPr>
        <w:t xml:space="preserve"/>
      </w:r>
    </w:p>
    <w:p>
      <w:pPr>
        <w:spacing w:after="24"/>
      </w:pPr>
      <w:r>
        <w:rPr>
          <w:rFonts w:ascii="Arial" w:cs="Arial" w:eastAsia="Arial" w:hAnsi="Arial"/>
          <w:sz w:val="21"/>
          <w:szCs w:val="21"/>
        </w:rPr>
        <w:t xml:space="preserve">Governance playbooks should discuss the boards' fiduciary responsibilities and how planned actions are consistent with them, potential conflicts of interest (including interlocking boards of directors), and any employee retention policy; playbooks updated for all entities whose boards would need to act before resolution.</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2019 U.S. GSIB Resolution Plan Guidance (84 FR 1438), Section IV, pp. 54-55.</w:t>
      </w:r>
      <w:r>
        <w:rPr>
          <w:rFonts w:ascii="Arial" w:cs="Arial" w:eastAsia="Arial" w:hAnsi="Arial"/>
          <w:i/>
          <w:iCs/>
          <w:color w:val="BF8F00"/>
          <w:sz w:val="15"/>
          <w:szCs w:val="15"/>
        </w:rPr>
        <w:t xml:space="preserve">  [URL not captured]</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Resolution, recovery &amp; contingency funding  ·  Redundancy: Mixed (parallel-but-justified + candidate redundancy)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RES-03  —  Full board (filing decision)  ·  Both</w:t>
      </w:r>
      <w:r>
        <w:rPr>
          <w:sz w:val="2"/>
          <w:szCs w:val="2"/>
        </w:rPr>
        <w:t xml:space="preserve"/>
      </w:r>
    </w:p>
    <w:p>
      <w:pPr>
        <w:spacing w:after="24"/>
      </w:pPr>
      <w:r>
        <w:rPr>
          <w:rFonts w:ascii="Arial" w:cs="Arial" w:eastAsia="Arial" w:hAnsi="Arial"/>
          <w:sz w:val="21"/>
          <w:szCs w:val="21"/>
        </w:rPr>
        <w:t xml:space="preserve">Firm should establish triggers for escalation of information to senior management and the board(s) leading to the decision to file for bankruptcy, constructed so that breach allows time for stakeholder communications and requisite board actions.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2019 U.S. GSIB Resolution Plan Guidance (84 FR 1438), Section IV, p. 55.</w:t>
      </w:r>
      <w:r>
        <w:rPr>
          <w:rFonts w:ascii="Arial" w:cs="Arial" w:eastAsia="Arial" w:hAnsi="Arial"/>
          <w:i/>
          <w:iCs/>
          <w:color w:val="BF8F00"/>
          <w:sz w:val="15"/>
          <w:szCs w:val="15"/>
        </w:rPr>
        <w:t xml:space="preserve">  [URL not captured]</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Resolution, recovery &amp; contingency funding  ·  Redundancy: Mixed (parallel-but-justified + candidate redundancy)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RES-04  —  Full board  ·  Both</w:t>
      </w:r>
      <w:r>
        <w:rPr>
          <w:sz w:val="2"/>
          <w:szCs w:val="2"/>
        </w:rPr>
        <w:t xml:space="preserve"/>
      </w:r>
    </w:p>
    <w:p>
      <w:pPr>
        <w:spacing w:after="24"/>
      </w:pPr>
      <w:r>
        <w:rPr>
          <w:rFonts w:ascii="Arial" w:cs="Arial" w:eastAsia="Arial" w:hAnsi="Arial"/>
          <w:sz w:val="21"/>
          <w:szCs w:val="21"/>
        </w:rPr>
        <w:t xml:space="preserve">The Resolution Liquidity Execution Need (RLEN) estimate should be tied to governance mechanisms and incorporated into playbooks to assist the board of directors in taking timely resolution-related actions.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2019 U.S. GSIB Resolution Plan Guidance (84 FR 1438), Liquidity section, p. 53.</w:t>
      </w:r>
      <w:r>
        <w:rPr>
          <w:rFonts w:ascii="Arial" w:cs="Arial" w:eastAsia="Arial" w:hAnsi="Arial"/>
          <w:i/>
          <w:iCs/>
          <w:color w:val="BF8F00"/>
          <w:sz w:val="15"/>
          <w:szCs w:val="15"/>
        </w:rPr>
        <w:t xml:space="preserve">  [URL not captured]</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Resolution, recovery &amp; contingency funding  ·  Redundancy: Mixed (parallel-but-justified + candidate redundancy)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RES-05  —  Full board or appropriate committee  ·  IDI</w:t>
      </w:r>
      <w:r>
        <w:rPr>
          <w:sz w:val="2"/>
          <w:szCs w:val="2"/>
        </w:rPr>
        <w:t xml:space="preserve"/>
      </w:r>
    </w:p>
    <w:p>
      <w:pPr>
        <w:spacing w:after="24"/>
      </w:pPr>
      <w:r>
        <w:rPr>
          <w:rFonts w:ascii="Arial" w:cs="Arial" w:eastAsia="Arial" w:hAnsi="Arial"/>
          <w:sz w:val="21"/>
          <w:szCs w:val="21"/>
        </w:rPr>
        <w:t xml:space="preserve">A covered IDI's resolution submission must include procedures for escalating decision-making to senior management or the board of directors (or an appropriate committee thereof).</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FDIC IDI Resolution Plan Rule, 12 CFR 360.10 (89 FR 56620, July 9, 2024; eff. Oct. 1, 2024); implementing FIL-63-2025 (Dec. 31, 2025), 12 CFR 360.10 (content requirements).</w:t>
      </w:r>
      <w:r>
        <w:rPr>
          <w:rFonts w:ascii="Arial" w:cs="Arial" w:eastAsia="Arial" w:hAnsi="Arial"/>
          <w:i/>
          <w:iCs/>
          <w:color w:val="3B6FB0"/>
          <w:sz w:val="15"/>
          <w:szCs w:val="15"/>
        </w:rPr>
        <w:t xml:space="preserve"> [https://www.ecfr.gov/current/title-12/chapter-III/part-360/section-360.10]</w:t>
      </w:r>
    </w:p>
    <w:p>
      <w:pPr>
        <w:spacing w:after="6"/>
      </w:pPr>
      <w:r>
        <w:rPr>
          <w:rFonts w:ascii="Arial" w:cs="Arial" w:eastAsia="Arial" w:hAnsi="Arial"/>
          <w:i/>
          <w:iCs/>
          <w:color w:val="7030A0"/>
          <w:sz w:val="17"/>
          <w:szCs w:val="17"/>
        </w:rPr>
        <w:t xml:space="preserve">Legal force: Regulation / enforceable (cross-listed)  ·  Consequence: Enforcement + rating (rule-backed)  ·  Cadence: Periodic / ongoing  ·  Cluster: Resolution, recovery &amp; contingency funding  ·  Redundancy: Mixed (parallel-but-justified + candidate redundancy)  ·  Confidence: High</w:t>
      </w:r>
    </w:p>
    <w:p>
      <w:pPr>
        <w:spacing w:after="104"/>
      </w:pPr>
      <w:r>
        <w:rPr>
          <w:rFonts w:ascii="Arial" w:cs="Arial" w:eastAsia="Arial" w:hAnsi="Arial"/>
          <w:i/>
          <w:iCs/>
          <w:color w:val="595959"/>
          <w:sz w:val="17"/>
          <w:szCs w:val="17"/>
        </w:rPr>
        <w:t xml:space="preserve">Note: Rule content requirement. April 2025 modified supervisory approach waived speculative/low-value content; FDIC plans to propose rule changes in 2026. U.S. GSIB CIDIs scheduled to file by July 1, 2026 submit only an interim supplement.</w:t>
      </w:r>
    </w:p>
    <w:p>
      <w:pPr>
        <w:pStyle w:val="Heading2"/>
      </w:pPr>
      <w:r>
        <w:t xml:space="preserve">6. Recovery planning</w:t>
      </w:r>
    </w:p>
    <w:p>
      <w:pPr>
        <w:keepNext/>
        <w:spacing w:after="16" w:before="104"/>
      </w:pPr>
      <w:r>
        <w:rPr>
          <w:rFonts w:ascii="Arial" w:cs="Arial" w:eastAsia="Arial" w:hAnsi="Arial"/>
          <w:b/>
          <w:bCs/>
          <w:color w:val="1F3864"/>
          <w:sz w:val="21"/>
          <w:szCs w:val="21"/>
        </w:rPr>
        <w:t xml:space="preserve">REC-01  —  Full board (oversight of capabilities)  ·  BHC</w:t>
      </w:r>
      <w:r>
        <w:rPr>
          <w:sz w:val="2"/>
          <w:szCs w:val="2"/>
        </w:rPr>
        <w:t xml:space="preserve"/>
      </w:r>
    </w:p>
    <w:p>
      <w:pPr>
        <w:spacing w:after="24"/>
      </w:pPr>
      <w:r>
        <w:rPr>
          <w:rFonts w:ascii="Arial" w:cs="Arial" w:eastAsia="Arial" w:hAnsi="Arial"/>
          <w:sz w:val="21"/>
          <w:szCs w:val="21"/>
        </w:rPr>
        <w:t xml:space="preserve">The eight U.S. GSIB BHCs must maintain enumerated recovery/resolution-preparedness capabilities (collateral management; payment, clearing, and settlement obligations; legal-entity funding analysis under stress; MIS producing legal-entity data with integrity controls; robust arrangements for shared/outsourced services), under board and senior-management oversight.</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SR 14-1, Heightened Supervisory Expectations for Recovery and Resolution Preparedness for Certain Large Bank Holding Companies (Jan. 24, 2014), Attachment, Principles and Practices for Recovery and Resolution Preparedness.</w:t>
      </w:r>
      <w:r>
        <w:rPr>
          <w:rFonts w:ascii="Arial" w:cs="Arial" w:eastAsia="Arial" w:hAnsi="Arial"/>
          <w:i/>
          <w:iCs/>
          <w:color w:val="3B6FB0"/>
          <w:sz w:val="15"/>
          <w:szCs w:val="15"/>
        </w:rPr>
        <w:t xml:space="preserve"> [https://www.federalreserve.gov/supervisionreg/srletters/sr1401.htm]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Resolution, recovery &amp; contingency funding  ·  Redundancy: Mixed (parallel-but-justified + candidate redundancy)  ·  Confidence: Medium</w:t>
      </w:r>
    </w:p>
    <w:p>
      <w:pPr>
        <w:spacing w:after="104"/>
      </w:pPr>
      <w:r>
        <w:rPr>
          <w:rFonts w:ascii="Arial" w:cs="Arial" w:eastAsia="Arial" w:hAnsi="Arial"/>
          <w:i/>
          <w:iCs/>
          <w:color w:val="595959"/>
          <w:sz w:val="17"/>
          <w:szCs w:val="17"/>
        </w:rPr>
        <w:t xml:space="preserve">Note: Applies only to the eight U.S. GSIB BHCs (named in fn. 1). Exposed to the 2025-26 deregulatory current; re-verify before reliance.</w:t>
      </w:r>
    </w:p>
    <w:p>
      <w:pPr>
        <w:keepNext/>
        <w:spacing w:after="16" w:before="104"/>
      </w:pPr>
      <w:r>
        <w:rPr>
          <w:rFonts w:ascii="Arial" w:cs="Arial" w:eastAsia="Arial" w:hAnsi="Arial"/>
          <w:b/>
          <w:bCs/>
          <w:color w:val="1F3864"/>
          <w:sz w:val="21"/>
          <w:szCs w:val="21"/>
        </w:rPr>
        <w:t xml:space="preserve">REC-02  —  Full board or designated committee  ·  BHC</w:t>
      </w:r>
      <w:r>
        <w:rPr>
          <w:sz w:val="2"/>
          <w:szCs w:val="2"/>
        </w:rPr>
        <w:t xml:space="preserve"/>
      </w:r>
    </w:p>
    <w:p>
      <w:pPr>
        <w:spacing w:after="24"/>
      </w:pPr>
      <w:r>
        <w:rPr>
          <w:rFonts w:ascii="Arial" w:cs="Arial" w:eastAsia="Arial" w:hAnsi="Arial"/>
          <w:sz w:val="21"/>
          <w:szCs w:val="21"/>
        </w:rPr>
        <w:t xml:space="preserve">Board is responsible for oversight of the firm's recovery planning process; the board, or a designated committee thereof, should focus this oversight on the firm's ability to identify and implement recovery options and oversee management's remediation of weaknesses.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SR 14-8, Consolidated Recovery Planning for Certain Large Domestic Bank Holding Companies (Sept. 25, 2014; revised Oct. 1, 2025), Section 'Role of the Board of Directors'.</w:t>
      </w:r>
      <w:r>
        <w:rPr>
          <w:rFonts w:ascii="Arial" w:cs="Arial" w:eastAsia="Arial" w:hAnsi="Arial"/>
          <w:i/>
          <w:iCs/>
          <w:color w:val="3B6FB0"/>
          <w:sz w:val="15"/>
          <w:szCs w:val="15"/>
        </w:rPr>
        <w:t xml:space="preserve"> [https://www.federalreserve.gov/supervisionreg/srletters/sr1408.htm]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Event-driven  ·  Cluster: Resolution, recovery &amp; contingency funding  ·  Redundancy: Mixed (parallel-but-justified + candidate redundancy)  ·  Confidence: Medium</w:t>
      </w:r>
    </w:p>
    <w:p>
      <w:pPr>
        <w:spacing w:after="104"/>
      </w:pPr>
      <w:r>
        <w:rPr>
          <w:rFonts w:ascii="Arial" w:cs="Arial" w:eastAsia="Arial" w:hAnsi="Arial"/>
          <w:i/>
          <w:iCs/>
          <w:color w:val="595959"/>
          <w:sz w:val="17"/>
          <w:szCs w:val="17"/>
        </w:rPr>
        <w:t xml:space="preserve">Note: Oct. 1, 2025 revision removed reputational-risk references; board-oversight language unchanged. This is the operative recovery-planning board expectation for the GSIBs at the holding-company level.</w:t>
      </w:r>
    </w:p>
    <w:p>
      <w:pPr>
        <w:keepNext/>
        <w:spacing w:after="16" w:before="104"/>
      </w:pPr>
      <w:r>
        <w:rPr>
          <w:rFonts w:ascii="Arial" w:cs="Arial" w:eastAsia="Arial" w:hAnsi="Arial"/>
          <w:b/>
          <w:bCs/>
          <w:color w:val="1F3864"/>
          <w:sz w:val="21"/>
          <w:szCs w:val="21"/>
        </w:rPr>
        <w:t xml:space="preserve">REC-03  —  Full board  ·  BHC</w:t>
      </w:r>
      <w:r>
        <w:rPr>
          <w:sz w:val="2"/>
          <w:szCs w:val="2"/>
        </w:rPr>
        <w:t xml:space="preserve"/>
      </w:r>
    </w:p>
    <w:p>
      <w:pPr>
        <w:spacing w:after="24"/>
      </w:pPr>
      <w:r>
        <w:rPr>
          <w:rFonts w:ascii="Arial" w:cs="Arial" w:eastAsia="Arial" w:hAnsi="Arial"/>
          <w:sz w:val="21"/>
          <w:szCs w:val="21"/>
        </w:rPr>
        <w:t xml:space="preserve">Successful integration should yield timely escalation by management of identified weaknesses and planned responses to the board; the recovery plan's internal-governance element must describe triggers indicating entry into recovery and related escalation procedures, including notification of the board of directors.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SR 14-8 (rev. Oct. 1, 2025), Section 'Supervisory Expectations'; 'Internal Governance' element.</w:t>
      </w:r>
      <w:r>
        <w:rPr>
          <w:rFonts w:ascii="Arial" w:cs="Arial" w:eastAsia="Arial" w:hAnsi="Arial"/>
          <w:i/>
          <w:iCs/>
          <w:color w:val="3B6FB0"/>
          <w:sz w:val="15"/>
          <w:szCs w:val="15"/>
        </w:rPr>
        <w:t xml:space="preserve"> [https://www.federalreserve.gov/supervisionreg/srletters/sr1408.htm]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Resolution, recovery &amp; contingency funding  ·  Redundancy: Mixed (parallel-but-justified + candidate redundancy)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REC-04  —  n/a (rescinded)  ·  IDI</w:t>
      </w:r>
      <w:r>
        <w:rPr>
          <w:rFonts w:ascii="Arial" w:cs="Arial" w:eastAsia="Arial" w:hAnsi="Arial"/>
          <w:b/>
          <w:bCs/>
          <w:color w:val="C00000"/>
          <w:sz w:val="17"/>
          <w:szCs w:val="17"/>
        </w:rPr>
        <w:t xml:space="preserve">  [RESCINDED EFFECTIVE MAY 1, 2026]</w:t>
      </w:r>
    </w:p>
    <w:p>
      <w:pPr>
        <w:spacing w:after="24"/>
      </w:pPr>
      <w:r>
        <w:rPr>
          <w:rFonts w:ascii="Arial" w:cs="Arial" w:eastAsia="Arial" w:hAnsi="Arial"/>
          <w:sz w:val="21"/>
          <w:szCs w:val="21"/>
        </w:rPr>
        <w:t xml:space="preserve">RESCINDED: Board (or an appropriate committee) was to review and approve the recovery plan at least annually and oversee the recovery-planning process. As of May 1, 2026 this IDI-level board duty no longer exists.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OCC Guidelines Establishing Standards for Recovery Planning, 12 CFR part 30, Appendix E (81 FR 66791, 2016; amended 2018, 2024), App. E, Section III.</w:t>
      </w:r>
      <w:r>
        <w:rPr>
          <w:rFonts w:ascii="Arial" w:cs="Arial" w:eastAsia="Arial" w:hAnsi="Arial"/>
          <w:i/>
          <w:iCs/>
          <w:color w:val="3B6FB0"/>
          <w:sz w:val="15"/>
          <w:szCs w:val="15"/>
        </w:rPr>
        <w:t xml:space="preserve"> [https://www.occ.gov/news-issuances/bulletins/2026/bulletin-2026-10.html]</w:t>
      </w:r>
    </w:p>
    <w:p>
      <w:pPr>
        <w:spacing w:after="6"/>
      </w:pPr>
      <w:r>
        <w:rPr>
          <w:rFonts w:ascii="Arial" w:cs="Arial" w:eastAsia="Arial" w:hAnsi="Arial"/>
          <w:i/>
          <w:iCs/>
          <w:color w:val="7030A0"/>
          <w:sz w:val="17"/>
          <w:szCs w:val="17"/>
        </w:rPr>
        <w:t xml:space="preserve">Legal force: Rescinded / retired  ·  Consequence: None (not current)  ·  Cadence: Annual  ·  Cluster: Resolution, recovery &amp; contingency funding  ·  Redundancy: Mixed (parallel-but-justified + candidate redundancy)  ·  Confidence: High (web-verified)</w:t>
      </w:r>
    </w:p>
    <w:p>
      <w:pPr>
        <w:spacing w:after="104"/>
      </w:pPr>
      <w:r>
        <w:rPr>
          <w:rFonts w:ascii="Arial" w:cs="Arial" w:eastAsia="Arial" w:hAnsi="Arial"/>
          <w:i/>
          <w:iCs/>
          <w:color w:val="595959"/>
          <w:sz w:val="17"/>
          <w:szCs w:val="17"/>
        </w:rPr>
        <w:t xml:space="preserve">Note: Rescission final rule 91 FR 16156 (Apr. 1, 2026); OCC Bulletin 2026-10, which also rescinded the Comptroller's Handbook 'Recovery Planning' booklet and OCC Bulletins 2025-35, 2024-31, 2024-16, 2018-47. OCC will no longer examine for recovery-planning documentation. BHC-level recovery planning continues under FRB SR 14-8 (REC-02).</w:t>
      </w:r>
    </w:p>
    <w:p>
      <w:pPr>
        <w:pStyle w:val="Heading2"/>
      </w:pPr>
      <w:r>
        <w:t xml:space="preserve">7. Operational resilience</w:t>
      </w:r>
    </w:p>
    <w:p>
      <w:pPr>
        <w:keepNext/>
        <w:spacing w:after="16" w:before="104"/>
      </w:pPr>
      <w:r>
        <w:rPr>
          <w:rFonts w:ascii="Arial" w:cs="Arial" w:eastAsia="Arial" w:hAnsi="Arial"/>
          <w:b/>
          <w:bCs/>
          <w:color w:val="1F3864"/>
          <w:sz w:val="21"/>
          <w:szCs w:val="21"/>
        </w:rPr>
        <w:t xml:space="preserve">OPR-01  —  Full board  ·  Both</w:t>
      </w:r>
      <w:r>
        <w:rPr>
          <w:sz w:val="2"/>
          <w:szCs w:val="2"/>
        </w:rPr>
        <w:t xml:space="preserve"/>
      </w:r>
    </w:p>
    <w:p>
      <w:pPr>
        <w:spacing w:after="24"/>
      </w:pPr>
      <w:r>
        <w:rPr>
          <w:rFonts w:ascii="Arial" w:cs="Arial" w:eastAsia="Arial" w:hAnsi="Arial"/>
          <w:sz w:val="21"/>
          <w:szCs w:val="21"/>
        </w:rPr>
        <w:t xml:space="preserve">Board of directors approves and periodically reviews the firm's risk appetite for weathering disruption from operational risks (enterprise-wide and for critical operations and core business lines) and articulates the firm's tolerance for disruption.</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Sound Practices to Strengthen Operational Resilience (Oct. 30, 2020); FRB SR 20-24; OCC Bulletin 2020-94, Governance, sec. 1(a).</w:t>
      </w:r>
      <w:r>
        <w:rPr>
          <w:rFonts w:ascii="Arial" w:cs="Arial" w:eastAsia="Arial" w:hAnsi="Arial"/>
          <w:i/>
          <w:iCs/>
          <w:color w:val="3B6FB0"/>
          <w:sz w:val="15"/>
          <w:szCs w:val="15"/>
        </w:rPr>
        <w:t xml:space="preserve"> [https://www.federalreserve.gov/supervisionreg/srletters/SR2024.htm]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Operational resilience / business continuity  ·  Redundancy: Limited overlap  ·  Confidence: Medium</w:t>
      </w:r>
    </w:p>
    <w:p>
      <w:pPr>
        <w:spacing w:after="104"/>
      </w:pPr>
      <w:r>
        <w:rPr>
          <w:rFonts w:ascii="Arial" w:cs="Arial" w:eastAsia="Arial" w:hAnsi="Arial"/>
          <w:i/>
          <w:iCs/>
          <w:color w:val="595959"/>
          <w:sz w:val="17"/>
          <w:szCs w:val="17"/>
        </w:rPr>
        <w:t xml:space="preserve">Note: Applies to firms &gt;=$250B (or &gt;=$100B with elevated risk metrics) — all eight GSIBs and large IDIs. Paper states it sets no new regulation; consolidates existing expectations.</w:t>
      </w:r>
    </w:p>
    <w:p>
      <w:pPr>
        <w:keepNext/>
        <w:spacing w:after="16" w:before="104"/>
      </w:pPr>
      <w:r>
        <w:rPr>
          <w:rFonts w:ascii="Arial" w:cs="Arial" w:eastAsia="Arial" w:hAnsi="Arial"/>
          <w:b/>
          <w:bCs/>
          <w:color w:val="1F3864"/>
          <w:sz w:val="21"/>
          <w:szCs w:val="21"/>
        </w:rPr>
        <w:t xml:space="preserve">OPR-02  —  Full board  ·  Both</w:t>
      </w:r>
      <w:r>
        <w:rPr>
          <w:sz w:val="2"/>
          <w:szCs w:val="2"/>
        </w:rPr>
        <w:t xml:space="preserve"/>
      </w:r>
    </w:p>
    <w:p>
      <w:pPr>
        <w:spacing w:after="24"/>
      </w:pPr>
      <w:r>
        <w:rPr>
          <w:rFonts w:ascii="Arial" w:cs="Arial" w:eastAsia="Arial" w:hAnsi="Arial"/>
          <w:sz w:val="21"/>
          <w:szCs w:val="21"/>
        </w:rPr>
        <w:t xml:space="preserve">Board works with senior management to confirm operational-resilience practices are led and staffed by individuals with relevant expertise, approves appropriate budgets and resources, and promotes a culture of effective risk management.</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Sound Practices (SR 20-24 / OCC 2020-94), Governance, sec. 1(b).</w:t>
      </w:r>
      <w:r>
        <w:rPr>
          <w:rFonts w:ascii="Arial" w:cs="Arial" w:eastAsia="Arial" w:hAnsi="Arial"/>
          <w:i/>
          <w:iCs/>
          <w:color w:val="3B6FB0"/>
          <w:sz w:val="15"/>
          <w:szCs w:val="15"/>
        </w:rPr>
        <w:t xml:space="preserve"> [https://www.federalreserve.gov/supervisionreg/srletters/SR2024.htm]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Operational resilience / business continuity  ·  Redundancy: Limited overlap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OPR-03  —  Full board  ·  Both</w:t>
      </w:r>
      <w:r>
        <w:rPr>
          <w:sz w:val="2"/>
          <w:szCs w:val="2"/>
        </w:rPr>
        <w:t xml:space="preserve"/>
      </w:r>
    </w:p>
    <w:p>
      <w:pPr>
        <w:spacing w:after="24"/>
      </w:pPr>
      <w:r>
        <w:rPr>
          <w:rFonts w:ascii="Arial" w:cs="Arial" w:eastAsia="Arial" w:hAnsi="Arial"/>
          <w:sz w:val="21"/>
          <w:szCs w:val="21"/>
        </w:rPr>
        <w:t xml:space="preserve">Board oversees the firm's management of operational risk across its business-line operations, its independent operational risk-management function, and its independent internal (or external) audit function.</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Sound Practices (SR 20-24 / OCC 2020-94), Governance, sec. 1(c).</w:t>
      </w:r>
      <w:r>
        <w:rPr>
          <w:rFonts w:ascii="Arial" w:cs="Arial" w:eastAsia="Arial" w:hAnsi="Arial"/>
          <w:i/>
          <w:iCs/>
          <w:color w:val="3B6FB0"/>
          <w:sz w:val="15"/>
          <w:szCs w:val="15"/>
        </w:rPr>
        <w:t xml:space="preserve"> [https://www.federalreserve.gov/supervisionreg/srletters/SR2024.htm]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Operational resilience / business continuity  ·  Redundancy: Limited overlap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OPR-04  —  Full board  ·  Both</w:t>
      </w:r>
      <w:r>
        <w:rPr>
          <w:sz w:val="2"/>
          <w:szCs w:val="2"/>
        </w:rPr>
        <w:t xml:space="preserve"/>
      </w:r>
    </w:p>
    <w:p>
      <w:pPr>
        <w:spacing w:after="24"/>
      </w:pPr>
      <w:r>
        <w:rPr>
          <w:rFonts w:ascii="Arial" w:cs="Arial" w:eastAsia="Arial" w:hAnsi="Arial"/>
          <w:sz w:val="21"/>
          <w:szCs w:val="21"/>
        </w:rPr>
        <w:t xml:space="preserve">Firm conducts continuous surveillance and reporting to senior management and the board sufficient for timely decisions to respond to disruption; the board-set risk appetite/tolerance reflects the scope and level of cyber risk the firm is willing to accept.</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Sound Practices (SR 20-24 / OCC 2020-94), Sec. 7 and 7(c); Appendix A (cyber).</w:t>
      </w:r>
      <w:r>
        <w:rPr>
          <w:rFonts w:ascii="Arial" w:cs="Arial" w:eastAsia="Arial" w:hAnsi="Arial"/>
          <w:i/>
          <w:iCs/>
          <w:color w:val="3B6FB0"/>
          <w:sz w:val="15"/>
          <w:szCs w:val="15"/>
        </w:rPr>
        <w:t xml:space="preserve"> [https://www.federalreserve.gov/supervisionreg/srletters/SR2024.htm]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Operational resilience / business continuity  ·  Redundancy: Limited overlap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OPR-05  —  Full board (may use a business continuity committee)  ·  Both</w:t>
      </w:r>
      <w:r>
        <w:rPr>
          <w:sz w:val="2"/>
          <w:szCs w:val="2"/>
        </w:rPr>
        <w:t xml:space="preserve"/>
      </w:r>
    </w:p>
    <w:p>
      <w:pPr>
        <w:spacing w:after="24"/>
      </w:pPr>
      <w:r>
        <w:rPr>
          <w:rFonts w:ascii="Arial" w:cs="Arial" w:eastAsia="Arial" w:hAnsi="Arial"/>
          <w:sz w:val="21"/>
          <w:szCs w:val="21"/>
        </w:rPr>
        <w:t xml:space="preserve">Board and senior management govern business continuity by defining responsibilities and accountability and allocating adequate resources, set the tone at the top, and consider the entity's entire operations including affiliates and third-party providers; the board reviews BCM results and provides credible challenge to management.</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FFIEC IT Examination Handbook, Business Continuity Management booklet (Nov. 14, 2019; OCC Bulletin 2019-57; FDIC FIL-71-2019), Sec. II.A, Board and Senior Management Responsibilities.</w:t>
      </w:r>
      <w:r>
        <w:rPr>
          <w:rFonts w:ascii="Arial" w:cs="Arial" w:eastAsia="Arial" w:hAnsi="Arial"/>
          <w:i/>
          <w:iCs/>
          <w:color w:val="3B6FB0"/>
          <w:sz w:val="15"/>
          <w:szCs w:val="15"/>
        </w:rPr>
        <w:t xml:space="preserve"> [https://ithandbook.ffiec.gov/]</w:t>
      </w:r>
    </w:p>
    <w:p>
      <w:pPr>
        <w:spacing w:after="6"/>
      </w:pPr>
      <w:r>
        <w:rPr>
          <w:rFonts w:ascii="Arial" w:cs="Arial" w:eastAsia="Arial" w:hAnsi="Arial"/>
          <w:i/>
          <w:iCs/>
          <w:color w:val="7030A0"/>
          <w:sz w:val="17"/>
          <w:szCs w:val="17"/>
        </w:rPr>
        <w:t xml:space="preserve">Legal force: Examination manual  ·  Consequence: Exam findings / MRAs; informs ratings (no direct legal force)  ·  Cadence: Periodic / ongoing  ·  Cluster: Operational resilience / business continuity  ·  Redundancy: Limited overlap  ·  Confidence: Medium</w:t>
      </w:r>
    </w:p>
    <w:p>
      <w:pPr>
        <w:spacing w:after="104"/>
      </w:pPr>
      <w:r>
        <w:rPr>
          <w:rFonts w:ascii="Arial" w:cs="Arial" w:eastAsia="Arial" w:hAnsi="Arial"/>
          <w:i/>
          <w:iCs/>
          <w:color w:val="595959"/>
          <w:sz w:val="17"/>
          <w:szCs w:val="17"/>
        </w:rPr>
        <w:t xml:space="preserve">Note: Cross-referenced by SR 20-24 as the operative BCM source.</w:t>
      </w:r>
    </w:p>
    <w:p>
      <w:pPr>
        <w:pStyle w:val="Heading2"/>
      </w:pPr>
      <w:r>
        <w:t xml:space="preserve">8. Model risk governance</w:t>
      </w:r>
    </w:p>
    <w:p>
      <w:pPr>
        <w:keepNext/>
        <w:spacing w:after="16" w:before="104"/>
      </w:pPr>
      <w:r>
        <w:rPr>
          <w:rFonts w:ascii="Arial" w:cs="Arial" w:eastAsia="Arial" w:hAnsi="Arial"/>
          <w:b/>
          <w:bCs/>
          <w:color w:val="1F3864"/>
          <w:sz w:val="21"/>
          <w:szCs w:val="21"/>
        </w:rPr>
        <w:t xml:space="preserve">MOD-01  —  Not specified (institution's allocation)  ·  Both</w:t>
      </w:r>
      <w:r>
        <w:rPr>
          <w:sz w:val="2"/>
          <w:szCs w:val="2"/>
        </w:rPr>
        <w:t xml:space="preserve"/>
      </w:r>
    </w:p>
    <w:p>
      <w:pPr>
        <w:spacing w:after="24"/>
      </w:pPr>
      <w:r>
        <w:rPr>
          <w:rFonts w:ascii="Arial" w:cs="Arial" w:eastAsia="Arial" w:hAnsi="Arial"/>
          <w:sz w:val="21"/>
          <w:szCs w:val="21"/>
        </w:rPr>
        <w:t xml:space="preserve">CURRENT STANDARD: model governance is supported by clear policies and effective controls, with delineated roles, responsibilities, and accountability; the guidance does NOT specify the board as the locus of model-risk governance, does not require board approval of MRM policy, and sets no board model-risk-tolerance or board-reporting mandate. Allocation among board/management/committee is left to the institution.</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SR 26-2 / OCC Bulletin 2026-13, Revised Guidance on Model Risk Management (Apr. 17, 2026), Sec. VI (Governance and Controls).</w:t>
      </w:r>
      <w:r>
        <w:rPr>
          <w:rFonts w:ascii="Arial" w:cs="Arial" w:eastAsia="Arial" w:hAnsi="Arial"/>
          <w:i/>
          <w:iCs/>
          <w:color w:val="3B6FB0"/>
          <w:sz w:val="15"/>
          <w:szCs w:val="15"/>
        </w:rPr>
        <w:t xml:space="preserve"> [https://www.federalreserve.gov/supervisionreg/srletters/SR2602.htm]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Model risk governance  ·  Redundancy: Mostly removed (2026)  ·  Confidence: High (web-verified)</w:t>
      </w:r>
    </w:p>
    <w:p>
      <w:pPr>
        <w:spacing w:after="104"/>
      </w:pPr>
      <w:r>
        <w:rPr>
          <w:rFonts w:ascii="Arial" w:cs="Arial" w:eastAsia="Arial" w:hAnsi="Arial"/>
          <w:i/>
          <w:iCs/>
          <w:color w:val="595959"/>
          <w:sz w:val="17"/>
          <w:szCs w:val="17"/>
        </w:rPr>
        <w:t xml:space="preserve">Note: Most relevant to organizations &gt;$30B (covers all GSIBs). Explicitly de-prescriptive: 'does not set forth enforceable standards.' Superseded SR 11-7, SR 21-8, OCC 2011-12, OCC 2021-19, OCC 1997-24, and the OCC MRM Handbook booklet. Generative/agentic AI models carved out; interagency AI/MRM RFI forthcoming.</w:t>
      </w:r>
    </w:p>
    <w:p>
      <w:pPr>
        <w:keepNext/>
        <w:spacing w:after="16" w:before="104"/>
      </w:pPr>
      <w:r>
        <w:rPr>
          <w:rFonts w:ascii="Arial" w:cs="Arial" w:eastAsia="Arial" w:hAnsi="Arial"/>
          <w:b/>
          <w:bCs/>
          <w:color w:val="1F3864"/>
          <w:sz w:val="21"/>
          <w:szCs w:val="21"/>
        </w:rPr>
        <w:t xml:space="preserve">MOD-02  —  Full board (superseded)  ·  Both</w:t>
      </w:r>
      <w:r>
        <w:rPr>
          <w:rFonts w:ascii="Arial" w:cs="Arial" w:eastAsia="Arial" w:hAnsi="Arial"/>
          <w:b/>
          <w:bCs/>
          <w:color w:val="C00000"/>
          <w:sz w:val="17"/>
          <w:szCs w:val="17"/>
        </w:rPr>
        <w:t xml:space="preserve">  [SUPERSEDED APR. 17, 2026]</w:t>
      </w:r>
    </w:p>
    <w:p>
      <w:pPr>
        <w:spacing w:after="24"/>
      </w:pPr>
      <w:r>
        <w:rPr>
          <w:rFonts w:ascii="Arial" w:cs="Arial" w:eastAsia="Arial" w:hAnsi="Arial"/>
          <w:sz w:val="21"/>
          <w:szCs w:val="21"/>
        </w:rPr>
        <w:t xml:space="preserve">SUPERSEDED: Board and senior management established a bank-wide model-risk-management framework and set tone; board ensured the level of model risk was within tolerance and directed changes; board received regular reporting on aggregate and individual model risk and on policy compliance.</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SR 11-7 / OCC Bulletin 2011-12 / FDIC FIL-22-2017, Supervisory Guidance on Model Risk Management (Apr. 4, 2011), Governance, Policies, and Controls (Board of Directors and Senior Management).</w:t>
      </w:r>
      <w:r>
        <w:rPr>
          <w:rFonts w:ascii="Arial" w:cs="Arial" w:eastAsia="Arial" w:hAnsi="Arial"/>
          <w:i/>
          <w:iCs/>
          <w:color w:val="BF8F00"/>
          <w:sz w:val="15"/>
          <w:szCs w:val="15"/>
        </w:rPr>
        <w:t xml:space="preserve">  [URL not captured]</w:t>
      </w:r>
    </w:p>
    <w:p>
      <w:pPr>
        <w:spacing w:after="6"/>
      </w:pPr>
      <w:r>
        <w:rPr>
          <w:rFonts w:ascii="Arial" w:cs="Arial" w:eastAsia="Arial" w:hAnsi="Arial"/>
          <w:i/>
          <w:iCs/>
          <w:color w:val="7030A0"/>
          <w:sz w:val="17"/>
          <w:szCs w:val="17"/>
        </w:rPr>
        <w:t xml:space="preserve">Legal force: Superseded guidance  ·  Consequence: None (not current)  ·  Cadence: Periodic / ongoing  ·  Cluster: Model risk governance  ·  Redundancy: Mostly removed (2026)  ·  Confidence: Medium</w:t>
      </w:r>
    </w:p>
    <w:p>
      <w:pPr>
        <w:spacing w:after="104"/>
      </w:pPr>
      <w:r>
        <w:rPr>
          <w:rFonts w:ascii="Arial" w:cs="Arial" w:eastAsia="Arial" w:hAnsi="Arial"/>
          <w:i/>
          <w:iCs/>
          <w:color w:val="595959"/>
          <w:sz w:val="17"/>
          <w:szCs w:val="17"/>
        </w:rPr>
        <w:t xml:space="preserve">Note: Documented for contrast: these explicit board duties were eliminated by SR 26-2 / OCC 2026-13. Residual board model-risk oversight now flows only indirectly via the OCC Heightened Standards risk-governance framework (GOV-21 et seq.) and firms' own SR 21-3 practices.</w:t>
      </w:r>
    </w:p>
    <w:p>
      <w:pPr>
        <w:pStyle w:val="Heading2"/>
      </w:pPr>
      <w:r>
        <w:t xml:space="preserve">9. Third-party risk management</w:t>
      </w:r>
    </w:p>
    <w:p>
      <w:pPr>
        <w:keepNext/>
        <w:spacing w:after="16" w:before="104"/>
      </w:pPr>
      <w:r>
        <w:rPr>
          <w:rFonts w:ascii="Arial" w:cs="Arial" w:eastAsia="Arial" w:hAnsi="Arial"/>
          <w:b/>
          <w:bCs/>
          <w:color w:val="1F3864"/>
          <w:sz w:val="21"/>
          <w:szCs w:val="21"/>
        </w:rPr>
        <w:t xml:space="preserve">TPR-01  —  Full board (committee may be designated)  ·  Both</w:t>
      </w:r>
      <w:r>
        <w:rPr>
          <w:sz w:val="2"/>
          <w:szCs w:val="2"/>
        </w:rPr>
        <w:t xml:space="preserve"/>
      </w:r>
    </w:p>
    <w:p>
      <w:pPr>
        <w:spacing w:after="24"/>
      </w:pPr>
      <w:r>
        <w:rPr>
          <w:rFonts w:ascii="Arial" w:cs="Arial" w:eastAsia="Arial" w:hAnsi="Arial"/>
          <w:sz w:val="21"/>
          <w:szCs w:val="21"/>
        </w:rPr>
        <w:t xml:space="preserve">Board has ultimate responsibility for providing oversight of third-party risk management and holding management accountable; provides clear guidance on acceptable risk appetite, approves appropriate policies, and ensures appropriate procedures and practices are established.</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Interagency Guidance on Third-Party Relationships: Risk Management (88 FR 37920, June 9, 2023); FRB SR 23-4; OCC Bulletin 2023-17; FDIC FIL-29-2023, Sec. D.1 (Oversight and Accountability), p. 20.</w:t>
      </w:r>
      <w:r>
        <w:rPr>
          <w:rFonts w:ascii="Arial" w:cs="Arial" w:eastAsia="Arial" w:hAnsi="Arial"/>
          <w:i/>
          <w:iCs/>
          <w:color w:val="3B6FB0"/>
          <w:sz w:val="15"/>
          <w:szCs w:val="15"/>
        </w:rPr>
        <w:t xml:space="preserve"> [https://www.federalreserve.gov/supervisionreg/srletters/sr2304.htm]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Third-party risk management  ·  Redundancy: Candidate redundancy  ·  Confidence: Medium</w:t>
      </w:r>
    </w:p>
    <w:p>
      <w:pPr>
        <w:spacing w:after="104"/>
      </w:pPr>
      <w:r>
        <w:rPr>
          <w:rFonts w:ascii="Arial" w:cs="Arial" w:eastAsia="Arial" w:hAnsi="Arial"/>
          <w:i/>
          <w:iCs/>
          <w:color w:val="595959"/>
          <w:sz w:val="17"/>
          <w:szCs w:val="17"/>
        </w:rPr>
        <w:t xml:space="preserve">Note: Survived the 2025-26 deregulatory wave intact. Rescinded prior OCC 2013-29, SR 13-19/CA 13-21, FDIC FIL-44-2008.</w:t>
      </w:r>
    </w:p>
    <w:p>
      <w:pPr>
        <w:keepNext/>
        <w:spacing w:after="16" w:before="104"/>
      </w:pPr>
      <w:r>
        <w:rPr>
          <w:rFonts w:ascii="Arial" w:cs="Arial" w:eastAsia="Arial" w:hAnsi="Arial"/>
          <w:b/>
          <w:bCs/>
          <w:color w:val="1F3864"/>
          <w:sz w:val="21"/>
          <w:szCs w:val="21"/>
        </w:rPr>
        <w:t xml:space="preserve">TPR-02  —  Full board or designated board committee  ·  Both</w:t>
      </w:r>
      <w:r>
        <w:rPr>
          <w:sz w:val="2"/>
          <w:szCs w:val="2"/>
        </w:rPr>
        <w:t xml:space="preserve"/>
      </w:r>
    </w:p>
    <w:p>
      <w:pPr>
        <w:spacing w:after="24"/>
      </w:pPr>
      <w:r>
        <w:rPr>
          <w:rFonts w:ascii="Arial" w:cs="Arial" w:eastAsia="Arial" w:hAnsi="Arial"/>
          <w:sz w:val="21"/>
          <w:szCs w:val="21"/>
        </w:rPr>
        <w:t xml:space="preserve">Board (or a designated board committee) typically considers whether third-party relationships align with strategic goals and risk appetite and comply with law; whether there is appropriate periodic reporting on planning, due diligence, contracting, and ongoing monitoring; and whether management has remedied significant performance deterioration or material issues.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Interagency Third-Party Guidance (SR 23-4 / OCC 2023-17 / FIL-29-2023), Sec. D.1, p. 20.</w:t>
      </w:r>
      <w:r>
        <w:rPr>
          <w:rFonts w:ascii="Arial" w:cs="Arial" w:eastAsia="Arial" w:hAnsi="Arial"/>
          <w:i/>
          <w:iCs/>
          <w:color w:val="3B6FB0"/>
          <w:sz w:val="15"/>
          <w:szCs w:val="15"/>
        </w:rPr>
        <w:t xml:space="preserve"> [https://www.federalreserve.gov/supervisionreg/srletters/sr2304.htm]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Event-driven  ·  Cluster: Third-party risk management  ·  Redundancy: Candidate redundancy  ·  Confidence: Medium</w:t>
      </w:r>
    </w:p>
    <w:p>
      <w:pPr>
        <w:spacing w:after="104"/>
      </w:pPr>
      <w:r>
        <w:rPr>
          <w:rFonts w:ascii="Arial" w:cs="Arial" w:eastAsia="Arial" w:hAnsi="Arial"/>
          <w:i/>
          <w:iCs/>
          <w:color w:val="595959"/>
          <w:sz w:val="17"/>
          <w:szCs w:val="17"/>
        </w:rPr>
        <w:t xml:space="preserve">Note: Guidance does not specify which committee.</w:t>
      </w:r>
    </w:p>
    <w:p>
      <w:pPr>
        <w:keepNext/>
        <w:spacing w:after="16" w:before="104"/>
      </w:pPr>
      <w:r>
        <w:rPr>
          <w:rFonts w:ascii="Arial" w:cs="Arial" w:eastAsia="Arial" w:hAnsi="Arial"/>
          <w:b/>
          <w:bCs/>
          <w:color w:val="1F3864"/>
          <w:sz w:val="21"/>
          <w:szCs w:val="21"/>
        </w:rPr>
        <w:t xml:space="preserve">TPR-03  —  Full board (delegation permitted)  ·  Both</w:t>
      </w:r>
      <w:r>
        <w:rPr>
          <w:sz w:val="2"/>
          <w:szCs w:val="2"/>
        </w:rPr>
        <w:t xml:space="preserve"/>
      </w:r>
    </w:p>
    <w:p>
      <w:pPr>
        <w:spacing w:after="24"/>
      </w:pPr>
      <w:r>
        <w:rPr>
          <w:rFonts w:ascii="Arial" w:cs="Arial" w:eastAsia="Arial" w:hAnsi="Arial"/>
          <w:sz w:val="21"/>
          <w:szCs w:val="21"/>
        </w:rPr>
        <w:t xml:space="preserve">As part of oversight, the board should be aware of and, as appropriate, may approve or delegate approval of contracts involving higher-risk activities.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Interagency Third-Party Guidance (SR 23-4 / OCC 2023-17 / FIL-29-2023), Sec. C.3 (Contract Negotiation), p. 11.</w:t>
      </w:r>
      <w:r>
        <w:rPr>
          <w:rFonts w:ascii="Arial" w:cs="Arial" w:eastAsia="Arial" w:hAnsi="Arial"/>
          <w:i/>
          <w:iCs/>
          <w:color w:val="3B6FB0"/>
          <w:sz w:val="15"/>
          <w:szCs w:val="15"/>
        </w:rPr>
        <w:t xml:space="preserve"> [https://www.federalreserve.gov/supervisionreg/srletters/sr2304.htm]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Third-party risk management  ·  Redundancy: Candidate redundancy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TPR-04  —  Full board or designated committee  ·  Both</w:t>
      </w:r>
      <w:r>
        <w:rPr>
          <w:sz w:val="2"/>
          <w:szCs w:val="2"/>
        </w:rPr>
        <w:t xml:space="preserve"/>
      </w:r>
    </w:p>
    <w:p>
      <w:pPr>
        <w:spacing w:after="24"/>
      </w:pPr>
      <w:r>
        <w:rPr>
          <w:rFonts w:ascii="Arial" w:cs="Arial" w:eastAsia="Arial" w:hAnsi="Arial"/>
          <w:sz w:val="21"/>
          <w:szCs w:val="21"/>
        </w:rPr>
        <w:t xml:space="preserve">When critical activities are involved, plans may be presented to and approved by the board of directors (or a designated board committee).</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Interagency Third-Party Guidance (SR 23-4 / OCC 2023-17 / FIL-29-2023), Sec. C.1 (Planning), p. 4.</w:t>
      </w:r>
      <w:r>
        <w:rPr>
          <w:rFonts w:ascii="Arial" w:cs="Arial" w:eastAsia="Arial" w:hAnsi="Arial"/>
          <w:i/>
          <w:iCs/>
          <w:color w:val="3B6FB0"/>
          <w:sz w:val="15"/>
          <w:szCs w:val="15"/>
        </w:rPr>
        <w:t xml:space="preserve"> [https://www.federalreserve.gov/supervisionreg/srletters/sr2304.htm]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Event-driven  ·  Cluster: Third-party risk management  ·  Redundancy: Candidate redundancy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TPR-05  —  Full board (escalation recipient)  ·  Both</w:t>
      </w:r>
      <w:r>
        <w:rPr>
          <w:sz w:val="2"/>
          <w:szCs w:val="2"/>
        </w:rPr>
        <w:t xml:space="preserve"/>
      </w:r>
    </w:p>
    <w:p>
      <w:pPr>
        <w:spacing w:after="24"/>
      </w:pPr>
      <w:r>
        <w:rPr>
          <w:rFonts w:ascii="Arial" w:cs="Arial" w:eastAsia="Arial" w:hAnsi="Arial"/>
          <w:sz w:val="21"/>
          <w:szCs w:val="21"/>
        </w:rPr>
        <w:t xml:space="preserve">Management escalates significant issues to the board and monitors resulting remediation; independent-review issues are escalated to the board as appropriate.</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Interagency Third-Party Guidance (SR 23-4 / OCC 2023-17 / FIL-29-2023), Secs. D.1 and D.2 (Independent Reviews), pp. 21-22.</w:t>
      </w:r>
      <w:r>
        <w:rPr>
          <w:rFonts w:ascii="Arial" w:cs="Arial" w:eastAsia="Arial" w:hAnsi="Arial"/>
          <w:i/>
          <w:iCs/>
          <w:color w:val="3B6FB0"/>
          <w:sz w:val="15"/>
          <w:szCs w:val="15"/>
        </w:rPr>
        <w:t xml:space="preserve"> [https://www.federalreserve.gov/supervisionreg/srletters/sr2304.htm]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Third-party risk management  ·  Redundancy: Candidate redundancy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TPR-06  —  Full board or designated committee  ·  Both</w:t>
      </w:r>
      <w:r>
        <w:rPr>
          <w:sz w:val="2"/>
          <w:szCs w:val="2"/>
        </w:rPr>
        <w:t xml:space="preserve"/>
      </w:r>
    </w:p>
    <w:p>
      <w:pPr>
        <w:spacing w:after="24"/>
      </w:pPr>
      <w:r>
        <w:rPr>
          <w:rFonts w:ascii="Arial" w:cs="Arial" w:eastAsia="Arial" w:hAnsi="Arial"/>
          <w:sz w:val="21"/>
          <w:szCs w:val="21"/>
        </w:rPr>
        <w:t xml:space="preserve">Documentation and reporting should support board oversight, including reporting on dependency on a single third party for multiple activities or other concentrations.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Interagency Guidance on Third-Party Relationships: Risk Management (88 FR 37920, 2023); SR 23-4; OCC 2023-17; FDIC FIL-29-2023, Sec. D (local ll. ~1092-1124).</w:t>
      </w:r>
      <w:r>
        <w:rPr>
          <w:rFonts w:ascii="Arial" w:cs="Arial" w:eastAsia="Arial" w:hAnsi="Arial"/>
          <w:i/>
          <w:iCs/>
          <w:color w:val="3B6FB0"/>
          <w:sz w:val="15"/>
          <w:szCs w:val="15"/>
        </w:rPr>
        <w:t xml:space="preserve"> [https://www.federalreserve.gov/supervisionreg/srletters/sr2304.htm]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Third-party risk management  ·  Redundancy: Candidate redundancy  ·  Confidence: Medium</w:t>
      </w:r>
    </w:p>
    <w:p>
      <w:pPr>
        <w:spacing w:after="104"/>
      </w:pPr>
      <w:r>
        <w:rPr>
          <w:rFonts w:ascii="Arial" w:cs="Arial" w:eastAsia="Arial" w:hAnsi="Arial"/>
          <w:i/>
          <w:iCs/>
          <w:color w:val="595959"/>
          <w:sz w:val="17"/>
          <w:szCs w:val="17"/>
        </w:rPr>
        <w:t xml:space="preserve">Note: Particularly relevant to GSIB operational resilience and concentration risk.</w:t>
      </w:r>
    </w:p>
    <w:p>
      <w:pPr>
        <w:keepNext/>
        <w:spacing w:after="16" w:before="104"/>
      </w:pPr>
      <w:r>
        <w:rPr>
          <w:rFonts w:ascii="Arial" w:cs="Arial" w:eastAsia="Arial" w:hAnsi="Arial"/>
          <w:b/>
          <w:bCs/>
          <w:color w:val="1F3864"/>
          <w:sz w:val="21"/>
          <w:szCs w:val="21"/>
        </w:rPr>
        <w:t xml:space="preserve">TPR-07  —  Full board; management  ·  IDI (consumer)</w:t>
      </w:r>
      <w:r>
        <w:rPr>
          <w:sz w:val="2"/>
          <w:szCs w:val="2"/>
        </w:rPr>
        <w:t xml:space="preserve"/>
      </w:r>
    </w:p>
    <w:p>
      <w:pPr>
        <w:spacing w:after="24"/>
      </w:pPr>
      <w:r>
        <w:rPr>
          <w:rFonts w:ascii="Arial" w:cs="Arial" w:eastAsia="Arial" w:hAnsi="Arial"/>
          <w:sz w:val="21"/>
          <w:szCs w:val="21"/>
        </w:rPr>
        <w:t xml:space="preserve">Board and management should conduct ongoing due diligence and oversight of service providers — including their policies, procedures, internal controls, and training — to ensure compliance with Federal consumer financial laws.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CFPB Supervision and Examination Manual, Compliance Management Review, CMR service-provider oversight (local ll. ~2921-2944).</w:t>
      </w:r>
      <w:r>
        <w:rPr>
          <w:rFonts w:ascii="Arial" w:cs="Arial" w:eastAsia="Arial" w:hAnsi="Arial"/>
          <w:i/>
          <w:iCs/>
          <w:color w:val="3B6FB0"/>
          <w:sz w:val="15"/>
          <w:szCs w:val="15"/>
        </w:rPr>
        <w:t xml:space="preserve"> [https://www.consumerfinance.gov/compliance/supervision-examinations/]</w:t>
      </w:r>
    </w:p>
    <w:p>
      <w:pPr>
        <w:spacing w:after="6"/>
      </w:pPr>
      <w:r>
        <w:rPr>
          <w:rFonts w:ascii="Arial" w:cs="Arial" w:eastAsia="Arial" w:hAnsi="Arial"/>
          <w:i/>
          <w:iCs/>
          <w:color w:val="7030A0"/>
          <w:sz w:val="17"/>
          <w:szCs w:val="17"/>
        </w:rPr>
        <w:t xml:space="preserve">Legal force: Supervisory guidance  ·  Consequence: Minimal in 2026 (CFPB supervision curtailed)  ·  Cadence: Periodic / ongoing  ·  Cluster: Third-party risk management  ·  Redundancy: Candidate redundancy  ·  Confidence: Medium</w:t>
      </w:r>
    </w:p>
    <w:p>
      <w:pPr>
        <w:spacing w:after="104"/>
      </w:pPr>
      <w:r>
        <w:rPr>
          <w:rFonts w:ascii="Arial" w:cs="Arial" w:eastAsia="Arial" w:hAnsi="Arial"/>
          <w:i/>
          <w:iCs/>
          <w:color w:val="595959"/>
          <w:sz w:val="17"/>
          <w:szCs w:val="17"/>
        </w:rPr>
        <w:t xml:space="preserve">Note: Consumer-compliance overlay on interagency third-party guidance.</w:t>
      </w:r>
    </w:p>
    <w:p>
      <w:pPr>
        <w:pStyle w:val="Heading2"/>
      </w:pPr>
      <w:r>
        <w:t xml:space="preserve">10. Incentive compensation</w:t>
      </w:r>
    </w:p>
    <w:p>
      <w:pPr>
        <w:keepNext/>
        <w:spacing w:after="16" w:before="104"/>
      </w:pPr>
      <w:r>
        <w:rPr>
          <w:rFonts w:ascii="Arial" w:cs="Arial" w:eastAsia="Arial" w:hAnsi="Arial"/>
          <w:b/>
          <w:bCs/>
          <w:color w:val="1F3864"/>
          <w:sz w:val="21"/>
          <w:szCs w:val="21"/>
        </w:rPr>
        <w:t xml:space="preserve">INC-01  —  Full board or delegated committee (compensation committee in practice)  ·  Both</w:t>
      </w:r>
      <w:r>
        <w:rPr>
          <w:sz w:val="2"/>
          <w:szCs w:val="2"/>
        </w:rPr>
        <w:t xml:space="preserve"/>
      </w:r>
    </w:p>
    <w:p>
      <w:pPr>
        <w:spacing w:after="24"/>
      </w:pPr>
      <w:r>
        <w:rPr>
          <w:rFonts w:ascii="Arial" w:cs="Arial" w:eastAsia="Arial" w:hAnsi="Arial"/>
          <w:sz w:val="21"/>
          <w:szCs w:val="21"/>
        </w:rPr>
        <w:t xml:space="preserve">Board of a large banking organization should actively oversee the development and operation of the organization's incentive-compensation policies, systems, and related control processes.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Guidance on Sound Incentive Compensation Policies (75 FR 36395, June 25, 2010); OCC Bulletin 2010-24, Principle 3 (Strong Corporate Governance).</w:t>
      </w:r>
      <w:r>
        <w:rPr>
          <w:rFonts w:ascii="Arial" w:cs="Arial" w:eastAsia="Arial" w:hAnsi="Arial"/>
          <w:i/>
          <w:iCs/>
          <w:color w:val="3B6FB0"/>
          <w:sz w:val="15"/>
          <w:szCs w:val="15"/>
        </w:rPr>
        <w:t xml:space="preserve"> [https://www.federalregister.gov/documents/2010/06/25/2010-15435/guidance-on-sound-incentive-compensation-policies]</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Incentive compensation  ·  Redundancy: Candidate redundancy  ·  Confidence: Medium</w:t>
      </w:r>
    </w:p>
    <w:p>
      <w:pPr>
        <w:spacing w:after="104"/>
      </w:pPr>
      <w:r>
        <w:rPr>
          <w:rFonts w:ascii="Arial" w:cs="Arial" w:eastAsia="Arial" w:hAnsi="Arial"/>
          <w:i/>
          <w:iCs/>
          <w:color w:val="595959"/>
          <w:sz w:val="17"/>
          <w:szCs w:val="17"/>
        </w:rPr>
        <w:t xml:space="preserve">Note: CORRECTION: This guidance has no FRB 'SR 10-1' number (SR 10-1 is the Interagency Advisory on Interest Rate Risk). The operative cite is 75 FR 36395 / OCC Bulletin 2010-24.</w:t>
      </w:r>
    </w:p>
    <w:p>
      <w:pPr>
        <w:keepNext/>
        <w:spacing w:after="16" w:before="104"/>
      </w:pPr>
      <w:r>
        <w:rPr>
          <w:rFonts w:ascii="Arial" w:cs="Arial" w:eastAsia="Arial" w:hAnsi="Arial"/>
          <w:b/>
          <w:bCs/>
          <w:color w:val="1F3864"/>
          <w:sz w:val="21"/>
          <w:szCs w:val="21"/>
        </w:rPr>
        <w:t xml:space="preserve">INC-02  —  Full board or Compensation committee  ·  Both</w:t>
      </w:r>
      <w:r>
        <w:rPr>
          <w:sz w:val="2"/>
          <w:szCs w:val="2"/>
        </w:rPr>
        <w:t xml:space="preserve"/>
      </w:r>
    </w:p>
    <w:p>
      <w:pPr>
        <w:spacing w:after="24"/>
      </w:pPr>
      <w:r>
        <w:rPr>
          <w:rFonts w:ascii="Arial" w:cs="Arial" w:eastAsia="Arial" w:hAnsi="Arial"/>
          <w:sz w:val="21"/>
          <w:szCs w:val="21"/>
        </w:rPr>
        <w:t xml:space="preserve">Boards of directors, or their compensation committees, should regularly review the design and functioning of incentive-compensation practices to ensure consistency with safety and soundness, including identification of 'covered employees' and risk-balancing of their arrangements.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Guidance on Sound Incentive Compensation Policies (75 FR 36395, 2010), Principle 3.</w:t>
      </w:r>
      <w:r>
        <w:rPr>
          <w:rFonts w:ascii="Arial" w:cs="Arial" w:eastAsia="Arial" w:hAnsi="Arial"/>
          <w:i/>
          <w:iCs/>
          <w:color w:val="3B6FB0"/>
          <w:sz w:val="15"/>
          <w:szCs w:val="15"/>
        </w:rPr>
        <w:t xml:space="preserve"> [https://www.federalregister.gov/documents/2010/06/25/2010-15435/guidance-on-sound-incentive-compensation-policies]</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Incentive compensation  ·  Redundancy: Candidate redundancy  ·  Confidence: Medium</w:t>
      </w:r>
    </w:p>
    <w:p>
      <w:pPr>
        <w:spacing w:after="104"/>
      </w:pPr>
      <w:r>
        <w:rPr>
          <w:rFonts w:ascii="Arial" w:cs="Arial" w:eastAsia="Arial" w:hAnsi="Arial"/>
          <w:i/>
          <w:iCs/>
          <w:color w:val="595959"/>
          <w:sz w:val="17"/>
          <w:szCs w:val="17"/>
        </w:rPr>
        <w:t xml:space="preserve">Note: The only cluster source that names the compensation committee explicitly.</w:t>
      </w:r>
    </w:p>
    <w:p>
      <w:pPr>
        <w:keepNext/>
        <w:spacing w:after="16" w:before="104"/>
      </w:pPr>
      <w:r>
        <w:rPr>
          <w:rFonts w:ascii="Arial" w:cs="Arial" w:eastAsia="Arial" w:hAnsi="Arial"/>
          <w:b/>
          <w:bCs/>
          <w:color w:val="1F3864"/>
          <w:sz w:val="21"/>
          <w:szCs w:val="21"/>
        </w:rPr>
        <w:t xml:space="preserve">INC-03  —  Full board (and compensation committee)  ·  Both</w:t>
      </w:r>
      <w:r>
        <w:rPr>
          <w:sz w:val="2"/>
          <w:szCs w:val="2"/>
        </w:rPr>
        <w:t xml:space="preserve"/>
      </w:r>
    </w:p>
    <w:p>
      <w:pPr>
        <w:spacing w:after="24"/>
      </w:pPr>
      <w:r>
        <w:rPr>
          <w:rFonts w:ascii="Arial" w:cs="Arial" w:eastAsia="Arial" w:hAnsi="Arial"/>
          <w:sz w:val="21"/>
          <w:szCs w:val="21"/>
        </w:rPr>
        <w:t xml:space="preserve">Board should have, or have access to, a level of expertise and experience in risk-management and compensation practices appropriate to the organization, and should receive appropriate data/analysis including independent risk-management and control-function input.</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Guidance on Sound Incentive Compensation Policies (75 FR 36395, 2010), Principle 3.</w:t>
      </w:r>
      <w:r>
        <w:rPr>
          <w:rFonts w:ascii="Arial" w:cs="Arial" w:eastAsia="Arial" w:hAnsi="Arial"/>
          <w:i/>
          <w:iCs/>
          <w:color w:val="3B6FB0"/>
          <w:sz w:val="15"/>
          <w:szCs w:val="15"/>
        </w:rPr>
        <w:t xml:space="preserve"> [https://www.federalregister.gov/documents/2010/06/25/2010-15435/guidance-on-sound-incentive-compensation-policies]</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Incentive compensation  ·  Redundancy: Candidate redundancy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INC-04  —  n/a (proposed)  ·  Both</w:t>
      </w:r>
      <w:r>
        <w:rPr>
          <w:sz w:val="2"/>
          <w:szCs w:val="2"/>
        </w:rPr>
        <w:t xml:space="preserve"/>
      </w:r>
    </w:p>
    <w:p>
      <w:pPr>
        <w:spacing w:after="24"/>
      </w:pPr>
      <w:r>
        <w:rPr>
          <w:rFonts w:ascii="Arial" w:cs="Arial" w:eastAsia="Arial" w:hAnsi="Arial"/>
          <w:sz w:val="21"/>
          <w:szCs w:val="21"/>
        </w:rPr>
        <w:t xml:space="preserve">NOT IN FORCE: A sec. 956 final rule would impose board/committee duties over incentive-based compensation, but has never been finalized through three proposal cycles. The May 2024 re-proposal was issued by FDIC/OCC/FHFA/NCUA; the FRB and SEC did not join.</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Dodd-Frank sec. 956 Incentive-Based Compensation rulemaking (2011; 2016 re-proposal 81 FR 37670; May 2024 re-proposal, OCC Bulletin 2024-12), Proposed only.</w:t>
      </w:r>
      <w:r>
        <w:rPr>
          <w:rFonts w:ascii="Arial" w:cs="Arial" w:eastAsia="Arial" w:hAnsi="Arial"/>
          <w:i/>
          <w:iCs/>
          <w:color w:val="3B6FB0"/>
          <w:sz w:val="15"/>
          <w:szCs w:val="15"/>
        </w:rPr>
        <w:t xml:space="preserve"> [https://www.ecfr.gov/current/title-12/chapter-II/part-236]</w:t>
      </w:r>
    </w:p>
    <w:p>
      <w:pPr>
        <w:spacing w:after="6"/>
      </w:pPr>
      <w:r>
        <w:rPr>
          <w:rFonts w:ascii="Arial" w:cs="Arial" w:eastAsia="Arial" w:hAnsi="Arial"/>
          <w:i/>
          <w:iCs/>
          <w:color w:val="7030A0"/>
          <w:sz w:val="17"/>
          <w:szCs w:val="17"/>
        </w:rPr>
        <w:t xml:space="preserve">Legal force: Proposal  ·  Consequence: None yet (proposed)  ·  Cadence: Periodic / ongoing  ·  Cluster: Incentive compensation  ·  Redundancy: Candidate redundancy  ·  Confidence: Medium</w:t>
      </w:r>
    </w:p>
    <w:p>
      <w:pPr>
        <w:spacing w:after="104"/>
      </w:pPr>
      <w:r>
        <w:rPr>
          <w:rFonts w:ascii="Arial" w:cs="Arial" w:eastAsia="Arial" w:hAnsi="Arial"/>
          <w:i/>
          <w:iCs/>
          <w:color w:val="595959"/>
          <w:sz w:val="17"/>
          <w:szCs w:val="17"/>
        </w:rPr>
        <w:t xml:space="preserve">Note: GAO-25-107032 (2025) flagged the 15-year non-finalization. No board-level sec. 956 regulatory duty in force; the 2010 guidance (INC-01..03) remains the operative standard.</w:t>
      </w:r>
    </w:p>
    <w:p>
      <w:pPr>
        <w:keepNext/>
        <w:spacing w:after="16" w:before="104"/>
      </w:pPr>
      <w:r>
        <w:rPr>
          <w:rFonts w:ascii="Arial" w:cs="Arial" w:eastAsia="Arial" w:hAnsi="Arial"/>
          <w:b/>
          <w:bCs/>
          <w:color w:val="1F3864"/>
          <w:sz w:val="21"/>
          <w:szCs w:val="21"/>
        </w:rPr>
        <w:t xml:space="preserve">INC-05  —  Full board or appropriate committee  ·  IDI</w:t>
      </w:r>
      <w:r>
        <w:rPr>
          <w:sz w:val="2"/>
          <w:szCs w:val="2"/>
        </w:rPr>
        <w:t xml:space="preserve"/>
      </w:r>
    </w:p>
    <w:p>
      <w:pPr>
        <w:spacing w:after="24"/>
      </w:pPr>
      <w:r>
        <w:rPr>
          <w:rFonts w:ascii="Arial" w:cs="Arial" w:eastAsia="Arial" w:hAnsi="Arial"/>
          <w:sz w:val="21"/>
          <w:szCs w:val="21"/>
        </w:rPr>
        <w:t xml:space="preserve">Board or appropriate committee reviews and approves the written talent-management program (development, recruitment, succession for CEO/CAE/CRO and others); and oversees compensation and performance-management programs that must be incorporated into front-line-unit and IRM decision-making.</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OCC Heightened Standards, 12 CFR part 30, App. D, App. D, secs. III.E / II.L (Talent Management); III (Risk Governance Framework).</w:t>
      </w:r>
      <w:r>
        <w:rPr>
          <w:rFonts w:ascii="Arial" w:cs="Arial" w:eastAsia="Arial" w:hAnsi="Arial"/>
          <w:i/>
          <w:iCs/>
          <w:color w:val="3B6FB0"/>
          <w:sz w:val="15"/>
          <w:szCs w:val="15"/>
        </w:rPr>
        <w:t xml:space="preserve"> [https://www.ecfr.gov/current/title-12/chapter-I/part-30/appendix-Appendix%20D%20to%20Part%2030]</w:t>
      </w:r>
    </w:p>
    <w:p>
      <w:pPr>
        <w:spacing w:after="6"/>
      </w:pPr>
      <w:r>
        <w:rPr>
          <w:rFonts w:ascii="Arial" w:cs="Arial" w:eastAsia="Arial" w:hAnsi="Arial"/>
          <w:i/>
          <w:iCs/>
          <w:color w:val="7030A0"/>
          <w:sz w:val="17"/>
          <w:szCs w:val="17"/>
        </w:rPr>
        <w:t xml:space="preserve">Legal force: Regulation / enforceable (cross-listed)  ·  Consequence: Enforcement + rating (rule-backed)  ·  Cadence: Periodic / ongoing  ·  Cluster: Incentive compensation  ·  Redundancy: Candidate redundancy  ·  Confidence: Medium</w:t>
      </w:r>
    </w:p>
    <w:p>
      <w:pPr>
        <w:spacing w:after="104"/>
      </w:pPr>
      <w:r>
        <w:rPr>
          <w:rFonts w:ascii="Arial" w:cs="Arial" w:eastAsia="Arial" w:hAnsi="Arial"/>
          <w:i/>
          <w:iCs/>
          <w:color w:val="595959"/>
          <w:sz w:val="17"/>
          <w:szCs w:val="17"/>
        </w:rPr>
        <w:t xml:space="preserve">Note: Enforceable guideline; the only third/comp-cluster source with hard director-independence expectations.</w:t>
      </w:r>
    </w:p>
    <w:p>
      <w:pPr>
        <w:pStyle w:val="Heading2"/>
      </w:pPr>
      <w:r>
        <w:t xml:space="preserve">11. Cybersecurity governance</w:t>
      </w:r>
    </w:p>
    <w:p>
      <w:pPr>
        <w:keepNext/>
        <w:spacing w:after="16" w:before="104"/>
      </w:pPr>
      <w:r>
        <w:rPr>
          <w:rFonts w:ascii="Arial" w:cs="Arial" w:eastAsia="Arial" w:hAnsi="Arial"/>
          <w:b/>
          <w:bCs/>
          <w:color w:val="1F3864"/>
          <w:sz w:val="21"/>
          <w:szCs w:val="21"/>
        </w:rPr>
        <w:t xml:space="preserve">CYB-01  —  Full board (typically discharged through risk and/or audit committee at large firms)  ·  Both</w:t>
      </w:r>
      <w:r>
        <w:rPr>
          <w:sz w:val="2"/>
          <w:szCs w:val="2"/>
        </w:rPr>
        <w:t xml:space="preserve"/>
      </w:r>
    </w:p>
    <w:p>
      <w:pPr>
        <w:spacing w:after="24"/>
      </w:pPr>
      <w:r>
        <w:rPr>
          <w:rFonts w:ascii="Arial" w:cs="Arial" w:eastAsia="Arial" w:hAnsi="Arial"/>
          <w:sz w:val="21"/>
          <w:szCs w:val="21"/>
        </w:rPr>
        <w:t xml:space="preserve">Board oversees the development, implementation, management, and maintenance of the information security program; annually approves the written information security program and policies; assigns responsibility for implementation; and reviews management reports.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FFIEC IT Examination Handbook, Information Security booklet (Sept. 2016 ed.), Sec. I.A / I.B (Governance of the Information Security Program).</w:t>
      </w:r>
      <w:r>
        <w:rPr>
          <w:rFonts w:ascii="Arial" w:cs="Arial" w:eastAsia="Arial" w:hAnsi="Arial"/>
          <w:i/>
          <w:iCs/>
          <w:color w:val="3B6FB0"/>
          <w:sz w:val="15"/>
          <w:szCs w:val="15"/>
        </w:rPr>
        <w:t xml:space="preserve"> [https://ithandbook.ffiec.gov/]</w:t>
      </w:r>
    </w:p>
    <w:p>
      <w:pPr>
        <w:spacing w:after="6"/>
      </w:pPr>
      <w:r>
        <w:rPr>
          <w:rFonts w:ascii="Arial" w:cs="Arial" w:eastAsia="Arial" w:hAnsi="Arial"/>
          <w:i/>
          <w:iCs/>
          <w:color w:val="7030A0"/>
          <w:sz w:val="17"/>
          <w:szCs w:val="17"/>
        </w:rPr>
        <w:t xml:space="preserve">Legal force: Examination manual  ·  Consequence: Exam findings / MRAs; informs ratings (no direct legal force)  ·  Cadence: Annual  ·  Cluster: Information security &amp; cybersecurity  ·  Redundancy: Candidate redundancy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CYB-02  —  Full board  ·  Both</w:t>
      </w:r>
      <w:r>
        <w:rPr>
          <w:sz w:val="2"/>
          <w:szCs w:val="2"/>
        </w:rPr>
        <w:t xml:space="preserve"/>
      </w:r>
    </w:p>
    <w:p>
      <w:pPr>
        <w:spacing w:after="24"/>
      </w:pPr>
      <w:r>
        <w:rPr>
          <w:rFonts w:ascii="Arial" w:cs="Arial" w:eastAsia="Arial" w:hAnsi="Arial"/>
          <w:sz w:val="21"/>
          <w:szCs w:val="21"/>
        </w:rPr>
        <w:t xml:space="preserve">Board should reasonably understand the business case for information security and the business implications of information security risks; provide management direction; approve information security plans, policies, and programs; review assessments of program effectiveness; discuss corrective-action recommendations; and hold management accountable.</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FFIEC IT Examination Handbook, Information Security booklet, Sec. I.B.</w:t>
      </w:r>
      <w:r>
        <w:rPr>
          <w:rFonts w:ascii="Arial" w:cs="Arial" w:eastAsia="Arial" w:hAnsi="Arial"/>
          <w:i/>
          <w:iCs/>
          <w:color w:val="3B6FB0"/>
          <w:sz w:val="15"/>
          <w:szCs w:val="15"/>
        </w:rPr>
        <w:t xml:space="preserve"> [https://ithandbook.ffiec.gov/]</w:t>
      </w:r>
    </w:p>
    <w:p>
      <w:pPr>
        <w:spacing w:after="6"/>
      </w:pPr>
      <w:r>
        <w:rPr>
          <w:rFonts w:ascii="Arial" w:cs="Arial" w:eastAsia="Arial" w:hAnsi="Arial"/>
          <w:i/>
          <w:iCs/>
          <w:color w:val="7030A0"/>
          <w:sz w:val="17"/>
          <w:szCs w:val="17"/>
        </w:rPr>
        <w:t xml:space="preserve">Legal force: Examination manual  ·  Consequence: Exam findings / MRAs; informs ratings (no direct legal force)  ·  Cadence: Periodic / ongoing  ·  Cluster: Information security &amp; cybersecurity  ·  Redundancy: Candidate redundancy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CYB-03  —  Full board (committee delegation permitted)  ·  Both</w:t>
      </w:r>
      <w:r>
        <w:rPr>
          <w:sz w:val="2"/>
          <w:szCs w:val="2"/>
        </w:rPr>
        <w:t xml:space="preserve"/>
      </w:r>
    </w:p>
    <w:p>
      <w:pPr>
        <w:spacing w:after="24"/>
      </w:pPr>
      <w:r>
        <w:rPr>
          <w:rFonts w:ascii="Arial" w:cs="Arial" w:eastAsia="Arial" w:hAnsi="Arial"/>
          <w:sz w:val="21"/>
          <w:szCs w:val="21"/>
        </w:rPr>
        <w:t xml:space="preserve">Board oversees the institution's IT activities and governance, including approving the IT strategic plan, aligning IT with business strategy, setting IT risk appetite, and holding management accountable; may delegate to a board committee but retains ultimate responsibility.</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FFIEC IT Examination Handbook, Management booklet, Sec. I.A.1 (Board of Directors Oversight).</w:t>
      </w:r>
      <w:r>
        <w:rPr>
          <w:rFonts w:ascii="Arial" w:cs="Arial" w:eastAsia="Arial" w:hAnsi="Arial"/>
          <w:i/>
          <w:iCs/>
          <w:color w:val="3B6FB0"/>
          <w:sz w:val="15"/>
          <w:szCs w:val="15"/>
        </w:rPr>
        <w:t xml:space="preserve"> [https://ithandbook.ffiec.gov/]</w:t>
      </w:r>
    </w:p>
    <w:p>
      <w:pPr>
        <w:spacing w:after="6"/>
      </w:pPr>
      <w:r>
        <w:rPr>
          <w:rFonts w:ascii="Arial" w:cs="Arial" w:eastAsia="Arial" w:hAnsi="Arial"/>
          <w:i/>
          <w:iCs/>
          <w:color w:val="7030A0"/>
          <w:sz w:val="17"/>
          <w:szCs w:val="17"/>
        </w:rPr>
        <w:t xml:space="preserve">Legal force: Examination manual  ·  Consequence: Exam findings / MRAs; informs ratings (no direct legal force)  ·  Cadence: Periodic / ongoing  ·  Cluster: Information security &amp; cybersecurity  ·  Redundancy: Candidate redundancy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CYB-04  —  Full board or appropriate committee  ·  Both</w:t>
      </w:r>
      <w:r>
        <w:rPr>
          <w:sz w:val="2"/>
          <w:szCs w:val="2"/>
        </w:rPr>
        <w:t xml:space="preserve"/>
      </w:r>
    </w:p>
    <w:p>
      <w:pPr>
        <w:spacing w:after="24"/>
      </w:pPr>
      <w:r>
        <w:rPr>
          <w:rFonts w:ascii="Arial" w:cs="Arial" w:eastAsia="Arial" w:hAnsi="Arial"/>
          <w:sz w:val="21"/>
          <w:szCs w:val="21"/>
        </w:rPr>
        <w:t xml:space="preserve">Board or an appropriate committee of the board shall approve the bank's written information security program and oversee its development, implementation, and maintenance, including assigning specific responsibility for implementation and reviewing management reports.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Interagency Guidelines Establishing Information Security Standards, 12 CFR part 30 App. B (OCC) / part 208 App. D-2 &amp; part 225 App. F (FRB) / part 364 App. B (FDIC) (GLBA sec. 501(b)), App. B, sec. III.A (Involve the Board of Directors).</w:t>
      </w:r>
      <w:r>
        <w:rPr>
          <w:rFonts w:ascii="Arial" w:cs="Arial" w:eastAsia="Arial" w:hAnsi="Arial"/>
          <w:i/>
          <w:iCs/>
          <w:color w:val="3B6FB0"/>
          <w:sz w:val="15"/>
          <w:szCs w:val="15"/>
        </w:rPr>
        <w:t xml:space="preserve"> [https://www.ecfr.gov/current/title-12/chapter-I/part-30/appendix-Appendix%20D%20to%20Part%2030]</w:t>
      </w:r>
    </w:p>
    <w:p>
      <w:pPr>
        <w:spacing w:after="6"/>
      </w:pPr>
      <w:r>
        <w:rPr>
          <w:rFonts w:ascii="Arial" w:cs="Arial" w:eastAsia="Arial" w:hAnsi="Arial"/>
          <w:i/>
          <w:iCs/>
          <w:color w:val="7030A0"/>
          <w:sz w:val="17"/>
          <w:szCs w:val="17"/>
        </w:rPr>
        <w:t xml:space="preserve">Legal force: Regulation / enforceable (cross-listed)  ·  Consequence: Enforcement + rating (rule-backed)  ·  Cadence: Periodic / ongoing  ·  Cluster: Information security &amp; cybersecurity  ·  Redundancy: Candidate redundancy  ·  Confidence: Medium</w:t>
      </w:r>
    </w:p>
    <w:p>
      <w:pPr>
        <w:spacing w:after="104"/>
      </w:pPr>
      <w:r>
        <w:rPr>
          <w:rFonts w:ascii="Arial" w:cs="Arial" w:eastAsia="Arial" w:hAnsi="Arial"/>
          <w:i/>
          <w:iCs/>
          <w:color w:val="595959"/>
          <w:sz w:val="17"/>
          <w:szCs w:val="17"/>
        </w:rPr>
        <w:t xml:space="preserve">Note: Enforceable standard (regulation/guideline), the hardest regulatory anchor for the board cyber/info-sec duty. Distributed via FIL-27-2005.</w:t>
      </w:r>
    </w:p>
    <w:p>
      <w:pPr>
        <w:keepNext/>
        <w:spacing w:after="16" w:before="104"/>
      </w:pPr>
      <w:r>
        <w:rPr>
          <w:rFonts w:ascii="Arial" w:cs="Arial" w:eastAsia="Arial" w:hAnsi="Arial"/>
          <w:b/>
          <w:bCs/>
          <w:color w:val="1F3864"/>
          <w:sz w:val="21"/>
          <w:szCs w:val="21"/>
        </w:rPr>
        <w:t xml:space="preserve">CYB-05  —  Full board or appropriate committee  ·  Both</w:t>
      </w:r>
      <w:r>
        <w:rPr>
          <w:sz w:val="2"/>
          <w:szCs w:val="2"/>
        </w:rPr>
        <w:t xml:space="preserve"/>
      </w:r>
    </w:p>
    <w:p>
      <w:pPr>
        <w:spacing w:after="24"/>
      </w:pPr>
      <w:r>
        <w:rPr>
          <w:rFonts w:ascii="Arial" w:cs="Arial" w:eastAsia="Arial" w:hAnsi="Arial"/>
          <w:sz w:val="21"/>
          <w:szCs w:val="21"/>
        </w:rPr>
        <w:t xml:space="preserve">Each bank shall report to its board or an appropriate committee at least annually, describing the overall status of the information security program and compliance, and addressing risk assessment/management, service-provider arrangements, test results, security breaches/violations and management responses, and recommendations for program changes.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Interagency Guidelines Establishing Information Security Standards, 12 CFR part 30 App. B, App. B, sec. III.F (Report to the Board).</w:t>
      </w:r>
      <w:r>
        <w:rPr>
          <w:rFonts w:ascii="Arial" w:cs="Arial" w:eastAsia="Arial" w:hAnsi="Arial"/>
          <w:i/>
          <w:iCs/>
          <w:color w:val="3B6FB0"/>
          <w:sz w:val="15"/>
          <w:szCs w:val="15"/>
        </w:rPr>
        <w:t xml:space="preserve"> [https://www.ecfr.gov/current/title-12/chapter-I/part-30/appendix-Appendix%20B%20to%20Part%2030]</w:t>
      </w:r>
    </w:p>
    <w:p>
      <w:pPr>
        <w:spacing w:after="6"/>
      </w:pPr>
      <w:r>
        <w:rPr>
          <w:rFonts w:ascii="Arial" w:cs="Arial" w:eastAsia="Arial" w:hAnsi="Arial"/>
          <w:i/>
          <w:iCs/>
          <w:color w:val="7030A0"/>
          <w:sz w:val="17"/>
          <w:szCs w:val="17"/>
        </w:rPr>
        <w:t xml:space="preserve">Legal force: Regulation / enforceable (cross-listed)  ·  Consequence: Enforcement + rating (rule-backed)  ·  Cadence: Annual  ·  Cluster: Information security &amp; cybersecurity  ·  Redundancy: Candidate redundancy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CYB-06  —  Entity-level (board-relevant via oversight)  ·  Both</w:t>
      </w:r>
      <w:r>
        <w:rPr>
          <w:sz w:val="2"/>
          <w:szCs w:val="2"/>
        </w:rPr>
        <w:t xml:space="preserve"/>
      </w:r>
    </w:p>
    <w:p>
      <w:pPr>
        <w:spacing w:after="24"/>
      </w:pPr>
      <w:r>
        <w:rPr>
          <w:rFonts w:ascii="Arial" w:cs="Arial" w:eastAsia="Arial" w:hAnsi="Arial"/>
          <w:sz w:val="21"/>
          <w:szCs w:val="21"/>
        </w:rPr>
        <w:t xml:space="preserve">Entity-level duty to notify the primary federal regulator within 36 hours of a 'notification incident.' No direct board-action duty, but the incident determination relies on board-overseen escalation/incident-response governance (CYB-01/CYB-04), and service-provider notifications feed the board-overseen info-security and third-party programs.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Computer-Security Incident Notification Rule (86 FR 66424, Nov. 23, 2021); 12 CFR part 53 (OCC) / 225 subpart N (FRB) / 304 subpart C (FDIC); OCC Bulletin 2021-55; FDIC FIL-74-2021, Final rule.</w:t>
      </w:r>
      <w:r>
        <w:rPr>
          <w:rFonts w:ascii="Arial" w:cs="Arial" w:eastAsia="Arial" w:hAnsi="Arial"/>
          <w:i/>
          <w:iCs/>
          <w:color w:val="BF8F00"/>
          <w:sz w:val="15"/>
          <w:szCs w:val="15"/>
        </w:rPr>
        <w:t xml:space="preserve">  [URL not captured]</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Event-driven  ·  Cluster: Information security &amp; cybersecurity  ·  Redundancy: Candidate redundancy  ·  Confidence: Medium</w:t>
      </w:r>
    </w:p>
    <w:p>
      <w:pPr>
        <w:spacing w:after="104"/>
      </w:pPr>
      <w:r>
        <w:rPr>
          <w:rFonts w:ascii="Arial" w:cs="Arial" w:eastAsia="Arial" w:hAnsi="Arial"/>
          <w:i/>
          <w:iCs/>
          <w:color w:val="595959"/>
          <w:sz w:val="17"/>
          <w:szCs w:val="17"/>
        </w:rPr>
        <w:t xml:space="preserve">Note: Included for completeness; no discrete numbered board expectation.</w:t>
      </w:r>
    </w:p>
    <w:p>
      <w:pPr>
        <w:keepNext/>
        <w:spacing w:after="16" w:before="104"/>
      </w:pPr>
      <w:r>
        <w:rPr>
          <w:rFonts w:ascii="Arial" w:cs="Arial" w:eastAsia="Arial" w:hAnsi="Arial"/>
          <w:b/>
          <w:bCs/>
          <w:color w:val="1F3864"/>
          <w:sz w:val="21"/>
          <w:szCs w:val="21"/>
        </w:rPr>
        <w:t xml:space="preserve">CYB-07  —  n/a (retired)  ·  Both</w:t>
      </w:r>
      <w:r>
        <w:rPr>
          <w:rFonts w:ascii="Arial" w:cs="Arial" w:eastAsia="Arial" w:hAnsi="Arial"/>
          <w:b/>
          <w:bCs/>
          <w:color w:val="C00000"/>
          <w:sz w:val="17"/>
          <w:szCs w:val="17"/>
        </w:rPr>
        <w:t xml:space="preserve">  [RETIRED AUG. 31, 2025]</w:t>
      </w:r>
    </w:p>
    <w:p>
      <w:pPr>
        <w:spacing w:after="24"/>
      </w:pPr>
      <w:r>
        <w:rPr>
          <w:rFonts w:ascii="Arial" w:cs="Arial" w:eastAsia="Arial" w:hAnsi="Arial"/>
          <w:sz w:val="21"/>
          <w:szCs w:val="21"/>
        </w:rPr>
        <w:t xml:space="preserve">RETIRED: The CAT was sunset on Aug. 31, 2025; any board-level expectation premised on CAT completion or CAT-based reporting is no longer current. The FFIEC pointed institutions to industry/government frameworks (CRI Cyber Profile, CIS Controls, NIST CSF 2.0, CISA CPGs).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FFIEC Cybersecurity Assessment Tool (CAT), Sunset announcement (FFIEC, Aug. 29, 2024; SR 24-7; OCC Bulletin 2024-25).</w:t>
      </w:r>
      <w:r>
        <w:rPr>
          <w:rFonts w:ascii="Arial" w:cs="Arial" w:eastAsia="Arial" w:hAnsi="Arial"/>
          <w:i/>
          <w:iCs/>
          <w:color w:val="BF8F00"/>
          <w:sz w:val="15"/>
          <w:szCs w:val="15"/>
        </w:rPr>
        <w:t xml:space="preserve">  [URL not captured]</w:t>
      </w:r>
    </w:p>
    <w:p>
      <w:pPr>
        <w:spacing w:after="6"/>
      </w:pPr>
      <w:r>
        <w:rPr>
          <w:rFonts w:ascii="Arial" w:cs="Arial" w:eastAsia="Arial" w:hAnsi="Arial"/>
          <w:i/>
          <w:iCs/>
          <w:color w:val="7030A0"/>
          <w:sz w:val="17"/>
          <w:szCs w:val="17"/>
        </w:rPr>
        <w:t xml:space="preserve">Legal force: Rescinded / retired  ·  Consequence: None (not current)  ·  Cadence: Periodic / ongoing  ·  Cluster: Information security &amp; cybersecurity  ·  Redundancy: Candidate redundancy  ·  Confidence: High</w:t>
      </w:r>
    </w:p>
    <w:p>
      <w:pPr>
        <w:spacing w:after="104"/>
      </w:pPr>
      <w:r>
        <w:rPr>
          <w:rFonts w:ascii="Arial" w:cs="Arial" w:eastAsia="Arial" w:hAnsi="Arial"/>
          <w:i/>
          <w:iCs/>
          <w:color w:val="595959"/>
          <w:sz w:val="17"/>
          <w:szCs w:val="17"/>
        </w:rPr>
        <w:t xml:space="preserve">Note: No 1:1 regulatory replacement; the IT Handbook (CYB-01..03) and 12 CFR 30 App. B (CYB-04/05) remain the examination baseline.</w:t>
      </w:r>
    </w:p>
    <w:p>
      <w:pPr>
        <w:keepNext/>
        <w:spacing w:after="16" w:before="104"/>
      </w:pPr>
      <w:r>
        <w:rPr>
          <w:rFonts w:ascii="Arial" w:cs="Arial" w:eastAsia="Arial" w:hAnsi="Arial"/>
          <w:b/>
          <w:bCs/>
          <w:color w:val="1F3864"/>
          <w:sz w:val="21"/>
          <w:szCs w:val="21"/>
        </w:rPr>
        <w:t xml:space="preserve">CYB-08  —  Full board  ·  Both</w:t>
      </w:r>
      <w:r>
        <w:rPr>
          <w:sz w:val="2"/>
          <w:szCs w:val="2"/>
        </w:rPr>
        <w:t xml:space="preserve"/>
      </w:r>
    </w:p>
    <w:p>
      <w:pPr>
        <w:spacing w:after="24"/>
      </w:pPr>
      <w:r>
        <w:rPr>
          <w:rFonts w:ascii="Arial" w:cs="Arial" w:eastAsia="Arial" w:hAnsi="Arial"/>
          <w:sz w:val="21"/>
          <w:szCs w:val="21"/>
        </w:rPr>
        <w:t xml:space="preserve">Board should ensure management provides sufficient resources, expertise, and authority to implement and maintain the information security program.</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FFIEC IT Examination Handbook, Information Security booklet, Governance / resources sections.</w:t>
      </w:r>
      <w:r>
        <w:rPr>
          <w:rFonts w:ascii="Arial" w:cs="Arial" w:eastAsia="Arial" w:hAnsi="Arial"/>
          <w:i/>
          <w:iCs/>
          <w:color w:val="3B6FB0"/>
          <w:sz w:val="15"/>
          <w:szCs w:val="15"/>
        </w:rPr>
        <w:t xml:space="preserve"> [https://ithandbook.ffiec.gov/]</w:t>
      </w:r>
    </w:p>
    <w:p>
      <w:pPr>
        <w:spacing w:after="6"/>
      </w:pPr>
      <w:r>
        <w:rPr>
          <w:rFonts w:ascii="Arial" w:cs="Arial" w:eastAsia="Arial" w:hAnsi="Arial"/>
          <w:i/>
          <w:iCs/>
          <w:color w:val="7030A0"/>
          <w:sz w:val="17"/>
          <w:szCs w:val="17"/>
        </w:rPr>
        <w:t xml:space="preserve">Legal force: Examination manual  ·  Consequence: Exam findings / MRAs; informs ratings (no direct legal force)  ·  Cadence: Periodic / ongoing  ·  Cluster: Information security &amp; cybersecurity  ·  Redundancy: Candidate redundancy  ·  Confidence: Medium</w:t>
      </w:r>
    </w:p>
    <w:p>
      <w:pPr>
        <w:spacing w:after="104"/>
      </w:pPr>
      <w:r>
        <w:rPr>
          <w:rFonts w:ascii="Arial" w:cs="Arial" w:eastAsia="Arial" w:hAnsi="Arial"/>
          <w:i/>
          <w:iCs/>
          <w:color w:val="595959"/>
          <w:sz w:val="17"/>
          <w:szCs w:val="17"/>
        </w:rPr>
        <w:t xml:space="preserve">Note: Parallels operational-resilience resource expectation (OPR-02).</w:t>
      </w:r>
    </w:p>
    <w:p>
      <w:pPr>
        <w:pStyle w:val="Heading2"/>
      </w:pPr>
      <w:r>
        <w:t xml:space="preserve">12. BSA/AML program oversight</w:t>
      </w:r>
    </w:p>
    <w:p>
      <w:pPr>
        <w:keepNext/>
        <w:spacing w:after="16" w:before="104"/>
      </w:pPr>
      <w:r>
        <w:rPr>
          <w:rFonts w:ascii="Arial" w:cs="Arial" w:eastAsia="Arial" w:hAnsi="Arial"/>
          <w:b/>
          <w:bCs/>
          <w:color w:val="1F3864"/>
          <w:sz w:val="21"/>
          <w:szCs w:val="21"/>
        </w:rPr>
        <w:t xml:space="preserve">BSA-01  —  Full board (approval + minute notation)  ·  Both</w:t>
      </w:r>
      <w:r>
        <w:rPr>
          <w:sz w:val="2"/>
          <w:szCs w:val="2"/>
        </w:rPr>
        <w:t xml:space="preserve"/>
      </w:r>
    </w:p>
    <w:p>
      <w:pPr>
        <w:spacing w:after="24"/>
      </w:pPr>
      <w:r>
        <w:rPr>
          <w:rFonts w:ascii="Arial" w:cs="Arial" w:eastAsia="Arial" w:hAnsi="Arial"/>
          <w:sz w:val="21"/>
          <w:szCs w:val="21"/>
        </w:rPr>
        <w:t xml:space="preserve">The BSA/AML compliance program must be written, approved by the board of directors, and noted in the board minutes; it must be commensurate with the bank's ML/TF and illicit-finance risk profile.</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FFIEC BSA/AML Examination Manual, Assessing the BSA/AML Compliance Program (Introduction), Introduction, para. 1 (citing 12 CFR 208.63, 326.8, 21.21, 748.2).</w:t>
      </w:r>
      <w:r>
        <w:rPr>
          <w:rFonts w:ascii="Arial" w:cs="Arial" w:eastAsia="Arial" w:hAnsi="Arial"/>
          <w:i/>
          <w:iCs/>
          <w:color w:val="3B6FB0"/>
          <w:sz w:val="15"/>
          <w:szCs w:val="15"/>
        </w:rPr>
        <w:t xml:space="preserve"> [https://bsaaml.ffiec.gov/manual]</w:t>
      </w:r>
    </w:p>
    <w:p>
      <w:pPr>
        <w:spacing w:after="6"/>
      </w:pPr>
      <w:r>
        <w:rPr>
          <w:rFonts w:ascii="Arial" w:cs="Arial" w:eastAsia="Arial" w:hAnsi="Arial"/>
          <w:i/>
          <w:iCs/>
          <w:color w:val="7030A0"/>
          <w:sz w:val="17"/>
          <w:szCs w:val="17"/>
        </w:rPr>
        <w:t xml:space="preserve">Legal force: Examination manual  ·  Consequence: Exam findings / MRAs; informs ratings (no direct legal force)  ·  Cadence: Periodic / ongoing  ·  Cluster: BSA/AML program  ·  Redundancy: Candidate redundancy (intra-program)  ·  Confidence: High</w:t>
      </w:r>
    </w:p>
    <w:p>
      <w:pPr>
        <w:spacing w:after="104"/>
      </w:pPr>
      <w:r>
        <w:rPr>
          <w:rFonts w:ascii="Arial" w:cs="Arial" w:eastAsia="Arial" w:hAnsi="Arial"/>
          <w:i/>
          <w:iCs/>
          <w:color w:val="595959"/>
          <w:sz w:val="17"/>
          <w:szCs w:val="17"/>
        </w:rPr>
        <w:t xml:space="preserve">Note: For U.S. branches/agencies of foreign banks, may be approved by delegates acting under the express authority of the foreign bank's board. Underlying program-rule architecture subject to pending 2026 reproposal (BSA-09/10).</w:t>
      </w:r>
    </w:p>
    <w:p>
      <w:pPr>
        <w:keepNext/>
        <w:spacing w:after="16" w:before="104"/>
      </w:pPr>
      <w:r>
        <w:rPr>
          <w:rFonts w:ascii="Arial" w:cs="Arial" w:eastAsia="Arial" w:hAnsi="Arial"/>
          <w:b/>
          <w:bCs/>
          <w:color w:val="1F3864"/>
          <w:sz w:val="21"/>
          <w:szCs w:val="21"/>
        </w:rPr>
        <w:t xml:space="preserve">BSA-02  —  Full board (acting through senior management)  ·  Both</w:t>
      </w:r>
      <w:r>
        <w:rPr>
          <w:sz w:val="2"/>
          <w:szCs w:val="2"/>
        </w:rPr>
        <w:t xml:space="preserve"/>
      </w:r>
    </w:p>
    <w:p>
      <w:pPr>
        <w:spacing w:after="24"/>
      </w:pPr>
      <w:r>
        <w:rPr>
          <w:rFonts w:ascii="Arial" w:cs="Arial" w:eastAsia="Arial" w:hAnsi="Arial"/>
          <w:sz w:val="21"/>
          <w:szCs w:val="21"/>
        </w:rPr>
        <w:t xml:space="preserve">Board, acting through senior management, is ultimately responsible for ensuring the bank maintains a system of internal controls to assure ongoing BSA compliance, and plays an important role in establishing a culture that prioritizes compliance and holds senior management accountable.</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FFIEC BSA/AML Examination Manual, BSA/AML Internal Controls, Internal Controls, para. 1 (citing 12 CFR 208.63(c)(1), etc.).</w:t>
      </w:r>
      <w:r>
        <w:rPr>
          <w:rFonts w:ascii="Arial" w:cs="Arial" w:eastAsia="Arial" w:hAnsi="Arial"/>
          <w:i/>
          <w:iCs/>
          <w:color w:val="3B6FB0"/>
          <w:sz w:val="15"/>
          <w:szCs w:val="15"/>
        </w:rPr>
        <w:t xml:space="preserve"> [https://bsaaml.ffiec.gov/manual]</w:t>
      </w:r>
    </w:p>
    <w:p>
      <w:pPr>
        <w:spacing w:after="6"/>
      </w:pPr>
      <w:r>
        <w:rPr>
          <w:rFonts w:ascii="Arial" w:cs="Arial" w:eastAsia="Arial" w:hAnsi="Arial"/>
          <w:i/>
          <w:iCs/>
          <w:color w:val="7030A0"/>
          <w:sz w:val="17"/>
          <w:szCs w:val="17"/>
        </w:rPr>
        <w:t xml:space="preserve">Legal force: Examination manual  ·  Consequence: Exam findings / MRAs; informs ratings (no direct legal force)  ·  Cadence: Periodic / ongoing  ·  Cluster: BSA/AML program  ·  Redundancy: Candidate redundancy (intra-program)  ·  Confidence: High</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BSA-03  —  Full board or committee (general reporting); full board (SAR-filing notification)  ·  Both</w:t>
      </w:r>
      <w:r>
        <w:rPr>
          <w:sz w:val="2"/>
          <w:szCs w:val="2"/>
        </w:rPr>
        <w:t xml:space="preserve"/>
      </w:r>
    </w:p>
    <w:p>
      <w:pPr>
        <w:spacing w:after="24"/>
      </w:pPr>
      <w:r>
        <w:rPr>
          <w:rFonts w:ascii="Arial" w:cs="Arial" w:eastAsia="Arial" w:hAnsi="Arial"/>
          <w:sz w:val="21"/>
          <w:szCs w:val="21"/>
        </w:rPr>
        <w:t xml:space="preserve">Internal controls should include mechanisms to identify and inform the board, or a committee thereof, and senior management of BSA compliance initiatives, identified deficiencies and corrective action, and to notify the board of directors of SARs filed.</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FFIEC BSA/AML Examination Manual, BSA/AML Internal Controls, Internal Controls, bulleted control expectations.</w:t>
      </w:r>
      <w:r>
        <w:rPr>
          <w:rFonts w:ascii="Arial" w:cs="Arial" w:eastAsia="Arial" w:hAnsi="Arial"/>
          <w:i/>
          <w:iCs/>
          <w:color w:val="3B6FB0"/>
          <w:sz w:val="15"/>
          <w:szCs w:val="15"/>
        </w:rPr>
        <w:t xml:space="preserve"> [https://bsaaml.ffiec.gov/manual]</w:t>
      </w:r>
    </w:p>
    <w:p>
      <w:pPr>
        <w:spacing w:after="6"/>
      </w:pPr>
      <w:r>
        <w:rPr>
          <w:rFonts w:ascii="Arial" w:cs="Arial" w:eastAsia="Arial" w:hAnsi="Arial"/>
          <w:i/>
          <w:iCs/>
          <w:color w:val="7030A0"/>
          <w:sz w:val="17"/>
          <w:szCs w:val="17"/>
        </w:rPr>
        <w:t xml:space="preserve">Legal force: Examination manual  ·  Consequence: Exam findings / MRAs; informs ratings (no direct legal force)  ·  Cadence: Periodic / ongoing  ·  Cluster: BSA/AML program  ·  Redundancy: Candidate redundancy (intra-program)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BSA-04  —  Full board  ·  Both</w:t>
      </w:r>
      <w:r>
        <w:rPr>
          <w:sz w:val="2"/>
          <w:szCs w:val="2"/>
        </w:rPr>
        <w:t xml:space="preserve"/>
      </w:r>
    </w:p>
    <w:p>
      <w:pPr>
        <w:spacing w:after="24"/>
      </w:pPr>
      <w:r>
        <w:rPr>
          <w:rFonts w:ascii="Arial" w:cs="Arial" w:eastAsia="Arial" w:hAnsi="Arial"/>
          <w:sz w:val="21"/>
          <w:szCs w:val="21"/>
        </w:rPr>
        <w:t xml:space="preserve">Board must designate a qualified individual or individuals to serve as the BSA compliance officer, and is responsible for ensuring the officer has appropriate authority, independence, and access to resources (appointment alone is not sufficient).</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FFIEC BSA/AML Examination Manual, BSA Compliance Officer, BSA Compliance Officer, Objective + para. 1 (citing 12 CFR 208.63(c)(3), etc.).</w:t>
      </w:r>
      <w:r>
        <w:rPr>
          <w:rFonts w:ascii="Arial" w:cs="Arial" w:eastAsia="Arial" w:hAnsi="Arial"/>
          <w:i/>
          <w:iCs/>
          <w:color w:val="3B6FB0"/>
          <w:sz w:val="15"/>
          <w:szCs w:val="15"/>
        </w:rPr>
        <w:t xml:space="preserve"> [https://bsaaml.ffiec.gov/manual]</w:t>
      </w:r>
    </w:p>
    <w:p>
      <w:pPr>
        <w:spacing w:after="6"/>
      </w:pPr>
      <w:r>
        <w:rPr>
          <w:rFonts w:ascii="Arial" w:cs="Arial" w:eastAsia="Arial" w:hAnsi="Arial"/>
          <w:i/>
          <w:iCs/>
          <w:color w:val="7030A0"/>
          <w:sz w:val="17"/>
          <w:szCs w:val="17"/>
        </w:rPr>
        <w:t xml:space="preserve">Legal force: Examination manual  ·  Consequence: Exam findings / MRAs; informs ratings (no direct legal force)  ·  Cadence: Event-driven  ·  Cluster: BSA/AML program  ·  Redundancy: Candidate redundancy (intra-program)  ·  Confidence: High</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BSA-05  —  Full board (oversight)  ·  Both</w:t>
      </w:r>
      <w:r>
        <w:rPr>
          <w:sz w:val="2"/>
          <w:szCs w:val="2"/>
        </w:rPr>
        <w:t xml:space="preserve"/>
      </w:r>
    </w:p>
    <w:p>
      <w:pPr>
        <w:spacing w:after="24"/>
      </w:pPr>
      <w:r>
        <w:rPr>
          <w:rFonts w:ascii="Arial" w:cs="Arial" w:eastAsia="Arial" w:hAnsi="Arial"/>
          <w:sz w:val="21"/>
          <w:szCs w:val="21"/>
        </w:rPr>
        <w:t xml:space="preserve">Board is ultimately responsible for the bank's BSA/AML compliance and should provide oversight of senior management and the BSA compliance officer in implementing the board-approved BSA/AML compliance program.</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FFIEC BSA/AML Examination Manual, BSA Compliance Officer, BSA Compliance Officer, para. 1 (cross-ref FinCEN FIN-2014-A007).</w:t>
      </w:r>
      <w:r>
        <w:rPr>
          <w:rFonts w:ascii="Arial" w:cs="Arial" w:eastAsia="Arial" w:hAnsi="Arial"/>
          <w:i/>
          <w:iCs/>
          <w:color w:val="3B6FB0"/>
          <w:sz w:val="15"/>
          <w:szCs w:val="15"/>
        </w:rPr>
        <w:t xml:space="preserve"> [https://bsaaml.ffiec.gov/manual]</w:t>
      </w:r>
    </w:p>
    <w:p>
      <w:pPr>
        <w:spacing w:after="6"/>
      </w:pPr>
      <w:r>
        <w:rPr>
          <w:rFonts w:ascii="Arial" w:cs="Arial" w:eastAsia="Arial" w:hAnsi="Arial"/>
          <w:i/>
          <w:iCs/>
          <w:color w:val="7030A0"/>
          <w:sz w:val="17"/>
          <w:szCs w:val="17"/>
        </w:rPr>
        <w:t xml:space="preserve">Legal force: Examination manual  ·  Consequence: Exam findings / MRAs; informs ratings (no direct legal force)  ·  Cadence: Periodic / ongoing  ·  Cluster: BSA/AML program  ·  Redundancy: Candidate redundancy (intra-program)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BSA-06  —  Full board or designated board committee  ·  Both</w:t>
      </w:r>
      <w:r>
        <w:rPr>
          <w:sz w:val="2"/>
          <w:szCs w:val="2"/>
        </w:rPr>
        <w:t xml:space="preserve"/>
      </w:r>
    </w:p>
    <w:p>
      <w:pPr>
        <w:spacing w:after="24"/>
      </w:pPr>
      <w:r>
        <w:rPr>
          <w:rFonts w:ascii="Arial" w:cs="Arial" w:eastAsia="Arial" w:hAnsi="Arial"/>
          <w:sz w:val="21"/>
          <w:szCs w:val="21"/>
        </w:rPr>
        <w:t xml:space="preserve">The BSA compliance officer should regularly report the status of ongoing BSA compliance to the board (or a designated board committee) and senior management, including the required notification of SAR filings, with clear lines of reporting ultimately up to the board.</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FFIEC BSA/AML Examination Manual, BSA Compliance Officer, BSA Compliance Officer, para. 2.</w:t>
      </w:r>
      <w:r>
        <w:rPr>
          <w:rFonts w:ascii="Arial" w:cs="Arial" w:eastAsia="Arial" w:hAnsi="Arial"/>
          <w:i/>
          <w:iCs/>
          <w:color w:val="3B6FB0"/>
          <w:sz w:val="15"/>
          <w:szCs w:val="15"/>
        </w:rPr>
        <w:t xml:space="preserve"> [https://bsaaml.ffiec.gov/manual]</w:t>
      </w:r>
    </w:p>
    <w:p>
      <w:pPr>
        <w:spacing w:after="6"/>
      </w:pPr>
      <w:r>
        <w:rPr>
          <w:rFonts w:ascii="Arial" w:cs="Arial" w:eastAsia="Arial" w:hAnsi="Arial"/>
          <w:i/>
          <w:iCs/>
          <w:color w:val="7030A0"/>
          <w:sz w:val="17"/>
          <w:szCs w:val="17"/>
        </w:rPr>
        <w:t xml:space="preserve">Legal force: Examination manual  ·  Consequence: Exam findings / MRAs; informs ratings (no direct legal force)  ·  Cadence: Event-driven  ·  Cluster: BSA/AML program  ·  Redundancy: Candidate redundancy (intra-program)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BSA-07  —  Full board  ·  Both</w:t>
      </w:r>
      <w:r>
        <w:rPr>
          <w:sz w:val="2"/>
          <w:szCs w:val="2"/>
        </w:rPr>
        <w:t xml:space="preserve"/>
      </w:r>
    </w:p>
    <w:p>
      <w:pPr>
        <w:spacing w:after="24"/>
      </w:pPr>
      <w:r>
        <w:rPr>
          <w:rFonts w:ascii="Arial" w:cs="Arial" w:eastAsia="Arial" w:hAnsi="Arial"/>
          <w:sz w:val="21"/>
          <w:szCs w:val="21"/>
        </w:rPr>
        <w:t xml:space="preserve">Board of directors and senior management should receive foundational BSA training and be informed of changes/new developments, sufficient to understand the bank's risk profile and BSA requirements (need not match the depth of operations-personnel training).</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FFIEC BSA/AML Examination Manual, BSA/AML Training, BSA/AML Training, para. 2.</w:t>
      </w:r>
      <w:r>
        <w:rPr>
          <w:rFonts w:ascii="Arial" w:cs="Arial" w:eastAsia="Arial" w:hAnsi="Arial"/>
          <w:i/>
          <w:iCs/>
          <w:color w:val="3B6FB0"/>
          <w:sz w:val="15"/>
          <w:szCs w:val="15"/>
        </w:rPr>
        <w:t xml:space="preserve"> [https://bsaaml.ffiec.gov/manual]</w:t>
      </w:r>
    </w:p>
    <w:p>
      <w:pPr>
        <w:spacing w:after="6"/>
      </w:pPr>
      <w:r>
        <w:rPr>
          <w:rFonts w:ascii="Arial" w:cs="Arial" w:eastAsia="Arial" w:hAnsi="Arial"/>
          <w:i/>
          <w:iCs/>
          <w:color w:val="7030A0"/>
          <w:sz w:val="17"/>
          <w:szCs w:val="17"/>
        </w:rPr>
        <w:t xml:space="preserve">Legal force: Examination manual  ·  Consequence: Exam findings / MRAs; informs ratings (no direct legal force)  ·  Cadence: Periodic / ongoing  ·  Cluster: BSA/AML program  ·  Redundancy: Candidate redundancy (intra-program)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BSA-08  —  Full board; senior management  ·  IDI</w:t>
      </w:r>
      <w:r>
        <w:rPr>
          <w:sz w:val="2"/>
          <w:szCs w:val="2"/>
        </w:rPr>
        <w:t xml:space="preserve"/>
      </w:r>
    </w:p>
    <w:p>
      <w:pPr>
        <w:spacing w:after="24"/>
      </w:pPr>
      <w:r>
        <w:rPr>
          <w:rFonts w:ascii="Arial" w:cs="Arial" w:eastAsia="Arial" w:hAnsi="Arial"/>
          <w:sz w:val="21"/>
          <w:szCs w:val="21"/>
        </w:rPr>
        <w:t xml:space="preserve">Leadership (board and senior management) should demonstrate visible commitment to BSA compliance, devote adequate resources, ensure an independent and competent compliance function, and ensure compliance is not compromised by revenue interests.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FinCEN Advisory to U.S. Financial Institutions on Promoting a Culture of Compliance, FIN-2014-A007 (Aug. 11, 2014), Advisory.</w:t>
      </w:r>
      <w:r>
        <w:rPr>
          <w:rFonts w:ascii="Arial" w:cs="Arial" w:eastAsia="Arial" w:hAnsi="Arial"/>
          <w:i/>
          <w:iCs/>
          <w:color w:val="BF8F00"/>
          <w:sz w:val="15"/>
          <w:szCs w:val="15"/>
        </w:rPr>
        <w:t xml:space="preserve">  [URL not captured]</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BSA/AML program  ·  Redundancy: Candidate redundancy (intra-program)  ·  Confidence: Medium</w:t>
      </w:r>
    </w:p>
    <w:p>
      <w:pPr>
        <w:spacing w:after="104"/>
      </w:pPr>
      <w:r>
        <w:rPr>
          <w:rFonts w:ascii="Arial" w:cs="Arial" w:eastAsia="Arial" w:hAnsi="Arial"/>
          <w:i/>
          <w:iCs/>
          <w:color w:val="595959"/>
          <w:sz w:val="17"/>
          <w:szCs w:val="17"/>
        </w:rPr>
        <w:t xml:space="preserve">Note: Continues to be cited as live authority in the current FFIEC manual.</w:t>
      </w:r>
    </w:p>
    <w:p>
      <w:pPr>
        <w:keepNext/>
        <w:spacing w:after="16" w:before="104"/>
      </w:pPr>
      <w:r>
        <w:rPr>
          <w:rFonts w:ascii="Arial" w:cs="Arial" w:eastAsia="Arial" w:hAnsi="Arial"/>
          <w:b/>
          <w:bCs/>
          <w:color w:val="1F3864"/>
          <w:sz w:val="21"/>
          <w:szCs w:val="21"/>
        </w:rPr>
        <w:t xml:space="preserve">BSA-09  —  Full board OR equivalent governing body OR appropriate senior management (incl. board committees)  ·  IDI</w:t>
      </w:r>
      <w:r>
        <w:rPr>
          <w:sz w:val="2"/>
          <w:szCs w:val="2"/>
        </w:rPr>
        <w:t xml:space="preserve"/>
      </w:r>
    </w:p>
    <w:p>
      <w:pPr>
        <w:spacing w:after="24"/>
      </w:pPr>
      <w:r>
        <w:rPr>
          <w:rFonts w:ascii="Arial" w:cs="Arial" w:eastAsia="Arial" w:hAnsi="Arial"/>
          <w:sz w:val="21"/>
          <w:szCs w:val="21"/>
        </w:rPr>
        <w:t xml:space="preserve">PROPOSED: would require the AML/CFT program to be approved by the financial institution's board of directors or an equivalent governing body, or appropriate senior management — restoring flexibility and allowing board committees (e.g., compliance or audit) to serve as the approving group.</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FinCEN NPRM, Anti-Money Laundering and Countering the Financing of Terrorism Programs (91 FR 18704, Apr. 10, 2026; RIN 1506-AB72; comments due June 9, 2026), Proposed 31 CFR 10XX.210(d); preamble sec. V.E.2.</w:t>
      </w:r>
      <w:r>
        <w:rPr>
          <w:rFonts w:ascii="Arial" w:cs="Arial" w:eastAsia="Arial" w:hAnsi="Arial"/>
          <w:i/>
          <w:iCs/>
          <w:color w:val="BF8F00"/>
          <w:sz w:val="15"/>
          <w:szCs w:val="15"/>
        </w:rPr>
        <w:t xml:space="preserve">  [URL not captured]</w:t>
      </w:r>
    </w:p>
    <w:p>
      <w:pPr>
        <w:spacing w:after="6"/>
      </w:pPr>
      <w:r>
        <w:rPr>
          <w:rFonts w:ascii="Arial" w:cs="Arial" w:eastAsia="Arial" w:hAnsi="Arial"/>
          <w:i/>
          <w:iCs/>
          <w:color w:val="7030A0"/>
          <w:sz w:val="17"/>
          <w:szCs w:val="17"/>
        </w:rPr>
        <w:t xml:space="preserve">Legal force: Proposal  ·  Consequence: None yet (proposed)  ·  Cadence: Periodic / ongoing  ·  Cluster: BSA/AML program  ·  Redundancy: Candidate redundancy (intra-program)  ·  Confidence: High</w:t>
      </w:r>
    </w:p>
    <w:p>
      <w:pPr>
        <w:spacing w:after="104"/>
      </w:pPr>
      <w:r>
        <w:rPr>
          <w:rFonts w:ascii="Arial" w:cs="Arial" w:eastAsia="Arial" w:hAnsi="Arial"/>
          <w:i/>
          <w:iCs/>
          <w:color w:val="595959"/>
          <w:sz w:val="17"/>
          <w:szCs w:val="17"/>
        </w:rPr>
        <w:t xml:space="preserve">Note: Deliberate softening from the June 2024 NPRM (which would have mandated board approval and removed senior-management approval). The 2024 Program NPRM is withdrawn/superseded. Existing banking-agency program rules (board approval + minute notation, BSA-01) remain in force today.</w:t>
      </w:r>
    </w:p>
    <w:p>
      <w:pPr>
        <w:keepNext/>
        <w:spacing w:after="16" w:before="104"/>
      </w:pPr>
      <w:r>
        <w:rPr>
          <w:rFonts w:ascii="Arial" w:cs="Arial" w:eastAsia="Arial" w:hAnsi="Arial"/>
          <w:b/>
          <w:bCs/>
          <w:color w:val="1F3864"/>
          <w:sz w:val="21"/>
          <w:szCs w:val="21"/>
        </w:rPr>
        <w:t xml:space="preserve">BSA-10  —  Full board (per amended agency rules)  ·  Both</w:t>
      </w:r>
      <w:r>
        <w:rPr>
          <w:sz w:val="2"/>
          <w:szCs w:val="2"/>
        </w:rPr>
        <w:t xml:space="preserve"/>
      </w:r>
    </w:p>
    <w:p>
      <w:pPr>
        <w:spacing w:after="24"/>
      </w:pPr>
      <w:r>
        <w:rPr>
          <w:rFonts w:ascii="Arial" w:cs="Arial" w:eastAsia="Arial" w:hAnsi="Arial"/>
          <w:sz w:val="21"/>
          <w:szCs w:val="21"/>
        </w:rPr>
        <w:t xml:space="preserve">PROPOSED: would amend each agency's program rule to require effective, risk-based AML/CFT programs aligned with the FinCEN reproposal; carries the board-approval architecture for IDIs; clarifies enforcement reserved for significant or systemic program failures.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Banking-agencies' companion AML/CFT Program Rule NPRM (91 FR, FR Doc. 2026-06948, Apr. 10, 2026; comments due June 9, 2026), Proposed program-rule amendments.</w:t>
      </w:r>
      <w:r>
        <w:rPr>
          <w:rFonts w:ascii="Arial" w:cs="Arial" w:eastAsia="Arial" w:hAnsi="Arial"/>
          <w:i/>
          <w:iCs/>
          <w:color w:val="BF8F00"/>
          <w:sz w:val="15"/>
          <w:szCs w:val="15"/>
        </w:rPr>
        <w:t xml:space="preserve">  [URL not captured]</w:t>
      </w:r>
    </w:p>
    <w:p>
      <w:pPr>
        <w:spacing w:after="6"/>
      </w:pPr>
      <w:r>
        <w:rPr>
          <w:rFonts w:ascii="Arial" w:cs="Arial" w:eastAsia="Arial" w:hAnsi="Arial"/>
          <w:i/>
          <w:iCs/>
          <w:color w:val="7030A0"/>
          <w:sz w:val="17"/>
          <w:szCs w:val="17"/>
        </w:rPr>
        <w:t xml:space="preserve">Legal force: Proposal  ·  Consequence: None yet (proposed)  ·  Cadence: Periodic / ongoing  ·  Cluster: BSA/AML program  ·  Redundancy: Candidate redundancy (intra-program)  ·  Confidence: Medium</w:t>
      </w:r>
    </w:p>
    <w:p>
      <w:pPr>
        <w:spacing w:after="104"/>
      </w:pPr>
      <w:r>
        <w:rPr>
          <w:rFonts w:ascii="Arial" w:cs="Arial" w:eastAsia="Arial" w:hAnsi="Arial"/>
          <w:i/>
          <w:iCs/>
          <w:color w:val="595959"/>
          <w:sz w:val="17"/>
          <w:szCs w:val="17"/>
        </w:rPr>
        <w:t xml:space="preserve">Note: Existing agency program rules (board approval + minute notation) remain in force pending finalization.</w:t>
      </w:r>
    </w:p>
    <w:p>
      <w:pPr>
        <w:keepNext/>
        <w:spacing w:after="16" w:before="104"/>
      </w:pPr>
      <w:r>
        <w:rPr>
          <w:rFonts w:ascii="Arial" w:cs="Arial" w:eastAsia="Arial" w:hAnsi="Arial"/>
          <w:b/>
          <w:bCs/>
          <w:color w:val="1F3864"/>
          <w:sz w:val="21"/>
          <w:szCs w:val="21"/>
        </w:rPr>
        <w:t xml:space="preserve">BSA-11  —  Full board  ·  IDI</w:t>
      </w:r>
      <w:r>
        <w:rPr>
          <w:sz w:val="2"/>
          <w:szCs w:val="2"/>
        </w:rPr>
        <w:t xml:space="preserve"/>
      </w:r>
    </w:p>
    <w:p>
      <w:pPr>
        <w:spacing w:after="24"/>
      </w:pPr>
      <w:r>
        <w:rPr>
          <w:rFonts w:ascii="Arial" w:cs="Arial" w:eastAsia="Arial" w:hAnsi="Arial"/>
          <w:sz w:val="21"/>
          <w:szCs w:val="21"/>
        </w:rPr>
        <w:t xml:space="preserve">Board should receive orientation on BSA/AML requirements and risks and is responsible for approving and overseeing management's implementation of the BSA/AML compliance program.</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The Director's Book (2020), BSA/AML oversight (local ll. ~1184-1193, 3504-3526).</w:t>
      </w:r>
      <w:r>
        <w:rPr>
          <w:rFonts w:ascii="Arial" w:cs="Arial" w:eastAsia="Arial" w:hAnsi="Arial"/>
          <w:i/>
          <w:iCs/>
          <w:color w:val="3B6FB0"/>
          <w:sz w:val="15"/>
          <w:szCs w:val="15"/>
        </w:rPr>
        <w:t xml:space="preserve"> [https://www.occ.gov/publications-and-resources/publications/banker-education/files/pub-directors-book.pdf]</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BSA/AML program  ·  Redundancy: Candidate redundancy (intra-program)  ·  Confidence: Medium</w:t>
      </w:r>
    </w:p>
    <w:p>
      <w:pPr>
        <w:spacing w:after="104"/>
      </w:pPr>
      <w:r>
        <w:rPr>
          <w:rFonts w:ascii="Arial" w:cs="Arial" w:eastAsia="Arial" w:hAnsi="Arial"/>
          <w:i/>
          <w:iCs/>
          <w:color w:val="595959"/>
          <w:sz w:val="17"/>
          <w:szCs w:val="17"/>
        </w:rPr>
        <w:t xml:space="preserve">Note: OCC IDI-specific complement to the FFIEC manual.</w:t>
      </w:r>
    </w:p>
    <w:p>
      <w:pPr>
        <w:keepNext/>
        <w:spacing w:after="16" w:before="104"/>
      </w:pPr>
      <w:r>
        <w:rPr>
          <w:rFonts w:ascii="Arial" w:cs="Arial" w:eastAsia="Arial" w:hAnsi="Arial"/>
          <w:b/>
          <w:bCs/>
          <w:color w:val="1F3864"/>
          <w:sz w:val="21"/>
          <w:szCs w:val="21"/>
        </w:rPr>
        <w:t xml:space="preserve">BSA-12  —  Full board or designated board committee  ·  Both</w:t>
      </w:r>
      <w:r>
        <w:rPr>
          <w:sz w:val="2"/>
          <w:szCs w:val="2"/>
        </w:rPr>
        <w:t xml:space="preserve"/>
      </w:r>
    </w:p>
    <w:p>
      <w:pPr>
        <w:spacing w:after="24"/>
      </w:pPr>
      <w:r>
        <w:rPr>
          <w:rFonts w:ascii="Arial" w:cs="Arial" w:eastAsia="Arial" w:hAnsi="Arial"/>
          <w:sz w:val="21"/>
          <w:szCs w:val="21"/>
        </w:rPr>
        <w:t xml:space="preserve">Independent testing should provide enough information for the board (or a designated board committee) to assess program adequacy; examiners determine whether testing reports directly to the board or a designated board committee — referencing a committee composed primarily or completely of outside directors.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FFIEC BSA/AML Examination Manual, Independent Testing, Independent Testing exam procedures.</w:t>
      </w:r>
      <w:r>
        <w:rPr>
          <w:rFonts w:ascii="Arial" w:cs="Arial" w:eastAsia="Arial" w:hAnsi="Arial"/>
          <w:i/>
          <w:iCs/>
          <w:color w:val="3B6FB0"/>
          <w:sz w:val="15"/>
          <w:szCs w:val="15"/>
        </w:rPr>
        <w:t xml:space="preserve"> [https://bsaaml.ffiec.gov/manual]</w:t>
      </w:r>
    </w:p>
    <w:p>
      <w:pPr>
        <w:spacing w:after="6"/>
      </w:pPr>
      <w:r>
        <w:rPr>
          <w:rFonts w:ascii="Arial" w:cs="Arial" w:eastAsia="Arial" w:hAnsi="Arial"/>
          <w:i/>
          <w:iCs/>
          <w:color w:val="7030A0"/>
          <w:sz w:val="17"/>
          <w:szCs w:val="17"/>
        </w:rPr>
        <w:t xml:space="preserve">Legal force: Examination manual  ·  Consequence: Exam findings / MRAs; informs ratings (no direct legal force)  ·  Cadence: Event-driven  ·  Cluster: BSA/AML program  ·  Redundancy: Candidate redundancy (intra-program)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BSA-13  —  Full board; senior management  ·  Both</w:t>
      </w:r>
      <w:r>
        <w:rPr>
          <w:sz w:val="2"/>
          <w:szCs w:val="2"/>
        </w:rPr>
        <w:t xml:space="preserve"/>
      </w:r>
    </w:p>
    <w:p>
      <w:pPr>
        <w:spacing w:after="24"/>
      </w:pPr>
      <w:r>
        <w:rPr>
          <w:rFonts w:ascii="Arial" w:cs="Arial" w:eastAsia="Arial" w:hAnsi="Arial"/>
          <w:sz w:val="21"/>
          <w:szCs w:val="21"/>
        </w:rPr>
        <w:t xml:space="preserve">The OFAC/sanctions compliance program should be risk-based and supported by policies, procedures, internal controls, testing, training, and management and board oversight appropriate to the risk profile.</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FFIEC BSA/AML Examination Manual, OFAC sections, OFAC / sanctions examination sections.</w:t>
      </w:r>
      <w:r>
        <w:rPr>
          <w:rFonts w:ascii="Arial" w:cs="Arial" w:eastAsia="Arial" w:hAnsi="Arial"/>
          <w:i/>
          <w:iCs/>
          <w:color w:val="3B6FB0"/>
          <w:sz w:val="15"/>
          <w:szCs w:val="15"/>
        </w:rPr>
        <w:t xml:space="preserve"> [https://bsaaml.ffiec.gov/manual]</w:t>
      </w:r>
    </w:p>
    <w:p>
      <w:pPr>
        <w:spacing w:after="6"/>
      </w:pPr>
      <w:r>
        <w:rPr>
          <w:rFonts w:ascii="Arial" w:cs="Arial" w:eastAsia="Arial" w:hAnsi="Arial"/>
          <w:i/>
          <w:iCs/>
          <w:color w:val="7030A0"/>
          <w:sz w:val="17"/>
          <w:szCs w:val="17"/>
        </w:rPr>
        <w:t xml:space="preserve">Legal force: Examination manual  ·  Consequence: Exam findings / MRAs; informs ratings (no direct legal force)  ·  Cadence: Periodic / ongoing  ·  Cluster: BSA/AML program  ·  Redundancy: Candidate redundancy (intra-program)  ·  Confidence: Medium</w:t>
      </w:r>
    </w:p>
    <w:p>
      <w:pPr>
        <w:spacing w:after="104"/>
      </w:pPr>
      <w:r>
        <w:rPr>
          <w:rFonts w:ascii="Arial" w:cs="Arial" w:eastAsia="Arial" w:hAnsi="Arial"/>
          <w:i/>
          <w:iCs/>
          <w:color w:val="595959"/>
          <w:sz w:val="17"/>
          <w:szCs w:val="17"/>
        </w:rPr>
        <w:t xml:space="preserve">Note: Less board-specific than the BSA program-structure sections.</w:t>
      </w:r>
    </w:p>
    <w:p>
      <w:pPr>
        <w:pStyle w:val="Heading2"/>
      </w:pPr>
      <w:r>
        <w:t xml:space="preserve">13. Consumer compliance oversight</w:t>
      </w:r>
    </w:p>
    <w:p>
      <w:pPr>
        <w:keepNext/>
        <w:spacing w:after="16" w:before="104"/>
      </w:pPr>
      <w:r>
        <w:rPr>
          <w:rFonts w:ascii="Arial" w:cs="Arial" w:eastAsia="Arial" w:hAnsi="Arial"/>
          <w:b/>
          <w:bCs/>
          <w:color w:val="1F3864"/>
          <w:sz w:val="21"/>
          <w:szCs w:val="21"/>
        </w:rPr>
        <w:t xml:space="preserve">CON-01  —  Full board (may delegate day-to-day to management)  ·  IDI</w:t>
      </w:r>
      <w:r>
        <w:rPr>
          <w:sz w:val="2"/>
          <w:szCs w:val="2"/>
        </w:rPr>
        <w:t xml:space="preserve"/>
      </w:r>
    </w:p>
    <w:p>
      <w:pPr>
        <w:spacing w:after="24"/>
      </w:pPr>
      <w:r>
        <w:rPr>
          <w:rFonts w:ascii="Arial" w:cs="Arial" w:eastAsia="Arial" w:hAnsi="Arial"/>
          <w:sz w:val="21"/>
          <w:szCs w:val="21"/>
        </w:rPr>
        <w:t xml:space="preserve">Board should oversee the bank's consumer-compliance management system (CMS), create a culture that prioritizes compliance, and hold management accountable for implementing a CMS consistent with the bank's strategic direction, risk culture, and risk appetite.</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OCC Comptroller's Handbook, Compliance Management Systems booklet, v1.0 (June 2018), Oversight and Commitment / Board of Directors, pp. 6-7.</w:t>
      </w:r>
      <w:r>
        <w:rPr>
          <w:rFonts w:ascii="Arial" w:cs="Arial" w:eastAsia="Arial" w:hAnsi="Arial"/>
          <w:i/>
          <w:iCs/>
          <w:color w:val="BF8F00"/>
          <w:sz w:val="15"/>
          <w:szCs w:val="15"/>
        </w:rPr>
        <w:t xml:space="preserve">  [URL not captured]</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Consumer compliance (CMS)  ·  Redundancy: Candidate redundancy  ·  Confidence: Medium</w:t>
      </w:r>
    </w:p>
    <w:p>
      <w:pPr>
        <w:spacing w:after="104"/>
      </w:pPr>
      <w:r>
        <w:rPr>
          <w:rFonts w:ascii="Arial" w:cs="Arial" w:eastAsia="Arial" w:hAnsi="Arial"/>
          <w:i/>
          <w:iCs/>
          <w:color w:val="595959"/>
          <w:sz w:val="17"/>
          <w:szCs w:val="17"/>
        </w:rPr>
        <w:t xml:space="preserve">Note: Applies to national banks/FSAs (GSIB lead IDIs). OCC continues to examine GSIB national banks for consumer compliance.</w:t>
      </w:r>
    </w:p>
    <w:p>
      <w:pPr>
        <w:keepNext/>
        <w:spacing w:after="16" w:before="104"/>
      </w:pPr>
      <w:r>
        <w:rPr>
          <w:rFonts w:ascii="Arial" w:cs="Arial" w:eastAsia="Arial" w:hAnsi="Arial"/>
          <w:b/>
          <w:bCs/>
          <w:color w:val="1F3864"/>
          <w:sz w:val="21"/>
          <w:szCs w:val="21"/>
        </w:rPr>
        <w:t xml:space="preserve">CON-02  —  Full board or board committee  ·  IDI</w:t>
      </w:r>
      <w:r>
        <w:rPr>
          <w:sz w:val="2"/>
          <w:szCs w:val="2"/>
        </w:rPr>
        <w:t xml:space="preserve"/>
      </w:r>
    </w:p>
    <w:p>
      <w:pPr>
        <w:spacing w:after="24"/>
      </w:pPr>
      <w:r>
        <w:rPr>
          <w:rFonts w:ascii="Arial" w:cs="Arial" w:eastAsia="Arial" w:hAnsi="Arial"/>
          <w:sz w:val="21"/>
          <w:szCs w:val="21"/>
        </w:rPr>
        <w:t xml:space="preserve">Board should receive sufficient consumer-compliance information (MIS reports, risk assessments, monitoring and independent audit reports) to assess CMS effectiveness and, when appropriate, provide credible challenge to management; board or board-committee minutes should reflect receipt and deliberation of consumer-compliance risk-management information.</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OCC Comptroller's Handbook, Compliance Management Systems booklet, v1.0 (June 2018), Board of Directors, p. 7.</w:t>
      </w:r>
      <w:r>
        <w:rPr>
          <w:rFonts w:ascii="Arial" w:cs="Arial" w:eastAsia="Arial" w:hAnsi="Arial"/>
          <w:i/>
          <w:iCs/>
          <w:color w:val="BF8F00"/>
          <w:sz w:val="15"/>
          <w:szCs w:val="15"/>
        </w:rPr>
        <w:t xml:space="preserve">  [URL not captured]</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Consumer compliance (CMS)  ·  Redundancy: Candidate redundancy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CON-03  —  Full board  ·  IDI</w:t>
      </w:r>
      <w:r>
        <w:rPr>
          <w:sz w:val="2"/>
          <w:szCs w:val="2"/>
        </w:rPr>
        <w:t xml:space="preserve"/>
      </w:r>
    </w:p>
    <w:p>
      <w:pPr>
        <w:spacing w:after="24"/>
      </w:pPr>
      <w:r>
        <w:rPr>
          <w:rFonts w:ascii="Arial" w:cs="Arial" w:eastAsia="Arial" w:hAnsi="Arial"/>
          <w:sz w:val="21"/>
          <w:szCs w:val="21"/>
        </w:rPr>
        <w:t xml:space="preserve">Board should understand its consumer-compliance roles and responsibilities and periodically assess directors' consumer-compliance skills and competencies relative to the bank's size, complexity, and risk profile.</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OCC Comptroller's Handbook, Compliance Management Systems booklet, v1.0 (June 2018), Board of Directors, p. 7.</w:t>
      </w:r>
      <w:r>
        <w:rPr>
          <w:rFonts w:ascii="Arial" w:cs="Arial" w:eastAsia="Arial" w:hAnsi="Arial"/>
          <w:i/>
          <w:iCs/>
          <w:color w:val="BF8F00"/>
          <w:sz w:val="15"/>
          <w:szCs w:val="15"/>
        </w:rPr>
        <w:t xml:space="preserve">  [URL not captured]</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Consumer compliance (CMS)  ·  Redundancy: Candidate redundancy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CON-04  —  Full board; management  ·  IDI</w:t>
      </w:r>
      <w:r>
        <w:rPr>
          <w:sz w:val="2"/>
          <w:szCs w:val="2"/>
        </w:rPr>
        <w:t xml:space="preserve"/>
      </w:r>
    </w:p>
    <w:p>
      <w:pPr>
        <w:spacing w:after="24"/>
      </w:pPr>
      <w:r>
        <w:rPr>
          <w:rFonts w:ascii="Arial" w:cs="Arial" w:eastAsia="Arial" w:hAnsi="Arial"/>
          <w:sz w:val="21"/>
          <w:szCs w:val="21"/>
        </w:rPr>
        <w:t xml:space="preserve">Responsibility for ensuring the institution and its third-party providers comply rests with the board and management; every FDIC-supervised institution must have an effective CMS, with two pillars: board and management oversight, and the consumer-compliance program.</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FDIC Consumer Compliance Examination Manual, sec. II-3.1 (Compliance Management System), Sec. II-3.1.</w:t>
      </w:r>
      <w:r>
        <w:rPr>
          <w:rFonts w:ascii="Arial" w:cs="Arial" w:eastAsia="Arial" w:hAnsi="Arial"/>
          <w:i/>
          <w:iCs/>
          <w:color w:val="BF8F00"/>
          <w:sz w:val="15"/>
          <w:szCs w:val="15"/>
        </w:rPr>
        <w:t xml:space="preserve">  [URL not captured]</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Consumer compliance (CMS)  ·  Redundancy: Candidate redundancy  ·  Confidence: Medium</w:t>
      </w:r>
    </w:p>
    <w:p>
      <w:pPr>
        <w:spacing w:after="104"/>
      </w:pPr>
      <w:r>
        <w:rPr>
          <w:rFonts w:ascii="Arial" w:cs="Arial" w:eastAsia="Arial" w:hAnsi="Arial"/>
          <w:i/>
          <w:iCs/>
          <w:color w:val="595959"/>
          <w:sz w:val="17"/>
          <w:szCs w:val="17"/>
        </w:rPr>
        <w:t xml:space="preserve">Note: Applies to FDIC-supervised IDIs; relevant to any state-nonmember IDI subsidiary of a GSIB. Quote-verify against the live PDF before citation.</w:t>
      </w:r>
    </w:p>
    <w:p>
      <w:pPr>
        <w:keepNext/>
        <w:spacing w:after="16" w:before="104"/>
      </w:pPr>
      <w:r>
        <w:rPr>
          <w:rFonts w:ascii="Arial" w:cs="Arial" w:eastAsia="Arial" w:hAnsi="Arial"/>
          <w:b/>
          <w:bCs/>
          <w:color w:val="1F3864"/>
          <w:sz w:val="21"/>
          <w:szCs w:val="21"/>
        </w:rPr>
        <w:t xml:space="preserve">CON-05  —  Full board (audit scope/frequency); directors as training recipients  ·  IDI</w:t>
      </w:r>
      <w:r>
        <w:rPr>
          <w:sz w:val="2"/>
          <w:szCs w:val="2"/>
        </w:rPr>
        <w:t xml:space="preserve"/>
      </w:r>
    </w:p>
    <w:p>
      <w:pPr>
        <w:spacing w:after="24"/>
      </w:pPr>
      <w:r>
        <w:rPr>
          <w:rFonts w:ascii="Arial" w:cs="Arial" w:eastAsia="Arial" w:hAnsi="Arial"/>
          <w:sz w:val="21"/>
          <w:szCs w:val="21"/>
        </w:rPr>
        <w:t xml:space="preserve">Board should determine the scope and frequency of compliance audits; the compliance officer establishes a regular training schedule for directors, management, and staff.</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FDIC Consumer Compliance Examination Manual, sec. II-3.1, Sec. II-3.1 (audit and training subsections).</w:t>
      </w:r>
      <w:r>
        <w:rPr>
          <w:rFonts w:ascii="Arial" w:cs="Arial" w:eastAsia="Arial" w:hAnsi="Arial"/>
          <w:i/>
          <w:iCs/>
          <w:color w:val="BF8F00"/>
          <w:sz w:val="15"/>
          <w:szCs w:val="15"/>
        </w:rPr>
        <w:t xml:space="preserve">  [URL not captured]</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Consumer compliance (CMS)  ·  Redundancy: Candidate redundancy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CON-06  —  Full board (day-to-day oversight often via Risk Committee or a dedicated compliance committee at GSIBs)  ·  BHC</w:t>
      </w:r>
      <w:r>
        <w:rPr>
          <w:sz w:val="2"/>
          <w:szCs w:val="2"/>
        </w:rPr>
        <w:t xml:space="preserve"/>
      </w:r>
    </w:p>
    <w:p>
      <w:pPr>
        <w:spacing w:after="24"/>
      </w:pPr>
      <w:r>
        <w:rPr>
          <w:rFonts w:ascii="Arial" w:cs="Arial" w:eastAsia="Arial" w:hAnsi="Arial"/>
          <w:sz w:val="21"/>
          <w:szCs w:val="21"/>
        </w:rPr>
        <w:t xml:space="preserve">Board should oversee development of, review, approve, and periodically monitor the firm's compliance strategy and its alignment with overall strategy; direct senior management on the board's information needs; hold senior management accountable for effective implementation and timely resolution of compliance issues; and hold management accountable for performance-management/compensation programs that promote compliance, including for conduct.</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SR 08-8 / CA 08-11, Compliance Risk Management Programs and Oversight at Large Banking Organizations with Complex Compliance Profiles (Oct. 16, 2008; revised Oct. 1, 2025), Sec. IV (Responsibilities of the Board of Directors and Senior Management), p. 8; sec. I.</w:t>
      </w:r>
      <w:r>
        <w:rPr>
          <w:rFonts w:ascii="Arial" w:cs="Arial" w:eastAsia="Arial" w:hAnsi="Arial"/>
          <w:i/>
          <w:iCs/>
          <w:color w:val="3B6FB0"/>
          <w:sz w:val="15"/>
          <w:szCs w:val="15"/>
        </w:rPr>
        <w:t xml:space="preserve"> [https://www.federalreserve.gov/supervisionreg/srletters/SR0808.htm]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Consumer compliance (CMS)  ·  Redundancy: Candidate redundancy  ·  Confidence: Medium</w:t>
      </w:r>
    </w:p>
    <w:p>
      <w:pPr>
        <w:spacing w:after="104"/>
      </w:pPr>
      <w:r>
        <w:rPr>
          <w:rFonts w:ascii="Arial" w:cs="Arial" w:eastAsia="Arial" w:hAnsi="Arial"/>
          <w:i/>
          <w:iCs/>
          <w:color w:val="595959"/>
          <w:sz w:val="17"/>
          <w:szCs w:val="17"/>
        </w:rPr>
        <w:t xml:space="preserve">Note: Directly governs Category I GSIB holding companies ($50B+). Oct. 1, 2025 revision removed reputational-risk references; Feb. 26, 2021 revision conformed it to SR 21-3.</w:t>
      </w:r>
    </w:p>
    <w:p>
      <w:pPr>
        <w:keepNext/>
        <w:spacing w:after="16" w:before="104"/>
      </w:pPr>
      <w:r>
        <w:rPr>
          <w:rFonts w:ascii="Arial" w:cs="Arial" w:eastAsia="Arial" w:hAnsi="Arial"/>
          <w:b/>
          <w:bCs/>
          <w:color w:val="1F3864"/>
          <w:sz w:val="21"/>
          <w:szCs w:val="21"/>
        </w:rPr>
        <w:t xml:space="preserve">CON-07  —  Full board (reporting to board or a committee)  ·  BHC</w:t>
      </w:r>
      <w:r>
        <w:rPr>
          <w:sz w:val="2"/>
          <w:szCs w:val="2"/>
        </w:rPr>
        <w:t xml:space="preserve"/>
      </w:r>
    </w:p>
    <w:p>
      <w:pPr>
        <w:spacing w:after="24"/>
      </w:pPr>
      <w:r>
        <w:rPr>
          <w:rFonts w:ascii="Arial" w:cs="Arial" w:eastAsia="Arial" w:hAnsi="Arial"/>
          <w:sz w:val="21"/>
          <w:szCs w:val="21"/>
        </w:rPr>
        <w:t xml:space="preserve">Board should promote the stature and independence of the corporate compliance function and provide an appropriate level of resources; the corporate compliance function should report to the board, or a committee thereof, on significant compliance matters; compliance staff should not be compensated on business-line financial performance.</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SR 08-8 / CA 08-11 (rev. Oct. 1, 2025), Sec. IV (Boards of Directors), p. 9; sec. II.</w:t>
      </w:r>
      <w:r>
        <w:rPr>
          <w:rFonts w:ascii="Arial" w:cs="Arial" w:eastAsia="Arial" w:hAnsi="Arial"/>
          <w:i/>
          <w:iCs/>
          <w:color w:val="3B6FB0"/>
          <w:sz w:val="15"/>
          <w:szCs w:val="15"/>
        </w:rPr>
        <w:t xml:space="preserve"> [https://www.federalreserve.gov/supervisionreg/srletters/SR0808.htm]</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Consumer compliance (CMS)  ·  Redundancy: Candidate redundancy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CON-08  —  Full board  ·  IDI (consumer)</w:t>
      </w:r>
      <w:r>
        <w:rPr>
          <w:sz w:val="2"/>
          <w:szCs w:val="2"/>
        </w:rPr>
        <w:t xml:space="preserve"/>
      </w:r>
    </w:p>
    <w:p>
      <w:pPr>
        <w:spacing w:after="24"/>
      </w:pPr>
      <w:r>
        <w:rPr>
          <w:rFonts w:ascii="Arial" w:cs="Arial" w:eastAsia="Arial" w:hAnsi="Arial"/>
          <w:sz w:val="21"/>
          <w:szCs w:val="21"/>
        </w:rPr>
        <w:t xml:space="preserve">Board approval and oversight of the compliance management system, board reporting, and board accountability for the CMS. NOMINALLY IN FORCE but lightly enforced: the manual remains posted and not formally rescinded, but examination intensity, scope, and practical enforcement have been materially diminished in 2025-2026.</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CFPB Supervision and Examination Manual, Compliance Management Review (CMR), CMR module (board and senior management).</w:t>
      </w:r>
      <w:r>
        <w:rPr>
          <w:rFonts w:ascii="Arial" w:cs="Arial" w:eastAsia="Arial" w:hAnsi="Arial"/>
          <w:i/>
          <w:iCs/>
          <w:color w:val="3B6FB0"/>
          <w:sz w:val="15"/>
          <w:szCs w:val="15"/>
        </w:rPr>
        <w:t xml:space="preserve"> [https://www.consumerfinance.gov/compliance/supervision-examinations/]</w:t>
      </w:r>
    </w:p>
    <w:p>
      <w:pPr>
        <w:spacing w:after="6"/>
      </w:pPr>
      <w:r>
        <w:rPr>
          <w:rFonts w:ascii="Arial" w:cs="Arial" w:eastAsia="Arial" w:hAnsi="Arial"/>
          <w:i/>
          <w:iCs/>
          <w:color w:val="7030A0"/>
          <w:sz w:val="17"/>
          <w:szCs w:val="17"/>
        </w:rPr>
        <w:t xml:space="preserve">Legal force: Supervisory guidance  ·  Consequence: Minimal in 2026 (CFPB supervision curtailed)  ·  Cadence: Periodic / ongoing  ·  Cluster: Consumer compliance (CMS)  ·  Redundancy: Candidate redundancy  ·  Confidence: High (web-verified)</w:t>
      </w:r>
    </w:p>
    <w:p>
      <w:pPr>
        <w:spacing w:after="104"/>
      </w:pPr>
      <w:r>
        <w:rPr>
          <w:rFonts w:ascii="Arial" w:cs="Arial" w:eastAsia="Arial" w:hAnsi="Arial"/>
          <w:i/>
          <w:iCs/>
          <w:color w:val="595959"/>
          <w:sz w:val="17"/>
          <w:szCs w:val="17"/>
        </w:rPr>
        <w:t xml:space="preserve">Note: As of June 2026 the CFPB operates under a 'Humility in Supervision Pledge' (announced Nov. 21, 2025) with far fewer, narrower exams focused on servicemembers/veterans and clear statutory authority, MRAs limited to pattern-and-practice violations with identifiable consumer harm, and deference to other regulators. Operative board-level consumer-compliance pressure on GSIB IDIs now comes mainly from the prudential regulators (OCC/FDIC/FRB).</w:t>
      </w:r>
    </w:p>
    <w:p>
      <w:pPr>
        <w:keepNext/>
        <w:spacing w:after="16" w:before="104"/>
      </w:pPr>
      <w:r>
        <w:rPr>
          <w:rFonts w:ascii="Arial" w:cs="Arial" w:eastAsia="Arial" w:hAnsi="Arial"/>
          <w:b/>
          <w:bCs/>
          <w:color w:val="1F3864"/>
          <w:sz w:val="21"/>
          <w:szCs w:val="21"/>
        </w:rPr>
        <w:t xml:space="preserve">CON-09  —  Full board or compliance/risk committee  ·  Both</w:t>
      </w:r>
      <w:r>
        <w:rPr>
          <w:sz w:val="2"/>
          <w:szCs w:val="2"/>
        </w:rPr>
        <w:t xml:space="preserve"/>
      </w:r>
    </w:p>
    <w:p>
      <w:pPr>
        <w:spacing w:after="24"/>
      </w:pPr>
      <w:r>
        <w:rPr>
          <w:rFonts w:ascii="Arial" w:cs="Arial" w:eastAsia="Arial" w:hAnsi="Arial"/>
          <w:sz w:val="21"/>
          <w:szCs w:val="21"/>
        </w:rPr>
        <w:t xml:space="preserve">Board is expected to ensure the CMS covers fair-lending risk (ECOA/Reg B, FHA, HMDA/Reg C), receive fair-lending risk assessments, monitoring, and audit results, and provide credible challenge; examiners assess board/management oversight of fair-lending risk as part of the CMS.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FFIEC Interagency Fair Lending Examination Procedures; consumer-compliance manuals (OCC CMS booklet; FDIC CEM; SR 08-8), Fair-lending exam procedures; CMS expectations.</w:t>
      </w:r>
      <w:r>
        <w:rPr>
          <w:rFonts w:ascii="Arial" w:cs="Arial" w:eastAsia="Arial" w:hAnsi="Arial"/>
          <w:i/>
          <w:iCs/>
          <w:color w:val="3B6FB0"/>
          <w:sz w:val="15"/>
          <w:szCs w:val="15"/>
        </w:rPr>
        <w:t xml:space="preserve"> [https://www.federalreserve.gov/supervisionreg/srletters/SR0808.htm]</w:t>
      </w:r>
    </w:p>
    <w:p>
      <w:pPr>
        <w:spacing w:after="6"/>
      </w:pPr>
      <w:r>
        <w:rPr>
          <w:rFonts w:ascii="Arial" w:cs="Arial" w:eastAsia="Arial" w:hAnsi="Arial"/>
          <w:i/>
          <w:iCs/>
          <w:color w:val="7030A0"/>
          <w:sz w:val="17"/>
          <w:szCs w:val="17"/>
        </w:rPr>
        <w:t xml:space="preserve">Legal force: Examination manual  ·  Consequence: Exam findings / MRAs; informs ratings (no direct legal force)  ·  Cadence: Periodic / ongoing  ·  Cluster: Consumer compliance (CMS)  ·  Redundancy: Candidate redundancy  ·  Confidence: Medium</w:t>
      </w:r>
    </w:p>
    <w:p>
      <w:pPr>
        <w:spacing w:after="104"/>
      </w:pPr>
      <w:r>
        <w:rPr>
          <w:rFonts w:ascii="Arial" w:cs="Arial" w:eastAsia="Arial" w:hAnsi="Arial"/>
          <w:i/>
          <w:iCs/>
          <w:color w:val="595959"/>
          <w:sz w:val="17"/>
          <w:szCs w:val="17"/>
        </w:rPr>
        <w:t xml:space="preserve">Note: Fair-lending oversight is embedded in CMS expectations rather than a standalone board mandate.</w:t>
      </w:r>
    </w:p>
    <w:p>
      <w:pPr>
        <w:keepNext/>
        <w:spacing w:after="16" w:before="104"/>
      </w:pPr>
      <w:r>
        <w:rPr>
          <w:rFonts w:ascii="Arial" w:cs="Arial" w:eastAsia="Arial" w:hAnsi="Arial"/>
          <w:b/>
          <w:bCs/>
          <w:color w:val="1F3864"/>
          <w:sz w:val="21"/>
          <w:szCs w:val="21"/>
        </w:rPr>
        <w:t xml:space="preserve">CON-10  —  Full board (or equivalent oversight body)  ·  IDI (consumer)</w:t>
      </w:r>
      <w:r>
        <w:rPr>
          <w:sz w:val="2"/>
          <w:szCs w:val="2"/>
        </w:rPr>
        <w:t xml:space="preserve"/>
      </w:r>
    </w:p>
    <w:p>
      <w:pPr>
        <w:spacing w:after="24"/>
      </w:pPr>
      <w:r>
        <w:rPr>
          <w:rFonts w:ascii="Arial" w:cs="Arial" w:eastAsia="Arial" w:hAnsi="Arial"/>
          <w:sz w:val="21"/>
          <w:szCs w:val="21"/>
        </w:rPr>
        <w:t xml:space="preserve">In a depository institution the board is ultimately responsible for developing and administering a compliance management system that ensures compliance with Federal consumer financial laws and minimizes consumer-harm risk; oversight is assessed for commitment, change management, risk comprehension, self-identification, corrective action, resources, staff accountability, and service-provider oversight.</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CFPB Supervision and Examination Manual, Compliance Management Review, Module 1, CMR Module 1 (local ll. ~2878-2949).</w:t>
      </w:r>
      <w:r>
        <w:rPr>
          <w:rFonts w:ascii="Arial" w:cs="Arial" w:eastAsia="Arial" w:hAnsi="Arial"/>
          <w:i/>
          <w:iCs/>
          <w:color w:val="3B6FB0"/>
          <w:sz w:val="15"/>
          <w:szCs w:val="15"/>
        </w:rPr>
        <w:t xml:space="preserve"> [https://www.consumerfinance.gov/compliance/supervision-examinations/]</w:t>
      </w:r>
    </w:p>
    <w:p>
      <w:pPr>
        <w:spacing w:after="6"/>
      </w:pPr>
      <w:r>
        <w:rPr>
          <w:rFonts w:ascii="Arial" w:cs="Arial" w:eastAsia="Arial" w:hAnsi="Arial"/>
          <w:i/>
          <w:iCs/>
          <w:color w:val="7030A0"/>
          <w:sz w:val="17"/>
          <w:szCs w:val="17"/>
        </w:rPr>
        <w:t xml:space="preserve">Legal force: Supervisory guidance  ·  Consequence: Minimal in 2026 (CFPB supervision curtailed)  ·  Cadence: Periodic / ongoing  ·  Cluster: Consumer compliance (CMS)  ·  Redundancy: Candidate redundancy  ·  Confidence: Medium</w:t>
      </w:r>
    </w:p>
    <w:p>
      <w:pPr>
        <w:spacing w:after="104"/>
      </w:pPr>
      <w:r>
        <w:rPr>
          <w:rFonts w:ascii="Arial" w:cs="Arial" w:eastAsia="Arial" w:hAnsi="Arial"/>
          <w:i/>
          <w:iCs/>
          <w:color w:val="595959"/>
          <w:sz w:val="17"/>
          <w:szCs w:val="17"/>
        </w:rPr>
        <w:t xml:space="preserve">Note: See CON-08 currency flag (CFPB Humility Pledge posture).</w:t>
      </w:r>
    </w:p>
    <w:p>
      <w:pPr>
        <w:keepNext/>
        <w:spacing w:after="16" w:before="104"/>
      </w:pPr>
      <w:r>
        <w:rPr>
          <w:rFonts w:ascii="Arial" w:cs="Arial" w:eastAsia="Arial" w:hAnsi="Arial"/>
          <w:b/>
          <w:bCs/>
          <w:color w:val="1F3864"/>
          <w:sz w:val="21"/>
          <w:szCs w:val="21"/>
        </w:rPr>
        <w:t xml:space="preserve">CON-11  —  Full board; audit committee; risk committee  ·  IDI (consumer)</w:t>
      </w:r>
      <w:r>
        <w:rPr>
          <w:sz w:val="2"/>
          <w:szCs w:val="2"/>
        </w:rPr>
        <w:t xml:space="preserve"/>
      </w:r>
    </w:p>
    <w:p>
      <w:pPr>
        <w:spacing w:after="24"/>
      </w:pPr>
      <w:r>
        <w:rPr>
          <w:rFonts w:ascii="Arial" w:cs="Arial" w:eastAsia="Arial" w:hAnsi="Arial"/>
          <w:sz w:val="21"/>
          <w:szCs w:val="21"/>
        </w:rPr>
        <w:t xml:space="preserve">Examiners review board minutes, delegated board-committee responsibilities for compliance, management-committee reporting to the board, a formal board/committee-adopted compliance program, the compliance budget, the chief compliance officer's independent access to directors, and board coverage of sales practices, performance goals/quotas, and incentive structures.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CFPB Supervision and Examination Manual, Compliance Management Review, CMR procedures (local ll. ~2991-3065).</w:t>
      </w:r>
      <w:r>
        <w:rPr>
          <w:rFonts w:ascii="Arial" w:cs="Arial" w:eastAsia="Arial" w:hAnsi="Arial"/>
          <w:i/>
          <w:iCs/>
          <w:color w:val="3B6FB0"/>
          <w:sz w:val="15"/>
          <w:szCs w:val="15"/>
        </w:rPr>
        <w:t xml:space="preserve"> [https://www.consumerfinance.gov/compliance/supervision-examinations/]</w:t>
      </w:r>
    </w:p>
    <w:p>
      <w:pPr>
        <w:spacing w:after="6"/>
      </w:pPr>
      <w:r>
        <w:rPr>
          <w:rFonts w:ascii="Arial" w:cs="Arial" w:eastAsia="Arial" w:hAnsi="Arial"/>
          <w:i/>
          <w:iCs/>
          <w:color w:val="7030A0"/>
          <w:sz w:val="17"/>
          <w:szCs w:val="17"/>
        </w:rPr>
        <w:t xml:space="preserve">Legal force: Supervisory guidance  ·  Consequence: Minimal in 2026 (CFPB supervision curtailed)  ·  Cadence: Periodic / ongoing  ·  Cluster: Consumer compliance (CMS)  ·  Redundancy: Candidate redundancy  ·  Confidence: Medium</w:t>
      </w:r>
    </w:p>
    <w:p>
      <w:pPr>
        <w:spacing w:after="104"/>
      </w:pPr>
      <w:r>
        <w:rPr>
          <w:rFonts w:ascii="Arial" w:cs="Arial" w:eastAsia="Arial" w:hAnsi="Arial"/>
          <w:i/>
          <w:iCs/>
          <w:color w:val="595959"/>
          <w:sz w:val="17"/>
          <w:szCs w:val="17"/>
        </w:rPr>
        <w:t xml:space="preserve">Note: Specifically names audit and risk committees; links consumer compliance to incentive compensation.</w:t>
      </w:r>
    </w:p>
    <w:p>
      <w:pPr>
        <w:keepNext/>
        <w:spacing w:after="16" w:before="104"/>
      </w:pPr>
      <w:r>
        <w:rPr>
          <w:rFonts w:ascii="Arial" w:cs="Arial" w:eastAsia="Arial" w:hAnsi="Arial"/>
          <w:b/>
          <w:bCs/>
          <w:color w:val="1F3864"/>
          <w:sz w:val="21"/>
          <w:szCs w:val="21"/>
        </w:rPr>
        <w:t xml:space="preserve">CON-12  —  Board or designated committee  ·  IDI (consumer)</w:t>
      </w:r>
      <w:r>
        <w:rPr>
          <w:sz w:val="2"/>
          <w:szCs w:val="2"/>
        </w:rPr>
        <w:t xml:space="preserve"/>
      </w:r>
    </w:p>
    <w:p>
      <w:pPr>
        <w:spacing w:after="24"/>
      </w:pPr>
      <w:r>
        <w:rPr>
          <w:rFonts w:ascii="Arial" w:cs="Arial" w:eastAsia="Arial" w:hAnsi="Arial"/>
          <w:sz w:val="21"/>
          <w:szCs w:val="21"/>
        </w:rPr>
        <w:t xml:space="preserve">A compliance audit, independent of compliance and business functions, should give the board (or a designated committee) a determination of whether board-adopted policies and procedures are implemented and followed; monitoring and audit findings should be escalated to management and the board as appropriate.</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CFPB Supervision and Examination Manual, Compliance Management Review, CMR Monitoring/Audit (local ll. ~3354-3401).</w:t>
      </w:r>
      <w:r>
        <w:rPr>
          <w:rFonts w:ascii="Arial" w:cs="Arial" w:eastAsia="Arial" w:hAnsi="Arial"/>
          <w:i/>
          <w:iCs/>
          <w:color w:val="3B6FB0"/>
          <w:sz w:val="15"/>
          <w:szCs w:val="15"/>
        </w:rPr>
        <w:t xml:space="preserve"> [https://www.consumerfinance.gov/compliance/supervision-examinations/]</w:t>
      </w:r>
    </w:p>
    <w:p>
      <w:pPr>
        <w:spacing w:after="6"/>
      </w:pPr>
      <w:r>
        <w:rPr>
          <w:rFonts w:ascii="Arial" w:cs="Arial" w:eastAsia="Arial" w:hAnsi="Arial"/>
          <w:i/>
          <w:iCs/>
          <w:color w:val="7030A0"/>
          <w:sz w:val="17"/>
          <w:szCs w:val="17"/>
        </w:rPr>
        <w:t xml:space="preserve">Legal force: Supervisory guidance  ·  Consequence: Minimal in 2026 (CFPB supervision curtailed)  ·  Cadence: Event-driven  ·  Cluster: Consumer compliance (CMS)  ·  Redundancy: Candidate redundancy  ·  Confidence: Medium</w:t>
      </w:r>
    </w:p>
    <w:p>
      <w:pPr>
        <w:spacing w:after="96"/>
      </w:pPr>
      <w:r>
        <w:rPr>
          <w:sz w:val="2"/>
          <w:szCs w:val="2"/>
        </w:rPr>
        <w:t xml:space="preserve"/>
      </w:r>
    </w:p>
    <w:p>
      <w:pPr>
        <w:keepNext/>
        <w:spacing w:after="16" w:before="104"/>
      </w:pPr>
      <w:r>
        <w:rPr>
          <w:rFonts w:ascii="Arial" w:cs="Arial" w:eastAsia="Arial" w:hAnsi="Arial"/>
          <w:b/>
          <w:bCs/>
          <w:color w:val="1F3864"/>
          <w:sz w:val="21"/>
          <w:szCs w:val="21"/>
        </w:rPr>
        <w:t xml:space="preserve">CON-13  —  Full board  ·  IDI</w:t>
      </w:r>
      <w:r>
        <w:rPr>
          <w:sz w:val="2"/>
          <w:szCs w:val="2"/>
        </w:rPr>
        <w:t xml:space="preserve"/>
      </w:r>
    </w:p>
    <w:p>
      <w:pPr>
        <w:spacing w:after="24"/>
      </w:pPr>
      <w:r>
        <w:rPr>
          <w:rFonts w:ascii="Arial" w:cs="Arial" w:eastAsia="Arial" w:hAnsi="Arial"/>
          <w:sz w:val="21"/>
          <w:szCs w:val="21"/>
        </w:rPr>
        <w:t xml:space="preserve">Board should oversee the consumer compliance management system; larger, more complex banks should receive periodic state-of-compliance reports; the board is responsible for a culture prioritizing compliance and confirming internal controls.</w:t>
      </w:r>
    </w:p>
    <w:p>
      <w:pPr>
        <w:spacing w:after="6"/>
      </w:pPr>
      <w:r>
        <w:rPr>
          <w:rFonts w:ascii="Arial" w:cs="Arial" w:eastAsia="Arial" w:hAnsi="Arial"/>
          <w:b/>
          <w:bCs/>
          <w:i/>
          <w:iCs/>
          <w:color w:val="595959"/>
          <w:sz w:val="18"/>
          <w:szCs w:val="18"/>
        </w:rPr>
        <w:t xml:space="preserve">Source: </w:t>
      </w:r>
      <w:r>
        <w:rPr>
          <w:rFonts w:ascii="Arial" w:cs="Arial" w:eastAsia="Arial" w:hAnsi="Arial"/>
          <w:i/>
          <w:iCs/>
          <w:color w:val="595959"/>
          <w:sz w:val="18"/>
          <w:szCs w:val="18"/>
        </w:rPr>
        <w:t xml:space="preserve">The Director's Book (2020), Consumer compliance (local ll. ~3442-3473, 3895-3901).</w:t>
      </w:r>
      <w:r>
        <w:rPr>
          <w:rFonts w:ascii="Arial" w:cs="Arial" w:eastAsia="Arial" w:hAnsi="Arial"/>
          <w:i/>
          <w:iCs/>
          <w:color w:val="3B6FB0"/>
          <w:sz w:val="15"/>
          <w:szCs w:val="15"/>
        </w:rPr>
        <w:t xml:space="preserve"> [https://www.occ.gov/publications-and-resources/publications/banker-education/files/pub-directors-book.pdf]</w:t>
      </w:r>
    </w:p>
    <w:p>
      <w:pPr>
        <w:spacing w:after="6"/>
      </w:pPr>
      <w:r>
        <w:rPr>
          <w:rFonts w:ascii="Arial" w:cs="Arial" w:eastAsia="Arial" w:hAnsi="Arial"/>
          <w:i/>
          <w:iCs/>
          <w:color w:val="7030A0"/>
          <w:sz w:val="17"/>
          <w:szCs w:val="17"/>
        </w:rPr>
        <w:t xml:space="preserve">Legal force: Supervisory guidance  ·  Consequence: Exam findings / MRAs; informs ratings (no direct legal force)  ·  Cadence: Periodic / ongoing  ·  Cluster: Consumer compliance (CMS)  ·  Redundancy: Candidate redundancy  ·  Confidence: Medium</w:t>
      </w:r>
    </w:p>
    <w:p>
      <w:pPr>
        <w:spacing w:after="104"/>
      </w:pPr>
      <w:r>
        <w:rPr>
          <w:rFonts w:ascii="Arial" w:cs="Arial" w:eastAsia="Arial" w:hAnsi="Arial"/>
          <w:i/>
          <w:iCs/>
          <w:color w:val="595959"/>
          <w:sz w:val="17"/>
          <w:szCs w:val="17"/>
        </w:rPr>
        <w:t xml:space="preserve">Note: OCC IDI complement to the OCC CMS booklet and SR 08-8.</w:t>
      </w:r>
    </w:p>
    <w:p>
      <w:r>
        <w:br w:type="page"/>
      </w:r>
    </w:p>
    <w:p>
      <w:pPr>
        <w:pStyle w:val="Heading2"/>
      </w:pPr>
      <w:r>
        <w:t>14. Credit risk oversight (supervisory)</w:t>
      </w:r>
    </w:p>
    <w:p>
      <w:r>
        <w:t>The supervisory-expectation layer for credit risk, paralleling the binding credit-risk duties added in Part I. Caffrey2-sourced; verify.</w:t>
      </w:r>
    </w:p>
    <w:p>
      <w:r>
        <w:rPr>
          <w:b/>
        </w:rPr>
        <w:t>CRX-01  —  Full board or risk/credit committee  ·  BHC &amp; IDI</w:t>
      </w:r>
    </w:p>
    <w:p>
      <w:r>
        <w:t>Board oversight of credit-risk appetite, concentration limits, and credit-administration quality; review of problem-asset and ACL trends through periodic MIS.</w:t>
      </w:r>
    </w:p>
    <w:p>
      <w:r>
        <w:t>Source: OCC Comptroller’s Handbook (Concentrations of Credit; Allowances); Federal Reserve Commercial Bank Examination Manual; credit-risk SR letters. [URL not captured]</w:t>
      </w:r>
    </w:p>
    <w:p>
      <w:r>
        <w:rPr>
          <w:i/>
        </w:rPr>
        <w:t>Legal force: Supervisory guidance  ·  Consequence: Exam findings / MRAs; informs ratings (no direct legal force)  ·  Cadence: Periodic  ·  Cluster: Credit risk governance  ·  Redundancy: Candidate redundancy  ·  Confidence: Medium (Caffrey2-sourced; verify against primary source)</w:t>
      </w:r>
    </w:p>
    <w:p>
      <w:r>
        <w:rPr>
          <w:i/>
        </w:rPr>
        <w:t>Overlap: Elaborates the binding real-estate-lending and ACL duties.  Reform: Cross-reference the handbook to the rule; avoid restating.</w:t>
      </w:r>
    </w:p>
    <w:p>
      <w:r>
        <w:rPr>
          <w:b/>
        </w:rPr>
        <w:t>CRX-02  —  Risk / credit committee  ·  BHC &amp; IDI</w:t>
      </w:r>
    </w:p>
    <w:p>
      <w:r>
        <w:t>Board or committee oversight of counterparty credit risk and, where applicable, leveraged-lending risk-appetite and exception reporting.</w:t>
      </w:r>
    </w:p>
    <w:p>
      <w:r>
        <w:t>Source: SR 11-10 / interagency counterparty guidance; 2013 Interagency Leveraged Lending Guidance (supervisory; enforcement-deprioritized). [URL not captured]</w:t>
      </w:r>
    </w:p>
    <w:p>
      <w:r>
        <w:rPr>
          <w:i/>
        </w:rPr>
        <w:t>Legal force: Supervisory guidance  ·  Consequence: Exam findings / MRAs; informs ratings  ·  Cadence: Periodic  ·  Cluster: Credit risk governance  ·  Redundancy: Candidate redundancy  ·  Confidence: Medium (Caffrey2-sourced; verify against primary source)</w:t>
      </w:r>
    </w:p>
    <w:p>
      <w:r>
        <w:rPr>
          <w:i/>
        </w:rPr>
        <w:t>Overlap: Overlaps enterprise risk-limit monitoring.  Reform: Fold into risk-committee limit oversight.</w:t>
      </w:r>
    </w:p>
    <w:p>
      <w:pPr>
        <w:pStyle w:val="Heading2"/>
      </w:pPr>
      <w:r>
        <w:t>15. Additional consumer &amp; compliance oversight</w:t>
      </w:r>
    </w:p>
    <w:p>
      <w:r>
        <w:t>Consumer- and conduct-compliance board-oversight items beyond the core CMS cluster. Caffrey2-sourced; verify.</w:t>
      </w:r>
    </w:p>
    <w:p>
      <w:r>
        <w:rPr>
          <w:b/>
        </w:rPr>
        <w:t>CCX-01  —  Full board  ·  BHC &amp; IDI</w:t>
      </w:r>
    </w:p>
    <w:p>
      <w:r>
        <w:t>Board oversight that strategic plans consider community credit needs and CRA performance.</w:t>
      </w:r>
    </w:p>
    <w:p>
      <w:r>
        <w:t>Source: Community Reinvestment Act, 12 U.S.C. 2901 et seq.; OCC Director’s Reference Guide. [URL not captured]</w:t>
      </w:r>
    </w:p>
    <w:p>
      <w:r>
        <w:rPr>
          <w:i/>
        </w:rPr>
        <w:t>Legal force: Statute / supervisory guidance  ·  Consequence: Exam findings; CRA rating  ·  Cadence: Periodic  ·  Cluster: Consumer compliance (CMS)  ·  Redundancy: Candidate redundancy  ·  Confidence: Medium (Caffrey2-sourced; verify against primary source)</w:t>
      </w:r>
    </w:p>
    <w:p>
      <w:r>
        <w:rPr>
          <w:i/>
        </w:rPr>
        <w:t>Overlap: Distinct consumer mandate.  Reform: Coordinate within the CMS oversight cycle.</w:t>
      </w:r>
    </w:p>
    <w:p>
      <w:r>
        <w:rPr>
          <w:b/>
        </w:rPr>
        <w:t>CCX-02  —  Full board or committee  ·  IDI</w:t>
      </w:r>
    </w:p>
    <w:p>
      <w:r>
        <w:t>Board oversight of compliance with the FDIC deposit-insurance representation/advertising rules (Part 328) and, for FX-active firms, oversight of the foreign-exchange-settlement compliance function.</w:t>
      </w:r>
    </w:p>
    <w:p>
      <w:r>
        <w:t>Source: 12 CFR part 328; SR 13-24. [URL not captured]</w:t>
      </w:r>
    </w:p>
    <w:p>
      <w:r>
        <w:rPr>
          <w:i/>
        </w:rPr>
        <w:t>Legal force: Regulation / supervisory guidance  ·  Consequence: Exam findings / MRAs  ·  Cadence: Periodic  ·  Cluster: Consumer compliance (CMS)  ·  Redundancy: Unique / limited overlap  ·  Confidence: Medium (Caffrey2-sourced; verify against primary source)</w:t>
      </w:r>
    </w:p>
    <w:p>
      <w:r>
        <w:rPr>
          <w:i/>
        </w:rPr>
        <w:t>Overlap: Discrete conduct items.  Reform: Coordinate within the CMS oversight cycle.</w:t>
      </w:r>
    </w:p>
    <w:p>
      <w:pPr>
        <w:pStyle w:val="Heading1"/>
      </w:pPr>
      <w:r>
        <w:t xml:space="preserve">Expectations — inconsistencies, conflicts, and the examination-manual gap</w:t>
      </w:r>
    </w:p>
    <w:p>
      <w:pPr>
        <w:spacing w:after="120" w:before="0"/>
      </w:pPr>
      <w:r>
        <w:rPr>
          <w:rFonts w:ascii="Arial" w:cs="Arial" w:eastAsia="Arial" w:hAnsi="Arial"/>
          <w:sz w:val="22"/>
          <w:szCs w:val="22"/>
        </w:rPr>
        <w:t xml:space="preserve">The 'ensure' (SR 12-17) versus 'oversee' (SR 21-3) tension, the disclaimed-but-not-withdrawn examination manuals, the independence-threshold divergence, and the typed conflict matrix.</w:t>
      </w:r>
    </w:p>
    <w:p>
      <w:pPr>
        <w:pStyle w:val="Heading2"/>
      </w:pPr>
      <w:r>
        <w:t xml:space="preserve">Examination-manual status (SR 21-4)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Item</w:t>
            </w:r>
          </w:p>
        </w:tc>
        <w:tc>
          <w:tcPr>
            <w:tcW w:type="dxa" w:w="6760"/>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Detail</w:t>
            </w:r>
          </w:p>
        </w:tc>
      </w:tr>
      <w:tr>
        <w:tc>
          <w:tcPr>
            <w:tcW w:type="dxa" w:w="26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SR 21-4 / CA 21-2 governing instruction</w:t>
            </w:r>
          </w:p>
        </w:tc>
        <w:tc>
          <w:tcPr>
            <w:tcW w:type="dxa" w:w="67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Firms should not rely on the examination manuals for board expectations, and examiners should not refer to them in governance assessments — but the manuals were not formally withdrawn, producing an 'asymmetric information' gap between published text and supervisory practice.</w:t>
            </w:r>
          </w:p>
        </w:tc>
      </w:tr>
      <w:tr>
        <w:tc>
          <w:tcPr>
            <w:tcW w:type="dxa" w:w="26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CBEM Supplement 53 (May 2021)</w:t>
            </w:r>
          </w:p>
        </w:tc>
        <w:tc>
          <w:tcPr>
            <w:tcW w:type="dxa" w:w="676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Reorganized the Commercial Bank Examination Manual to align with CAMELS; removed Complex Wholesale Borrowings sections (SR 01-8 inactivated).</w:t>
            </w:r>
          </w:p>
        </w:tc>
      </w:tr>
      <w:tr>
        <w:tc>
          <w:tcPr>
            <w:tcW w:type="dxa" w:w="26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CBEM Supplement 54 (May 2022)</w:t>
            </w:r>
          </w:p>
        </w:tc>
        <w:tc>
          <w:tcPr>
            <w:tcW w:type="dxa" w:w="67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Eliminated numerous examination-procedure sections and migrated them to non-public Examination Documentation (ED) modules — reducing transparency of examiner criteria.</w:t>
            </w:r>
          </w:p>
        </w:tc>
      </w:tr>
      <w:tr>
        <w:tc>
          <w:tcPr>
            <w:tcW w:type="dxa" w:w="26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CBEM Supplement 55 (Oct 2023)</w:t>
            </w:r>
          </w:p>
        </w:tc>
        <w:tc>
          <w:tcPr>
            <w:tcW w:type="dxa" w:w="676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Revised Sections 1200.1 (CAMELS/Risk-Management Rating), 4012.1 (Risk-Management Processes for firms &gt;$100B), and 5300.1 (IT) to better reflect board and senior-management roles.</w:t>
            </w:r>
          </w:p>
        </w:tc>
      </w:tr>
      <w:tr>
        <w:tc>
          <w:tcPr>
            <w:tcW w:type="dxa" w:w="26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CBEM Supplement 56 (Feb 2026)</w:t>
            </w:r>
          </w:p>
        </w:tc>
        <w:tc>
          <w:tcPr>
            <w:tcW w:type="dxa" w:w="67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Removed reputational risk from examination programs and further aligned content with SR 21-3 across capital, liquidity, credit-risk review, third-party, IT, and payment systems; confirmed reliance on ED modules and current interagency statements.</w:t>
            </w:r>
          </w:p>
        </w:tc>
      </w:tr>
      <w:tr>
        <w:tc>
          <w:tcPr>
            <w:tcW w:type="dxa" w:w="26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Stale sections not yet revised</w:t>
            </w:r>
          </w:p>
        </w:tc>
        <w:tc>
          <w:tcPr>
            <w:tcW w:type="dxa" w:w="676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CBEM 4000.1 (Apr 2020), 4000.2 (Nov 1995), and 4000.3 (Nov 2003) predate SR 21-3 and remain published but, per SR 21-4, should not be relied upon for board expectations; the BHC Supervision Manual lacks comparable published revision information.</w:t>
            </w:r>
          </w:p>
        </w:tc>
      </w:tr>
    </w:tbl>
    <w:p>
      <w:pPr>
        <w:pStyle w:val="Heading2"/>
      </w:pPr>
      <w:r>
        <w:t xml:space="preserve">Director-independence threshold divergence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c>
          <w:tcPr>
            <w:tcW w:type="dxa" w:w="3100"/>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Framework</w:t>
            </w:r>
          </w:p>
        </w:tc>
        <w:tc>
          <w:tcPr>
            <w:tcW w:type="dxa" w:w="6260"/>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Minimum independence requirement</w:t>
            </w:r>
          </w:p>
        </w:tc>
      </w:tr>
      <w:tr>
        <w:tc>
          <w:tcPr>
            <w:tcW w:type="dxa" w:w="31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Federal Reserve SR 21-3 / CA 21-1</w:t>
            </w:r>
          </w:p>
        </w:tc>
        <w:tc>
          <w:tcPr>
            <w:tcW w:type="dxa" w:w="62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No numerical minimum; qualitative empowerment standard (empowered lead independent director or independent chair where the chair is an executive).</w:t>
            </w:r>
          </w:p>
        </w:tc>
      </w:tr>
      <w:tr>
        <w:tc>
          <w:tcPr>
            <w:tcW w:type="dxa" w:w="31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OCC Heightened Standards (12 CFR 30 App. D, III.D)</w:t>
            </w:r>
          </w:p>
        </w:tc>
        <w:tc>
          <w:tcPr>
            <w:tcW w:type="dxa" w:w="626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At least two independent directors (3-year no-officer/employee test; no immediate-family executive tie; independent under a national exchange's listing standards).</w:t>
            </w:r>
          </w:p>
        </w:tc>
      </w:tr>
      <w:tr>
        <w:tc>
          <w:tcPr>
            <w:tcW w:type="dxa" w:w="31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Regulation YY (12 CFR 252.33)</w:t>
            </w:r>
          </w:p>
        </w:tc>
        <w:tc>
          <w:tcPr>
            <w:tcW w:type="dxa" w:w="62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Risk committee must include at least one independent director with risk-management experience.</w:t>
            </w:r>
          </w:p>
        </w:tc>
      </w:tr>
      <w:tr>
        <w:tc>
          <w:tcPr>
            <w:tcW w:type="dxa" w:w="31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12 CFR part 363 (IDI audit committee, &gt;=$1B)</w:t>
            </w:r>
          </w:p>
        </w:tc>
        <w:tc>
          <w:tcPr>
            <w:tcW w:type="dxa" w:w="626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Audit committee composed entirely of outside directors independent of management; for &gt;$3B, members with banking/financial expertise, access to outside counsel, and no large-customer members.</w:t>
            </w:r>
          </w:p>
        </w:tc>
      </w:tr>
      <w:tr>
        <w:tc>
          <w:tcPr>
            <w:tcW w:type="dxa" w:w="31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FDIC 2023 proposed corporate-governance guidelines (WITHDRAWN March 2025)</w:t>
            </w:r>
          </w:p>
        </w:tc>
        <w:tc>
          <w:tcPr>
            <w:tcW w:type="dxa" w:w="62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Would have required a board majority independent of the bank and parent — withdrawn; never in force.</w:t>
            </w:r>
          </w:p>
        </w:tc>
      </w:tr>
    </w:tbl>
    <w:p>
      <w:pPr>
        <w:pStyle w:val="Heading2"/>
      </w:pPr>
      <w:r>
        <w:t xml:space="preserve">Summary conflict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3260"/>
        <w:gridCol w:w="1600"/>
      </w:tblGrid>
      <w:tr>
        <w:tc>
          <w:tcPr>
            <w:tcW w:type="dxa" w:w="2000"/>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Type</w:t>
            </w:r>
          </w:p>
        </w:tc>
        <w:tc>
          <w:tcPr>
            <w:tcW w:type="dxa" w:w="2500"/>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Sources in conflict</w:t>
            </w:r>
          </w:p>
        </w:tc>
        <w:tc>
          <w:tcPr>
            <w:tcW w:type="dxa" w:w="3260"/>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Nature</w:t>
            </w:r>
          </w:p>
        </w:tc>
        <w:tc>
          <w:tcPr>
            <w:tcW w:type="dxa" w:w="1600"/>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Status</w:t>
            </w:r>
          </w:p>
        </w:tc>
      </w:tr>
      <w:tr>
        <w:tc>
          <w:tcPr>
            <w:tcW w:type="dxa" w:w="20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Inconsistent (intra-agency)</w:t>
            </w:r>
          </w:p>
        </w:tc>
        <w:tc>
          <w:tcPr>
            <w:tcW w:type="dxa" w:w="25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SR 12-17 ('ensure') vs. SR 21-3 ('oversee')</w:t>
            </w:r>
          </w:p>
        </w:tc>
        <w:tc>
          <w:tcPr>
            <w:tcW w:type="dxa" w:w="32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Different board obligation standard: outcome-oriented 'ensure/maintain' vs. oversight-focused 'oversee/hold accountable.' SR 21-4 retained SR 12-17 without revision.</w:t>
            </w:r>
          </w:p>
        </w:tc>
        <w:tc>
          <w:tcPr>
            <w:tcW w:type="dxa" w:w="16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Unresolved</w:t>
            </w:r>
          </w:p>
        </w:tc>
      </w:tr>
      <w:tr>
        <w:tc>
          <w:tcPr>
            <w:tcW w:type="dxa" w:w="20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Partially displaced (intra-agency)</w:t>
            </w:r>
          </w:p>
        </w:tc>
        <w:tc>
          <w:tcPr>
            <w:tcW w:type="dxa" w:w="25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Fed examination manuals (CBEM/BHCSM) vs. SR 21-4</w:t>
            </w:r>
          </w:p>
        </w:tc>
        <w:tc>
          <w:tcPr>
            <w:tcW w:type="dxa" w:w="326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SR 21-4 directs firms not to rely on the manuals for board expectations and examiners not to refer to them in governance assessments, but the manuals are not formally withdrawn; stale sections remain published.</w:t>
            </w:r>
          </w:p>
        </w:tc>
        <w:tc>
          <w:tcPr>
            <w:tcW w:type="dxa" w:w="16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Revision ongoing; incomplete</w:t>
            </w:r>
          </w:p>
        </w:tc>
      </w:tr>
      <w:tr>
        <w:tc>
          <w:tcPr>
            <w:tcW w:type="dxa" w:w="20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Unresolved (intra-agency)</w:t>
            </w:r>
          </w:p>
        </w:tc>
        <w:tc>
          <w:tcPr>
            <w:tcW w:type="dxa" w:w="25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SR 21-3 vs. absent senior-management companion guidance</w:t>
            </w:r>
          </w:p>
        </w:tc>
        <w:tc>
          <w:tcPr>
            <w:tcW w:type="dxa" w:w="32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The Fed proposed but has not finalized companion guidance on senior-management responsibilities, leaving the board/management boundary incompletely defined contrary to SR 21-3's design.</w:t>
            </w:r>
          </w:p>
        </w:tc>
        <w:tc>
          <w:tcPr>
            <w:tcW w:type="dxa" w:w="16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Pending finalization</w:t>
            </w:r>
          </w:p>
        </w:tc>
      </w:tr>
      <w:tr>
        <w:tc>
          <w:tcPr>
            <w:tcW w:type="dxa" w:w="20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Inconsistent (cross-agency)</w:t>
            </w:r>
          </w:p>
        </w:tc>
        <w:tc>
          <w:tcPr>
            <w:tcW w:type="dxa" w:w="25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OCC (&gt;=2 independent directors) vs. Federal Reserve (qualitative empowerment)</w:t>
            </w:r>
          </w:p>
        </w:tc>
        <w:tc>
          <w:tcPr>
            <w:tcW w:type="dxa" w:w="326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Director-independence threshold divergence between the OCC Heightened Standards and SR 21-3.</w:t>
            </w:r>
          </w:p>
        </w:tc>
        <w:tc>
          <w:tcPr>
            <w:tcW w:type="dxa" w:w="16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Unresolved</w:t>
            </w:r>
          </w:p>
        </w:tc>
      </w:tr>
      <w:tr>
        <w:tc>
          <w:tcPr>
            <w:tcW w:type="dxa" w:w="20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Misalignment (intra-agency)</w:t>
            </w:r>
          </w:p>
        </w:tc>
        <w:tc>
          <w:tcPr>
            <w:tcW w:type="dxa" w:w="25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Prior LFI 'well managed' methodology vs. other rating systems</w:t>
            </w:r>
          </w:p>
        </w:tc>
        <w:tc>
          <w:tcPr>
            <w:tcW w:type="dxa" w:w="32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Inconsistent 'well managed' determination methodology.</w:t>
            </w:r>
          </w:p>
        </w:tc>
        <w:tc>
          <w:tcPr>
            <w:tcW w:type="dxa" w:w="16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Partially addressed by the Jan. 2026 LFI revision</w:t>
            </w:r>
          </w:p>
        </w:tc>
      </w:tr>
      <w:tr>
        <w:tc>
          <w:tcPr>
            <w:tcW w:type="dxa" w:w="20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Duplicative (cross-level)</w:t>
            </w:r>
          </w:p>
        </w:tc>
        <w:tc>
          <w:tcPr>
            <w:tcW w:type="dxa" w:w="25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Holding-company LFI framework vs. IDI CAMELS</w:t>
            </w:r>
          </w:p>
        </w:tc>
        <w:tc>
          <w:tcPr>
            <w:tcW w:type="dxa" w:w="326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Dual-track governance assessments of the same group — a structural feature of the Bank Holding Company Act and the separate-charter supervision model.</w:t>
            </w:r>
          </w:p>
        </w:tc>
        <w:tc>
          <w:tcPr>
            <w:tcW w:type="dxa" w:w="16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Structural</w:t>
            </w:r>
          </w:p>
        </w:tc>
      </w:tr>
      <w:tr>
        <w:tc>
          <w:tcPr>
            <w:tcW w:type="dxa" w:w="20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Resolved overlap (note)</w:t>
            </w:r>
          </w:p>
        </w:tc>
        <w:tc>
          <w:tcPr>
            <w:tcW w:type="dxa" w:w="25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SR 13-19/CA 13-21 vs. 2023 Interagency TPRM Guidance</w:t>
            </w:r>
          </w:p>
        </w:tc>
        <w:tc>
          <w:tcPr>
            <w:tcW w:type="dxa" w:w="32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A prior analysis flagged concurrent TPRM board expectations; in fact SR 23-4 (2023) expressly rescinded SR 13-19/CA 13-21 (and OCC 2013-29, FDIC FIL-44-2008), so this overlap is resolved, not live.</w:t>
            </w:r>
          </w:p>
        </w:tc>
        <w:tc>
          <w:tcPr>
            <w:tcW w:type="dxa" w:w="16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Resolved by SR 23-4 rescission</w:t>
            </w:r>
          </w:p>
        </w:tc>
      </w:tr>
    </w:tbl>
    <w:p>
      <w:pPr>
        <w:pStyle w:val="Heading1"/>
      </w:pPr>
      <w:r>
        <w:t xml:space="preserve">Expectations — currency developments (2025–2026)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3360"/>
        <w:gridCol w:w="2200"/>
      </w:tblGrid>
      <w:tr>
        <w:tc>
          <w:tcPr>
            <w:tcW w:type="dxa" w:w="1200"/>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Date</w:t>
            </w:r>
          </w:p>
        </w:tc>
        <w:tc>
          <w:tcPr>
            <w:tcW w:type="dxa" w:w="2600"/>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Development</w:t>
            </w:r>
          </w:p>
        </w:tc>
        <w:tc>
          <w:tcPr>
            <w:tcW w:type="dxa" w:w="3360"/>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Detail</w:t>
            </w:r>
          </w:p>
        </w:tc>
        <w:tc>
          <w:tcPr>
            <w:tcW w:type="dxa" w:w="2200"/>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Effect</w:t>
            </w:r>
          </w:p>
        </w:tc>
      </w:tr>
      <w:tr>
        <w:tc>
          <w:tcPr>
            <w:tcW w:type="dxa" w:w="12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2025</w:t>
            </w:r>
          </w:p>
        </w:tc>
        <w:tc>
          <w:tcPr>
            <w:tcW w:type="dxa" w:w="26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Climate-risk principles withdrawn</w:t>
            </w:r>
          </w:p>
        </w:tc>
        <w:tc>
          <w:tcPr>
            <w:tcW w:type="dxa" w:w="33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The agencies withdrew the 2023 Interagency Principles for Climate-Related Financial Risk Management for Large Financial Institutions in 2025 (OCC news release nr-ia-2025-103).</w:t>
            </w:r>
          </w:p>
        </w:tc>
        <w:tc>
          <w:tcPr>
            <w:tcW w:type="dxa" w:w="22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Removes the board-level climate-risk governance expectations that the 2023 principles had placed on large-firm boards.</w:t>
            </w:r>
          </w:p>
        </w:tc>
      </w:tr>
      <w:tr>
        <w:tc>
          <w:tcPr>
            <w:tcW w:type="dxa" w:w="12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2025</w:t>
            </w:r>
          </w:p>
        </w:tc>
        <w:tc>
          <w:tcPr>
            <w:tcW w:type="dxa" w:w="26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Fed senior-management companion guidance not finalized</w:t>
            </w:r>
          </w:p>
        </w:tc>
        <w:tc>
          <w:tcPr>
            <w:tcW w:type="dxa" w:w="336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The Federal Reserve proposed but has not finalized companion guidance on senior-management responsibilities intended to complete the board/management division of labor underlying SR 21-3.</w:t>
            </w:r>
          </w:p>
        </w:tc>
        <w:tc>
          <w:tcPr>
            <w:tcW w:type="dxa" w:w="22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Leaves the board/management boundary incompletely defined; firms must infer the line from SR 21-3 alone.</w:t>
            </w:r>
          </w:p>
        </w:tc>
      </w:tr>
      <w:tr>
        <w:tc>
          <w:tcPr>
            <w:tcW w:type="dxa" w:w="12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2025-03</w:t>
            </w:r>
          </w:p>
        </w:tc>
        <w:tc>
          <w:tcPr>
            <w:tcW w:type="dxa" w:w="26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FDIC proposed corporate-governance guidelines withdrawn</w:t>
            </w:r>
          </w:p>
        </w:tc>
        <w:tc>
          <w:tcPr>
            <w:tcW w:type="dxa" w:w="33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The FDIC withdrew its October 2023 proposed corporate-governance and risk-management guidelines (Part 364 appendix), which would have imposed a stricter board standard (including a duty to 'confirm' compliance and a majority-independent board). Directors McKernan and Hill had dissented, citing SR 21-3/SR 16-11 as the appropriate oversight standard.</w:t>
            </w:r>
          </w:p>
        </w:tc>
        <w:tc>
          <w:tcPr>
            <w:tcW w:type="dxa" w:w="22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Removes a would-have-been stricter IDI-level board standard; SR 21-3 and SR 16-11 remain the reference points for the board's oversight (not outcome-guarantee) role.</w:t>
            </w:r>
          </w:p>
        </w:tc>
      </w:tr>
      <w:tr>
        <w:tc>
          <w:tcPr>
            <w:tcW w:type="dxa" w:w="12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2025-06</w:t>
            </w:r>
          </w:p>
        </w:tc>
        <w:tc>
          <w:tcPr>
            <w:tcW w:type="dxa" w:w="26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Reputational risk removed from FRB supervision</w:t>
            </w:r>
          </w:p>
        </w:tc>
        <w:tc>
          <w:tcPr>
            <w:tcW w:type="dxa" w:w="336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FRB announced (June 23, 2025) elimination of 'reputational risk' from examination programs; implemented via Oct. 1, 2025 revisions to SR 12-17, SR 14-8, and SR 08-8 (and other letters). Board governance duties otherwise intact.</w:t>
            </w:r>
          </w:p>
        </w:tc>
        <w:tc>
          <w:tcPr>
            <w:tcW w:type="dxa" w:w="22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Narrows scope of stresses/risks board oversight must address; symbolic of the deregulatory trajectory.</w:t>
            </w:r>
          </w:p>
        </w:tc>
      </w:tr>
      <w:tr>
        <w:tc>
          <w:tcPr>
            <w:tcW w:type="dxa" w:w="12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2025-06</w:t>
            </w:r>
          </w:p>
        </w:tc>
        <w:tc>
          <w:tcPr>
            <w:tcW w:type="dxa" w:w="26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Wells Fargo asset cap lifted</w:t>
            </w:r>
          </w:p>
        </w:tc>
        <w:tc>
          <w:tcPr>
            <w:tcW w:type="dxa" w:w="33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The 2018 board-effectiveness-linked Federal Reserve consent-order asset cap on Wells Fargo was lifted (June 2025).</w:t>
            </w:r>
          </w:p>
        </w:tc>
        <w:tc>
          <w:tcPr>
            <w:tcW w:type="dxa" w:w="22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Signals reduced supervisory posture on governance-remediation enforcement.</w:t>
            </w:r>
          </w:p>
        </w:tc>
      </w:tr>
      <w:tr>
        <w:tc>
          <w:tcPr>
            <w:tcW w:type="dxa" w:w="12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2025-08-31</w:t>
            </w:r>
          </w:p>
        </w:tc>
        <w:tc>
          <w:tcPr>
            <w:tcW w:type="dxa" w:w="26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FFIEC Cybersecurity Assessment Tool (CAT) sunset</w:t>
            </w:r>
          </w:p>
        </w:tc>
        <w:tc>
          <w:tcPr>
            <w:tcW w:type="dxa" w:w="336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CAT retired Aug. 31, 2025 (announced Aug. 29, 2024; SR 24-7; OCC Bulletin 2024-25). No 1:1 replacement; institutions pointed to NIST CSF 2.0, CRI Cyber Profile, CIS Controls, CISA CPGs.</w:t>
            </w:r>
          </w:p>
        </w:tc>
        <w:tc>
          <w:tcPr>
            <w:tcW w:type="dxa" w:w="22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Any board expectation premised on CAT completion/reporting is no longer current; IT Handbook and 12 CFR 30 App. B remain the baseline.</w:t>
            </w:r>
          </w:p>
        </w:tc>
      </w:tr>
      <w:tr>
        <w:tc>
          <w:tcPr>
            <w:tcW w:type="dxa" w:w="12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2025-10-30</w:t>
            </w:r>
          </w:p>
        </w:tc>
        <w:tc>
          <w:tcPr>
            <w:tcW w:type="dxa" w:w="26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FDIC/OCC 'unsafe or unsound practice' &amp; MRA NPRM</w:t>
            </w:r>
          </w:p>
        </w:tc>
        <w:tc>
          <w:tcPr>
            <w:tcW w:type="dxa" w:w="33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Joint NPRM (90 FR 48835 / OCC Bulletin 2025-29) would define 'unsafe or unsound practice' to require likely material financial harm — stating that acts relevant to management, governance, or controls will not be 'unsafe or unsound' absent likely financial impact — and constrain MRAs. Comments closed Dec. 29, 2025; finalization expected 2026.</w:t>
            </w:r>
          </w:p>
        </w:tc>
        <w:tc>
          <w:tcPr>
            <w:tcW w:type="dxa" w:w="22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If finalized, materially weakens the supervisory leverage behind governance-only board findings.</w:t>
            </w:r>
          </w:p>
        </w:tc>
      </w:tr>
      <w:tr>
        <w:tc>
          <w:tcPr>
            <w:tcW w:type="dxa" w:w="12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2025-11-05</w:t>
            </w:r>
          </w:p>
        </w:tc>
        <w:tc>
          <w:tcPr>
            <w:tcW w:type="dxa" w:w="26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LFI rating framework amended</w:t>
            </w:r>
          </w:p>
        </w:tc>
        <w:tc>
          <w:tcPr>
            <w:tcW w:type="dxa" w:w="336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FRB adopted (6-1) revisions to the SR 19-3 LFI rating framework: 'ascetic principle' repealed (a single Deficient-1, including in Governance &amp; Controls, no longer makes a firm 'not well managed'); enforcement presumption for Deficient-1 removed. Federal Register 90 FR 51329 (Nov. 17, 2025).</w:t>
            </w:r>
          </w:p>
        </w:tc>
        <w:tc>
          <w:tcPr>
            <w:tcW w:type="dxa" w:w="22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Substantially lowers the consequence weight of board/governance findings for GSIBs.</w:t>
            </w:r>
          </w:p>
        </w:tc>
      </w:tr>
      <w:tr>
        <w:tc>
          <w:tcPr>
            <w:tcW w:type="dxa" w:w="12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2025-11-18</w:t>
            </w:r>
          </w:p>
        </w:tc>
        <w:tc>
          <w:tcPr>
            <w:tcW w:type="dxa" w:w="26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FRB Supervisory Operating Principles</w:t>
            </w:r>
          </w:p>
        </w:tc>
        <w:tc>
          <w:tcPr>
            <w:tcW w:type="dxa" w:w="33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Examiners directed to focus on material financial risk, not processes/procedures/documentation that do not threaten safety and soundness; MRA/MRIA issuance standard tightened; nonbinding supervisory observations reinstated.</w:t>
            </w:r>
          </w:p>
        </w:tc>
        <w:tc>
          <w:tcPr>
            <w:tcW w:type="dxa" w:w="22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Functionally narrows enforcement of SR 21-3's process-oriented board expectations.</w:t>
            </w:r>
          </w:p>
        </w:tc>
      </w:tr>
      <w:tr>
        <w:tc>
          <w:tcPr>
            <w:tcW w:type="dxa" w:w="12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2025-11-21</w:t>
            </w:r>
          </w:p>
        </w:tc>
        <w:tc>
          <w:tcPr>
            <w:tcW w:type="dxa" w:w="26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CFPB 'Humility in Supervision Pledge'</w:t>
            </w:r>
          </w:p>
        </w:tc>
        <w:tc>
          <w:tcPr>
            <w:tcW w:type="dxa" w:w="336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CFPB Supervision Division announced a 'fundamentally different' 2026 exam cycle: ~50% fewer supervisory events, narrower scope, focus on servicemembers/veterans and clear statutory authority, MRAs limited to pattern-and-practice violations with identifiable consumer harm, deference to other regulators, all-virtual/shorter exams.</w:t>
            </w:r>
          </w:p>
        </w:tc>
        <w:tc>
          <w:tcPr>
            <w:tcW w:type="dxa" w:w="22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CFPB CMS/CMR board expectations remain on the books but are lightly enforced; prudential regulators now carry the operative consumer-compliance board pressure on GSIB IDIs.</w:t>
            </w:r>
          </w:p>
        </w:tc>
      </w:tr>
      <w:tr>
        <w:tc>
          <w:tcPr>
            <w:tcW w:type="dxa" w:w="12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2025-12-23</w:t>
            </w:r>
          </w:p>
        </w:tc>
        <w:tc>
          <w:tcPr>
            <w:tcW w:type="dxa" w:w="26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OCC Heightened Standards threshold NPRM</w:t>
            </w:r>
          </w:p>
        </w:tc>
        <w:tc>
          <w:tcPr>
            <w:tcW w:type="dxa" w:w="33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OCC Bulletin 2025-51 proposes raising the 'covered bank' threshold for 12 CFR 30 App. D from $50B to $700B and invites comment on reducing prescriptiveness.</w:t>
            </w:r>
          </w:p>
        </w:tc>
        <w:tc>
          <w:tcPr>
            <w:tcW w:type="dxa" w:w="22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All eight GSIB lead IDIs would remain covered; mid-size banks ($50B-$700B) would fall out. Possible substantive softening of Section III board standards.</w:t>
            </w:r>
          </w:p>
        </w:tc>
      </w:tr>
      <w:tr>
        <w:tc>
          <w:tcPr>
            <w:tcW w:type="dxa" w:w="12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2026-02-04</w:t>
            </w:r>
          </w:p>
        </w:tc>
        <w:tc>
          <w:tcPr>
            <w:tcW w:type="dxa" w:w="26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Stress Capital Buffer frozen</w:t>
            </w:r>
          </w:p>
        </w:tc>
        <w:tc>
          <w:tcPr>
            <w:tcW w:type="dxa" w:w="336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FRB voted to maintain current SCB requirements until 2027, when new requirements will be calculated on models revised after public feedback. Oct. 2025 stress-test transparency NPRs and Apr. 2025 SCB-volatility proposal affect process/calculation, not board duties.</w:t>
            </w:r>
          </w:p>
        </w:tc>
        <w:tc>
          <w:tcPr>
            <w:tcW w:type="dxa" w:w="22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Holds constant the requirement the board's post-stress capital goals must clear; board approval/oversight duties unchanged.</w:t>
            </w:r>
          </w:p>
        </w:tc>
      </w:tr>
      <w:tr>
        <w:tc>
          <w:tcPr>
            <w:tcW w:type="dxa" w:w="12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2026-04-01</w:t>
            </w:r>
          </w:p>
        </w:tc>
        <w:tc>
          <w:tcPr>
            <w:tcW w:type="dxa" w:w="26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OCC recovery-planning guidelines (App. E) rescinded</w:t>
            </w:r>
          </w:p>
        </w:tc>
        <w:tc>
          <w:tcPr>
            <w:tcW w:type="dxa" w:w="33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Final rule 91 FR 16156 (Apr. 1, 2026), effective May 1, 2026; OCC Bulletin 2026-10 also rescinded the Comptroller's Handbook 'Recovery Planning' booklet and OCC Bulletins 2025-35, 2024-31, 2024-16, 2018-47. OCC will no longer require or examine for recovery-planning documentation.</w:t>
            </w:r>
          </w:p>
        </w:tc>
        <w:tc>
          <w:tcPr>
            <w:tcW w:type="dxa" w:w="22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Eliminates the OCC IDI-level board duty to review/approve the recovery plan. BHC-level recovery planning continues under FRB SR 14-8.</w:t>
            </w:r>
          </w:p>
        </w:tc>
      </w:tr>
      <w:tr>
        <w:tc>
          <w:tcPr>
            <w:tcW w:type="dxa" w:w="12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2026-04-10</w:t>
            </w:r>
          </w:p>
        </w:tc>
        <w:tc>
          <w:tcPr>
            <w:tcW w:type="dxa" w:w="26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AML/CFT program-rule reproposal</w:t>
            </w:r>
          </w:p>
        </w:tc>
        <w:tc>
          <w:tcPr>
            <w:tcW w:type="dxa" w:w="336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FinCEN NPRM (91 FR 18704) plus companion banking-agency NPRMs (FR Doc. 2026-06948) reproposed the AML/CFT program rule; the 2024 NPRM is withdrawn/superseded. Comments due June 9, 2026. The reproposal restores flexibility on who approves the program (board, equivalent governing body, or senior management).</w:t>
            </w:r>
          </w:p>
        </w:tc>
        <w:tc>
          <w:tcPr>
            <w:tcW w:type="dxa" w:w="22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No change to current obligations (existing board-approval + minute-notation rules remain in force); watch for a final rule after June 9, 2026.</w:t>
            </w:r>
          </w:p>
        </w:tc>
      </w:tr>
      <w:tr>
        <w:tc>
          <w:tcPr>
            <w:tcW w:type="dxa" w:w="12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2026-04-17</w:t>
            </w:r>
          </w:p>
        </w:tc>
        <w:tc>
          <w:tcPr>
            <w:tcW w:type="dxa" w:w="26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Model risk management guidance replaced</w:t>
            </w:r>
          </w:p>
        </w:tc>
        <w:tc>
          <w:tcPr>
            <w:tcW w:type="dxa" w:w="33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SR 26-2 / OCC Bulletin 2026-13 superseded SR 11-7, SR 21-8, OCC 2011-12, OCC 2021-19, OCC 1997-24, and the OCC MRM Handbook booklet with a principles-based, &gt;$30B-scoped framework that does not set enforceable standards.</w:t>
            </w:r>
          </w:p>
        </w:tc>
        <w:tc>
          <w:tcPr>
            <w:tcW w:type="dxa" w:w="22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Eliminates SR 11-7's explicit board-level model-risk duties (board approval of MRM policy, board-set model-risk tolerance, mandatory board reporting).</w:t>
            </w:r>
          </w:p>
        </w:tc>
      </w:tr>
    </w:tbl>
    <w:p>
      <w:r>
        <w:br w:type="page"/>
      </w:r>
    </w:p>
    <w:p>
      <w:pPr>
        <w:pStyle w:val="Heading1"/>
        <w:spacing w:after="160"/>
      </w:pPr>
      <w:r>
        <w:rPr>
          <w:color w:val="1F3864"/>
        </w:rPr>
        <w:t xml:space="preserve">Part III — Cross-cutting analysis and reform</w:t>
      </w:r>
    </w:p>
    <w:p>
      <w:pPr>
        <w:pStyle w:val="Heading1"/>
      </w:pPr>
      <w:r>
        <w:t xml:space="preserve">Duplicate clusters — true redundancy vs. parallel-but-justified</w:t>
      </w:r>
    </w:p>
    <w:p>
      <w:pPr>
        <w:spacing w:after="120" w:before="0"/>
      </w:pPr>
      <w:r>
        <w:rPr>
          <w:rFonts w:ascii="Arial" w:cs="Arial" w:eastAsia="Arial" w:hAnsi="Arial"/>
          <w:sz w:val="22"/>
          <w:szCs w:val="22"/>
        </w:rPr>
        <w:t xml:space="preserve">The duties collapse into the functional clusters below. For each, the analysis separates what is genuinely duplicative from what is legally distinct, and names the minimum reform lever.</w:t>
      </w:r>
    </w:p>
    <w:p>
      <w:pPr>
        <w:keepNext/>
        <w:spacing w:after="10" w:before="110"/>
      </w:pPr>
      <w:r>
        <w:rPr>
          <w:rFonts w:ascii="Arial" w:cs="Arial" w:eastAsia="Arial" w:hAnsi="Arial"/>
          <w:b/>
          <w:bCs/>
          <w:color w:val="1F3864"/>
          <w:sz w:val="21"/>
          <w:szCs w:val="21"/>
        </w:rPr>
        <w:t xml:space="preserve">Risk-governance framework / strategy</w:t>
      </w:r>
      <w:r>
        <w:rPr>
          <w:rFonts w:ascii="Arial" w:cs="Arial" w:eastAsia="Arial" w:hAnsi="Arial"/>
          <w:b/>
          <w:bCs/>
          <w:color w:val="BF8F00"/>
          <w:sz w:val="18"/>
          <w:szCs w:val="18"/>
        </w:rPr>
        <w:t xml:space="preserve">  (21 duties · Candidate redundancy)</w:t>
      </w:r>
    </w:p>
    <w:p>
      <w:pPr>
        <w:spacing w:after="4" w:before="0"/>
      </w:pPr>
      <w:r>
        <w:rPr>
          <w:rFonts w:ascii="Arial" w:cs="Arial" w:eastAsia="Arial" w:hAnsi="Arial"/>
          <w:sz w:val="19"/>
          <w:szCs w:val="19"/>
        </w:rPr>
        <w:t xml:space="preserve">Sources: OCC App. D II.A/D; SR 12-17; SR 21-3; SR 95-51</w:t>
      </w:r>
    </w:p>
    <w:p>
      <w:pPr>
        <w:spacing w:after="4" w:before="0"/>
      </w:pPr>
      <w:r>
        <w:rPr>
          <w:rFonts w:ascii="Arial" w:cs="Arial" w:eastAsia="Arial" w:hAnsi="Arial"/>
          <w:sz w:val="19"/>
          <w:szCs w:val="19"/>
        </w:rPr>
        <w:t xml:space="preserve">Duplicative: Board approval/oversight of a written risk-governance framework and strategic plan at both levels.</w:t>
      </w:r>
    </w:p>
    <w:p>
      <w:pPr>
        <w:spacing w:after="4" w:before="0"/>
      </w:pPr>
      <w:r>
        <w:rPr>
          <w:rFonts w:ascii="Arial" w:cs="Arial" w:eastAsia="Arial" w:hAnsi="Arial"/>
          <w:sz w:val="19"/>
          <w:szCs w:val="19"/>
        </w:rPr>
        <w:t xml:space="preserve">Legally distinct: Bank strategic plan vs. consolidated strategy can diverge for multi-charter groups.</w:t>
      </w:r>
    </w:p>
    <w:p>
      <w:pPr>
        <w:spacing w:after="90" w:before="0"/>
      </w:pPr>
      <w:r>
        <w:rPr>
          <w:rFonts w:ascii="Arial" w:cs="Arial" w:eastAsia="Arial" w:hAnsi="Arial"/>
          <w:color w:val="1F6B3B"/>
          <w:sz w:val="19"/>
          <w:szCs w:val="19"/>
        </w:rPr>
        <w:t>Minimum reform lever: One enterprise framework approval with an IDI addendum. Note (v2.1): this expands the existing OCC Appendix D reliance accommodation — under which a covered bank may use the parent’s framework in its entirety where the framework meets the minimum standards and the parent and bank risk profiles are substantially the same — a partial mitigant already in law rather than a novel device.</w:t>
      </w:r>
    </w:p>
    <w:p>
      <w:pPr>
        <w:keepNext/>
        <w:spacing w:after="10" w:before="110"/>
      </w:pPr>
      <w:r>
        <w:rPr>
          <w:rFonts w:ascii="Arial" w:cs="Arial" w:eastAsia="Arial" w:hAnsi="Arial"/>
          <w:b/>
          <w:bCs/>
          <w:color w:val="1F3864"/>
          <w:sz w:val="21"/>
          <w:szCs w:val="21"/>
        </w:rPr>
        <w:t xml:space="preserve">Audit committee &amp; independence</w:t>
      </w:r>
      <w:r>
        <w:rPr>
          <w:rFonts w:ascii="Arial" w:cs="Arial" w:eastAsia="Arial" w:hAnsi="Arial"/>
          <w:b/>
          <w:bCs/>
          <w:color w:val="BF8F00"/>
          <w:sz w:val="18"/>
          <w:szCs w:val="18"/>
        </w:rPr>
        <w:t xml:space="preserve">  (20 duties · Candidate redundancy)</w:t>
      </w:r>
    </w:p>
    <w:p>
      <w:pPr>
        <w:spacing w:after="4" w:before="0"/>
      </w:pPr>
      <w:r>
        <w:rPr>
          <w:rFonts w:ascii="Arial" w:cs="Arial" w:eastAsia="Arial" w:hAnsi="Arial"/>
          <w:sz w:val="19"/>
          <w:szCs w:val="19"/>
        </w:rPr>
        <w:t xml:space="preserve">Sources: SOX 301; FDICIA/Part 363; OCC App. D; NYSE/Nasdaq; SR 13-1</w:t>
      </w:r>
    </w:p>
    <w:p>
      <w:pPr>
        <w:spacing w:after="4" w:before="0"/>
      </w:pPr>
      <w:r>
        <w:rPr>
          <w:rFonts w:ascii="Arial" w:cs="Arial" w:eastAsia="Arial" w:hAnsi="Arial"/>
          <w:sz w:val="19"/>
          <w:szCs w:val="19"/>
        </w:rPr>
        <w:t xml:space="preserve">Duplicative: Independent audit committee + CAE/auditor oversight required by SEC, FDIC, OCC, and exchanges with non-identical independence tests.</w:t>
      </w:r>
    </w:p>
    <w:p>
      <w:pPr>
        <w:spacing w:after="4" w:before="0"/>
      </w:pPr>
      <w:r>
        <w:rPr>
          <w:rFonts w:ascii="Arial" w:cs="Arial" w:eastAsia="Arial" w:hAnsi="Arial"/>
          <w:sz w:val="19"/>
          <w:szCs w:val="19"/>
        </w:rPr>
        <w:t xml:space="preserve">Legally distinct: FDICIA serves deposit-insurance integrity; SOX serves investor protection.</w:t>
      </w:r>
    </w:p>
    <w:p>
      <w:pPr>
        <w:spacing w:after="90" w:before="0"/>
      </w:pPr>
      <w:r>
        <w:rPr>
          <w:rFonts w:ascii="Arial" w:cs="Arial" w:eastAsia="Arial" w:hAnsi="Arial"/>
          <w:color w:val="1F6B3B"/>
          <w:sz w:val="19"/>
          <w:szCs w:val="19"/>
        </w:rPr>
        <w:t xml:space="preserve">Minimum reform lever: Single 'independent director' definition for banking organizations; one audit committee satisfies both with reconciled independence.</w:t>
      </w:r>
    </w:p>
    <w:p>
      <w:pPr>
        <w:keepNext/>
        <w:spacing w:after="10" w:before="110"/>
      </w:pPr>
      <w:r>
        <w:rPr>
          <w:rFonts w:ascii="Arial" w:cs="Arial" w:eastAsia="Arial" w:hAnsi="Arial"/>
          <w:b/>
          <w:bCs/>
          <w:color w:val="1F3864"/>
          <w:sz w:val="21"/>
          <w:szCs w:val="21"/>
        </w:rPr>
        <w:t xml:space="preserve">Capital planning &amp; stress testing</w:t>
      </w:r>
      <w:r>
        <w:rPr>
          <w:rFonts w:ascii="Arial" w:cs="Arial" w:eastAsia="Arial" w:hAnsi="Arial"/>
          <w:b/>
          <w:bCs/>
          <w:color w:val="BF8F00"/>
          <w:sz w:val="18"/>
          <w:szCs w:val="18"/>
        </w:rPr>
        <w:t xml:space="preserve">  (20 duties · Candidate redundancy (intra-level))</w:t>
      </w:r>
    </w:p>
    <w:p>
      <w:pPr>
        <w:spacing w:after="4" w:before="0"/>
      </w:pPr>
      <w:r>
        <w:rPr>
          <w:rFonts w:ascii="Arial" w:cs="Arial" w:eastAsia="Arial" w:hAnsi="Arial"/>
          <w:sz w:val="19"/>
          <w:szCs w:val="19"/>
        </w:rPr>
        <w:t xml:space="preserve">Sources: DFA 165(i); 12 CFR 225.8; Reg YY 252.44/.54; SR 15-18</w:t>
      </w:r>
    </w:p>
    <w:p>
      <w:pPr>
        <w:spacing w:after="4" w:before="0"/>
      </w:pPr>
      <w:r>
        <w:rPr>
          <w:rFonts w:ascii="Arial" w:cs="Arial" w:eastAsia="Arial" w:hAnsi="Arial"/>
          <w:sz w:val="19"/>
          <w:szCs w:val="19"/>
        </w:rPr>
        <w:t xml:space="preserve">Duplicative: Board approval of plan/policy plus stress-test oversight across rule and guidance.</w:t>
      </w:r>
    </w:p>
    <w:p>
      <w:pPr>
        <w:spacing w:after="4" w:before="0"/>
      </w:pPr>
      <w:r>
        <w:rPr>
          <w:rFonts w:ascii="Arial" w:cs="Arial" w:eastAsia="Arial" w:hAnsi="Arial"/>
          <w:sz w:val="19"/>
          <w:szCs w:val="19"/>
        </w:rPr>
        <w:t xml:space="preserve">Legally distinct: Largely a single BHC-level program; overlap is rule-vs-guidance elaboration.</w:t>
      </w:r>
    </w:p>
    <w:p>
      <w:pPr>
        <w:spacing w:after="90" w:before="0"/>
      </w:pPr>
      <w:r>
        <w:rPr>
          <w:rFonts w:ascii="Arial" w:cs="Arial" w:eastAsia="Arial" w:hAnsi="Arial"/>
          <w:color w:val="1F6B3B"/>
          <w:sz w:val="19"/>
          <w:szCs w:val="19"/>
        </w:rPr>
        <w:t xml:space="preserve">Minimum reform lever: Separate board capital-action decisions from technical methodology reporting.</w:t>
      </w:r>
    </w:p>
    <w:p>
      <w:pPr>
        <w:keepNext/>
        <w:spacing w:after="10" w:before="110"/>
      </w:pPr>
      <w:r>
        <w:rPr>
          <w:rFonts w:ascii="Arial" w:cs="Arial" w:eastAsia="Arial" w:hAnsi="Arial"/>
          <w:b/>
          <w:bCs/>
          <w:color w:val="1F3864"/>
          <w:sz w:val="21"/>
          <w:szCs w:val="21"/>
        </w:rPr>
        <w:t xml:space="preserve">Liquidity risk management</w:t>
      </w:r>
      <w:r>
        <w:rPr>
          <w:rFonts w:ascii="Arial" w:cs="Arial" w:eastAsia="Arial" w:hAnsi="Arial"/>
          <w:b/>
          <w:bCs/>
          <w:color w:val="BF8F00"/>
          <w:sz w:val="18"/>
          <w:szCs w:val="18"/>
        </w:rPr>
        <w:t xml:space="preserve">  (19 duties · Candidate redundancy)</w:t>
      </w:r>
    </w:p>
    <w:p>
      <w:pPr>
        <w:spacing w:after="4" w:before="0"/>
      </w:pPr>
      <w:r>
        <w:rPr>
          <w:rFonts w:ascii="Arial" w:cs="Arial" w:eastAsia="Arial" w:hAnsi="Arial"/>
          <w:sz w:val="19"/>
          <w:szCs w:val="19"/>
        </w:rPr>
        <w:t xml:space="preserve">Sources: Reg YY 252.34; SR 10-6; OCC Liquidity handbook</w:t>
      </w:r>
    </w:p>
    <w:p>
      <w:pPr>
        <w:spacing w:after="4" w:before="0"/>
      </w:pPr>
      <w:r>
        <w:rPr>
          <w:rFonts w:ascii="Arial" w:cs="Arial" w:eastAsia="Arial" w:hAnsi="Arial"/>
          <w:sz w:val="19"/>
          <w:szCs w:val="19"/>
        </w:rPr>
        <w:t xml:space="preserve">Duplicative: Liquidity risk-tolerance/strategy approval stated as rule (BHC) and guidance (BHC + IDI).</w:t>
      </w:r>
    </w:p>
    <w:p>
      <w:pPr>
        <w:spacing w:after="4" w:before="0"/>
      </w:pPr>
      <w:r>
        <w:rPr>
          <w:rFonts w:ascii="Arial" w:cs="Arial" w:eastAsia="Arial" w:hAnsi="Arial"/>
          <w:sz w:val="19"/>
          <w:szCs w:val="19"/>
        </w:rPr>
        <w:t xml:space="preserve">Legally distinct: IDI-level liquidity matters where the bank funds independently.</w:t>
      </w:r>
    </w:p>
    <w:p>
      <w:pPr>
        <w:spacing w:after="90" w:before="0"/>
      </w:pPr>
      <w:r>
        <w:rPr>
          <w:rFonts w:ascii="Arial" w:cs="Arial" w:eastAsia="Arial" w:hAnsi="Arial"/>
          <w:color w:val="1F6B3B"/>
          <w:sz w:val="19"/>
          <w:szCs w:val="19"/>
        </w:rPr>
        <w:t xml:space="preserve">Minimum reform lever: One board liquidity approval satisfies rule and guidance.</w:t>
      </w:r>
    </w:p>
    <w:p>
      <w:pPr>
        <w:keepNext/>
        <w:spacing w:after="10" w:before="110"/>
      </w:pPr>
      <w:r>
        <w:rPr>
          <w:rFonts w:ascii="Arial" w:cs="Arial" w:eastAsia="Arial" w:hAnsi="Arial"/>
          <w:b/>
          <w:bCs/>
          <w:color w:val="1F3864"/>
          <w:sz w:val="21"/>
          <w:szCs w:val="21"/>
        </w:rPr>
        <w:t xml:space="preserve">BSA/AML program</w:t>
      </w:r>
      <w:r>
        <w:rPr>
          <w:rFonts w:ascii="Arial" w:cs="Arial" w:eastAsia="Arial" w:hAnsi="Arial"/>
          <w:b/>
          <w:bCs/>
          <w:color w:val="BF8F00"/>
          <w:sz w:val="18"/>
          <w:szCs w:val="18"/>
        </w:rPr>
        <w:t xml:space="preserve">  (18 duties · Candidate redundancy (intra-program))</w:t>
      </w:r>
    </w:p>
    <w:p>
      <w:pPr>
        <w:spacing w:after="4" w:before="0"/>
      </w:pPr>
      <w:r>
        <w:rPr>
          <w:rFonts w:ascii="Arial" w:cs="Arial" w:eastAsia="Arial" w:hAnsi="Arial"/>
          <w:sz w:val="19"/>
          <w:szCs w:val="19"/>
        </w:rPr>
        <w:t>Sources: 31 CFR 1010.210; agency program rules (12 CFR 21.21; 12 CFR 326.8(b)(1); FRS Rule 211.5(m)); FFIEC manual; 2024 and 2026 FinCEN/agency program-approval proposals (in tension; neither in force)</w:t>
      </w:r>
    </w:p>
    <w:p>
      <w:pPr>
        <w:spacing w:after="4" w:before="0"/>
      </w:pPr>
      <w:r>
        <w:rPr>
          <w:rFonts w:ascii="Arial" w:cs="Arial" w:eastAsia="Arial" w:hAnsi="Arial"/>
          <w:sz w:val="19"/>
          <w:szCs w:val="19"/>
        </w:rPr>
        <w:t xml:space="preserve">Duplicative: Board approval/oversight/training/independent-testing duties stated in the rule and elaborated by the FFIEC manual.</w:t>
      </w:r>
    </w:p>
    <w:p>
      <w:pPr>
        <w:spacing w:after="4" w:before="0"/>
      </w:pPr>
      <w:r>
        <w:rPr>
          <w:rFonts w:ascii="Arial" w:cs="Arial" w:eastAsia="Arial" w:hAnsi="Arial"/>
          <w:sz w:val="19"/>
          <w:szCs w:val="19"/>
        </w:rPr>
        <w:t xml:space="preserve">Legally distinct: Largely one program; overlap is rule-vs-manual elaboration.</w:t>
      </w:r>
    </w:p>
    <w:p>
      <w:pPr>
        <w:spacing w:after="90" w:before="0"/>
      </w:pPr>
      <w:r>
        <w:rPr>
          <w:rFonts w:ascii="Arial" w:cs="Arial" w:eastAsia="Arial" w:hAnsi="Arial"/>
          <w:color w:val="1F6B3B"/>
          <w:sz w:val="19"/>
          <w:szCs w:val="19"/>
        </w:rPr>
        <w:t>Minimum reform lever: Cross-reference the FFIEC manual to the rule; avoid restating. Resolve the two unreconciled pending rewrites (the 2024 proposals would add a freestanding board-oversight standard and annual ratification; the 2026 proposals would permit approval by the board, an equivalent body, or senior management) before they compound the layering.</w:t>
      </w:r>
    </w:p>
    <w:p>
      <w:pPr>
        <w:keepNext/>
        <w:spacing w:after="10" w:before="110"/>
      </w:pPr>
      <w:r>
        <w:rPr>
          <w:rFonts w:ascii="Arial" w:cs="Arial" w:eastAsia="Arial" w:hAnsi="Arial"/>
          <w:b/>
          <w:bCs/>
          <w:color w:val="1F3864"/>
          <w:sz w:val="21"/>
          <w:szCs w:val="21"/>
        </w:rPr>
        <w:t xml:space="preserve">Director independence (cross-cutting)</w:t>
      </w:r>
      <w:r>
        <w:rPr>
          <w:rFonts w:ascii="Arial" w:cs="Arial" w:eastAsia="Arial" w:hAnsi="Arial"/>
          <w:b/>
          <w:bCs/>
          <w:color w:val="BF8F00"/>
          <w:sz w:val="18"/>
          <w:szCs w:val="18"/>
        </w:rPr>
        <w:t xml:space="preserve">  (15 duties · Candidate redundancy)</w:t>
      </w:r>
    </w:p>
    <w:p>
      <w:pPr>
        <w:spacing w:after="4" w:before="0"/>
      </w:pPr>
      <w:r>
        <w:rPr>
          <w:rFonts w:ascii="Arial" w:cs="Arial" w:eastAsia="Arial" w:hAnsi="Arial"/>
          <w:sz w:val="19"/>
          <w:szCs w:val="19"/>
        </w:rPr>
        <w:t xml:space="preserve">Sources: OCC App. D III.D; Reg YY 252.33(a)(4); FDICIA; SOX 301; DFA 952; exchange listing</w:t>
      </w:r>
    </w:p>
    <w:p>
      <w:pPr>
        <w:spacing w:after="4" w:before="0"/>
      </w:pPr>
      <w:r>
        <w:rPr>
          <w:rFonts w:ascii="Arial" w:cs="Arial" w:eastAsia="Arial" w:hAnsi="Arial"/>
          <w:sz w:val="19"/>
          <w:szCs w:val="19"/>
        </w:rPr>
        <w:t xml:space="preserve">Duplicative: Six non-uniform independence tests applied to the same directors.</w:t>
      </w:r>
    </w:p>
    <w:p>
      <w:pPr>
        <w:spacing w:after="4" w:before="0"/>
      </w:pPr>
      <w:r>
        <w:rPr>
          <w:rFonts w:ascii="Arial" w:cs="Arial" w:eastAsia="Arial" w:hAnsi="Arial"/>
          <w:sz w:val="19"/>
          <w:szCs w:val="19"/>
        </w:rPr>
        <w:t xml:space="preserve">Legally distinct: Different lookback periods and affiliation tests reflect different statutory lineages.</w:t>
      </w:r>
    </w:p>
    <w:p>
      <w:pPr>
        <w:spacing w:after="90" w:before="0"/>
      </w:pPr>
      <w:r>
        <w:rPr>
          <w:rFonts w:ascii="Arial" w:cs="Arial" w:eastAsia="Arial" w:hAnsi="Arial"/>
          <w:color w:val="1F6B3B"/>
          <w:sz w:val="19"/>
          <w:szCs w:val="19"/>
        </w:rPr>
        <w:t xml:space="preserve">Minimum reform lever: Single cross-referenced prudential independence definition.</w:t>
      </w:r>
    </w:p>
    <w:p>
      <w:pPr>
        <w:keepNext/>
        <w:spacing w:after="10" w:before="110"/>
      </w:pPr>
      <w:r>
        <w:rPr>
          <w:rFonts w:ascii="Arial" w:cs="Arial" w:eastAsia="Arial" w:hAnsi="Arial"/>
          <w:b/>
          <w:bCs/>
          <w:color w:val="1F3864"/>
          <w:sz w:val="21"/>
          <w:szCs w:val="21"/>
        </w:rPr>
        <w:t xml:space="preserve">Resolution, recovery &amp; contingency funding</w:t>
      </w:r>
      <w:r>
        <w:rPr>
          <w:rFonts w:ascii="Arial" w:cs="Arial" w:eastAsia="Arial" w:hAnsi="Arial"/>
          <w:b/>
          <w:bCs/>
          <w:color w:val="BF8F00"/>
          <w:sz w:val="18"/>
          <w:szCs w:val="18"/>
        </w:rPr>
        <w:t xml:space="preserve">  (13 duties · Mixed (parallel-but-justified + candidate redundancy))</w:t>
      </w:r>
    </w:p>
    <w:p>
      <w:pPr>
        <w:spacing w:after="4" w:before="0"/>
      </w:pPr>
      <w:r>
        <w:rPr>
          <w:rFonts w:ascii="Arial" w:cs="Arial" w:eastAsia="Arial" w:hAnsi="Arial"/>
          <w:sz w:val="19"/>
          <w:szCs w:val="19"/>
        </w:rPr>
        <w:t xml:space="preserve">Sources: DFA 165(d)/Reg QQ; FDIC 360.10; Reg YY 252.34(b) CFP; SR 14-8 (recovery)</w:t>
      </w:r>
    </w:p>
    <w:p>
      <w:pPr>
        <w:spacing w:after="4" w:before="0"/>
      </w:pPr>
      <w:r>
        <w:rPr>
          <w:rFonts w:ascii="Arial" w:cs="Arial" w:eastAsia="Arial" w:hAnsi="Arial"/>
          <w:sz w:val="19"/>
          <w:szCs w:val="19"/>
        </w:rPr>
        <w:t xml:space="preserve">Duplicative: Multiple board-approved resilience plans on different cycles; parent and IDI resolution submissions overlap heavily.</w:t>
      </w:r>
    </w:p>
    <w:p>
      <w:pPr>
        <w:spacing w:after="4" w:before="0"/>
      </w:pPr>
      <w:r>
        <w:rPr>
          <w:rFonts w:ascii="Arial" w:cs="Arial" w:eastAsia="Arial" w:hAnsi="Arial"/>
          <w:sz w:val="19"/>
          <w:szCs w:val="19"/>
        </w:rPr>
        <w:t xml:space="preserve">Legally distinct: The FDIC's interest in resolving the insured bank even if the parent's plan fails is genuinely distinct (parallel-but-justified).</w:t>
      </w:r>
    </w:p>
    <w:p>
      <w:pPr>
        <w:spacing w:after="90" w:before="0"/>
      </w:pPr>
      <w:r>
        <w:rPr>
          <w:rFonts w:ascii="Arial" w:cs="Arial" w:eastAsia="Arial" w:hAnsi="Arial"/>
          <w:color w:val="1F6B3B"/>
          <w:sz w:val="19"/>
          <w:szCs w:val="19"/>
        </w:rPr>
        <w:t xml:space="preserve">Minimum reform lever: Single 'resilience planning' board cycle; shared resolution submission with an IDI annex.</w:t>
      </w:r>
    </w:p>
    <w:p>
      <w:pPr>
        <w:keepNext/>
        <w:spacing w:after="10" w:before="110"/>
      </w:pPr>
      <w:r>
        <w:rPr>
          <w:rFonts w:ascii="Arial" w:cs="Arial" w:eastAsia="Arial" w:hAnsi="Arial"/>
          <w:b/>
          <w:bCs/>
          <w:color w:val="1F3864"/>
          <w:sz w:val="21"/>
          <w:szCs w:val="21"/>
        </w:rPr>
        <w:t xml:space="preserve">Consumer compliance (CMS)</w:t>
      </w:r>
      <w:r>
        <w:rPr>
          <w:rFonts w:ascii="Arial" w:cs="Arial" w:eastAsia="Arial" w:hAnsi="Arial"/>
          <w:b/>
          <w:bCs/>
          <w:color w:val="BF8F00"/>
          <w:sz w:val="18"/>
          <w:szCs w:val="18"/>
        </w:rPr>
        <w:t xml:space="preserve">  (13 duties · Candidate redundancy)</w:t>
      </w:r>
    </w:p>
    <w:p>
      <w:pPr>
        <w:spacing w:after="4" w:before="0"/>
      </w:pPr>
      <w:r>
        <w:rPr>
          <w:rFonts w:ascii="Arial" w:cs="Arial" w:eastAsia="Arial" w:hAnsi="Arial"/>
          <w:sz w:val="19"/>
          <w:szCs w:val="19"/>
        </w:rPr>
        <w:t xml:space="preserve">Sources: CFPB manual; OCC/FDIC CMS; SR 08-8</w:t>
      </w:r>
    </w:p>
    <w:p>
      <w:pPr>
        <w:spacing w:after="4" w:before="0"/>
      </w:pPr>
      <w:r>
        <w:rPr>
          <w:rFonts w:ascii="Arial" w:cs="Arial" w:eastAsia="Arial" w:hAnsi="Arial"/>
          <w:sz w:val="19"/>
          <w:szCs w:val="19"/>
        </w:rPr>
        <w:t xml:space="preserve">Duplicative: CMS board oversight across CFPB and prudential regulators.</w:t>
      </w:r>
    </w:p>
    <w:p>
      <w:pPr>
        <w:spacing w:after="4" w:before="0"/>
      </w:pPr>
      <w:r>
        <w:rPr>
          <w:rFonts w:ascii="Arial" w:cs="Arial" w:eastAsia="Arial" w:hAnsi="Arial"/>
          <w:sz w:val="19"/>
          <w:szCs w:val="19"/>
        </w:rPr>
        <w:t xml:space="preserve">Legally distinct: CFPB consumer mandate vs. prudential safety-and-soundness.</w:t>
      </w:r>
    </w:p>
    <w:p>
      <w:pPr>
        <w:spacing w:after="90" w:before="0"/>
      </w:pPr>
      <w:r>
        <w:rPr>
          <w:rFonts w:ascii="Arial" w:cs="Arial" w:eastAsia="Arial" w:hAnsi="Arial"/>
          <w:color w:val="1F6B3B"/>
          <w:sz w:val="19"/>
          <w:szCs w:val="19"/>
        </w:rPr>
        <w:t xml:space="preserve">Minimum reform lever: Coordinate CMS expectations; CFPB now lightly enforced (2026).</w:t>
      </w:r>
    </w:p>
    <w:p>
      <w:pPr>
        <w:keepNext/>
        <w:spacing w:after="10" w:before="110"/>
      </w:pPr>
      <w:r>
        <w:rPr>
          <w:rFonts w:ascii="Arial" w:cs="Arial" w:eastAsia="Arial" w:hAnsi="Arial"/>
          <w:b/>
          <w:bCs/>
          <w:color w:val="1F3864"/>
          <w:sz w:val="21"/>
          <w:szCs w:val="21"/>
        </w:rPr>
        <w:t xml:space="preserve">Information security &amp; cybersecurity</w:t>
      </w:r>
      <w:r>
        <w:rPr>
          <w:rFonts w:ascii="Arial" w:cs="Arial" w:eastAsia="Arial" w:hAnsi="Arial"/>
          <w:b/>
          <w:bCs/>
          <w:color w:val="BF8F00"/>
          <w:sz w:val="18"/>
          <w:szCs w:val="18"/>
        </w:rPr>
        <w:t xml:space="preserve">  (12 duties · Candidate redundancy)</w:t>
      </w:r>
    </w:p>
    <w:p>
      <w:pPr>
        <w:spacing w:after="4" w:before="0"/>
      </w:pPr>
      <w:r>
        <w:rPr>
          <w:rFonts w:ascii="Arial" w:cs="Arial" w:eastAsia="Arial" w:hAnsi="Arial"/>
          <w:sz w:val="19"/>
          <w:szCs w:val="19"/>
        </w:rPr>
        <w:t xml:space="preserve">Sources: GLBA 501(b) (12 CFR 30 App. B + three parallel appendices); SEC Reg S-K 106; incident-notification rule; FFIEC IT</w:t>
      </w:r>
    </w:p>
    <w:p>
      <w:pPr>
        <w:spacing w:after="4" w:before="0"/>
      </w:pPr>
      <w:r>
        <w:rPr>
          <w:rFonts w:ascii="Arial" w:cs="Arial" w:eastAsia="Arial" w:hAnsi="Arial"/>
          <w:sz w:val="19"/>
          <w:szCs w:val="19"/>
        </w:rPr>
        <w:t xml:space="preserve">Duplicative: Same information-security program approved at BHC and IDI levels under four parallel appendices; cyber oversight also disclosed to the SEC.</w:t>
      </w:r>
    </w:p>
    <w:p>
      <w:pPr>
        <w:spacing w:after="4" w:before="0"/>
      </w:pPr>
      <w:r>
        <w:rPr>
          <w:rFonts w:ascii="Arial" w:cs="Arial" w:eastAsia="Arial" w:hAnsi="Arial"/>
          <w:sz w:val="19"/>
          <w:szCs w:val="19"/>
        </w:rPr>
        <w:t xml:space="preserve">Legally distinct: SEC disclosure serves investors; the prudential program serves safety-and-soundness.</w:t>
      </w:r>
    </w:p>
    <w:p>
      <w:pPr>
        <w:spacing w:after="90" w:before="0"/>
      </w:pPr>
      <w:r>
        <w:rPr>
          <w:rFonts w:ascii="Arial" w:cs="Arial" w:eastAsia="Arial" w:hAnsi="Arial"/>
          <w:color w:val="1F6B3B"/>
          <w:sz w:val="19"/>
          <w:szCs w:val="19"/>
        </w:rPr>
        <w:t>Minimum reform lever: One enterprise info-security program approval; joint SEC/banking statement on cyber oversight. Note (v2.1): the 36-hour interagency computer-security incident-notification rule and the SEC cyber-disclosure regime impose non-aligned timelines and triggers on the same incident; harmonization here is selection of a single operational standard, not deletion.</w:t>
      </w:r>
    </w:p>
    <w:p>
      <w:pPr>
        <w:keepNext/>
        <w:spacing w:after="10" w:before="110"/>
      </w:pPr>
      <w:r>
        <w:rPr>
          <w:rFonts w:ascii="Arial" w:cs="Arial" w:eastAsia="Arial" w:hAnsi="Arial"/>
          <w:b/>
          <w:bCs/>
          <w:color w:val="1F3864"/>
          <w:sz w:val="21"/>
          <w:szCs w:val="21"/>
        </w:rPr>
        <w:t xml:space="preserve">Incentive compensation</w:t>
      </w:r>
      <w:r>
        <w:rPr>
          <w:rFonts w:ascii="Arial" w:cs="Arial" w:eastAsia="Arial" w:hAnsi="Arial"/>
          <w:b/>
          <w:bCs/>
          <w:color w:val="BF8F00"/>
          <w:sz w:val="18"/>
          <w:szCs w:val="18"/>
        </w:rPr>
        <w:t xml:space="preserve">  (10 duties · Candidate redundancy)</w:t>
      </w:r>
    </w:p>
    <w:p>
      <w:pPr>
        <w:spacing w:after="4" w:before="0"/>
      </w:pPr>
      <w:r>
        <w:rPr>
          <w:rFonts w:ascii="Arial" w:cs="Arial" w:eastAsia="Arial" w:hAnsi="Arial"/>
          <w:sz w:val="19"/>
          <w:szCs w:val="19"/>
        </w:rPr>
        <w:t xml:space="preserve">Sources: DFA 956 (unimplemented); 2010 guidance; OCC App. D; DFA 952 / exchange</w:t>
      </w:r>
    </w:p>
    <w:p>
      <w:pPr>
        <w:spacing w:after="4" w:before="0"/>
      </w:pPr>
      <w:r>
        <w:rPr>
          <w:rFonts w:ascii="Arial" w:cs="Arial" w:eastAsia="Arial" w:hAnsi="Arial"/>
          <w:sz w:val="19"/>
          <w:szCs w:val="19"/>
        </w:rPr>
        <w:t xml:space="preserve">Duplicative: Comp-governance duties across an unfinished rule, guidance, and SEC independence rules.</w:t>
      </w:r>
    </w:p>
    <w:p>
      <w:pPr>
        <w:spacing w:after="4" w:before="0"/>
      </w:pPr>
      <w:r>
        <w:rPr>
          <w:rFonts w:ascii="Arial" w:cs="Arial" w:eastAsia="Arial" w:hAnsi="Arial"/>
          <w:sz w:val="19"/>
          <w:szCs w:val="19"/>
        </w:rPr>
        <w:t xml:space="preserve">Legally distinct: SEC comp-committee independence serves investors.</w:t>
      </w:r>
    </w:p>
    <w:p>
      <w:pPr>
        <w:spacing w:after="90" w:before="0"/>
      </w:pPr>
      <w:r>
        <w:rPr>
          <w:rFonts w:ascii="Arial" w:cs="Arial" w:eastAsia="Arial" w:hAnsi="Arial"/>
          <w:color w:val="1F6B3B"/>
          <w:sz w:val="19"/>
          <w:szCs w:val="19"/>
        </w:rPr>
        <w:t xml:space="preserve">Minimum reform lever: Finalize one 956 framework or rely on guidance; SEC independence satisfies the prudential element.</w:t>
      </w:r>
    </w:p>
    <w:p>
      <w:pPr>
        <w:keepNext/>
        <w:spacing w:after="10" w:before="110"/>
      </w:pPr>
      <w:r>
        <w:rPr>
          <w:rFonts w:ascii="Arial" w:cs="Arial" w:eastAsia="Arial" w:hAnsi="Arial"/>
          <w:b/>
          <w:bCs/>
          <w:color w:val="1F3864"/>
          <w:sz w:val="21"/>
          <w:szCs w:val="21"/>
        </w:rPr>
        <w:t xml:space="preserve">Third-party risk management</w:t>
      </w:r>
      <w:r>
        <w:rPr>
          <w:rFonts w:ascii="Arial" w:cs="Arial" w:eastAsia="Arial" w:hAnsi="Arial"/>
          <w:b/>
          <w:bCs/>
          <w:color w:val="BF8F00"/>
          <w:sz w:val="18"/>
          <w:szCs w:val="18"/>
        </w:rPr>
        <w:t xml:space="preserve">  (7 duties · Candidate redundancy)</w:t>
      </w:r>
    </w:p>
    <w:p>
      <w:pPr>
        <w:spacing w:after="4" w:before="0"/>
      </w:pPr>
      <w:r>
        <w:rPr>
          <w:rFonts w:ascii="Arial" w:cs="Arial" w:eastAsia="Arial" w:hAnsi="Arial"/>
          <w:sz w:val="19"/>
          <w:szCs w:val="19"/>
        </w:rPr>
        <w:t xml:space="preserve">Sources: 2023 interagency guidance (SR 23-4); OCC App. D; FFIEC; CFPB</w:t>
      </w:r>
    </w:p>
    <w:p>
      <w:pPr>
        <w:spacing w:after="4" w:before="0"/>
      </w:pPr>
      <w:r>
        <w:rPr>
          <w:rFonts w:ascii="Arial" w:cs="Arial" w:eastAsia="Arial" w:hAnsi="Arial"/>
          <w:sz w:val="19"/>
          <w:szCs w:val="19"/>
        </w:rPr>
        <w:t xml:space="preserve">Duplicative: Board oversight/approval of third-party risk across interagency guidance and enforceable standards.</w:t>
      </w:r>
    </w:p>
    <w:p>
      <w:pPr>
        <w:spacing w:after="4" w:before="0"/>
      </w:pPr>
      <w:r>
        <w:rPr>
          <w:rFonts w:ascii="Arial" w:cs="Arial" w:eastAsia="Arial" w:hAnsi="Arial"/>
          <w:sz w:val="19"/>
          <w:szCs w:val="19"/>
        </w:rPr>
        <w:t xml:space="preserve">Legally distinct: Consumer-compliance service-provider oversight is a distinct statutory concern.</w:t>
      </w:r>
    </w:p>
    <w:p>
      <w:pPr>
        <w:spacing w:after="90" w:before="0"/>
      </w:pPr>
      <w:r>
        <w:rPr>
          <w:rFonts w:ascii="Arial" w:cs="Arial" w:eastAsia="Arial" w:hAnsi="Arial"/>
          <w:color w:val="1F6B3B"/>
          <w:sz w:val="19"/>
          <w:szCs w:val="19"/>
        </w:rPr>
        <w:t xml:space="preserve">Minimum reform lever: Quantitative 'critical activity' threshold for board attention; management approval + aggregate reporting otherwise.</w:t>
      </w:r>
    </w:p>
    <w:p>
      <w:pPr>
        <w:keepNext/>
        <w:spacing w:after="10" w:before="110"/>
      </w:pPr>
      <w:r>
        <w:rPr>
          <w:rFonts w:ascii="Arial" w:cs="Arial" w:eastAsia="Arial" w:hAnsi="Arial"/>
          <w:b/>
          <w:bCs/>
          <w:color w:val="1F3864"/>
          <w:sz w:val="21"/>
          <w:szCs w:val="21"/>
        </w:rPr>
        <w:t xml:space="preserve">Risk committee architecture</w:t>
      </w:r>
      <w:r>
        <w:rPr>
          <w:rFonts w:ascii="Arial" w:cs="Arial" w:eastAsia="Arial" w:hAnsi="Arial"/>
          <w:b/>
          <w:bCs/>
          <w:color w:val="BF8F00"/>
          <w:sz w:val="18"/>
          <w:szCs w:val="18"/>
        </w:rPr>
        <w:t xml:space="preserve">  (6 duties · Candidate redundancy)</w:t>
      </w:r>
    </w:p>
    <w:p>
      <w:pPr>
        <w:spacing w:after="4" w:before="0"/>
      </w:pPr>
      <w:r>
        <w:rPr>
          <w:rFonts w:ascii="Arial" w:cs="Arial" w:eastAsia="Arial" w:hAnsi="Arial"/>
          <w:sz w:val="19"/>
          <w:szCs w:val="19"/>
        </w:rPr>
        <w:t xml:space="preserve">Sources: DFA 165(h); Reg YY 252.33; OCC App. D; SR 21-3</w:t>
      </w:r>
    </w:p>
    <w:p>
      <w:pPr>
        <w:spacing w:after="4" w:before="0"/>
      </w:pPr>
      <w:r>
        <w:rPr>
          <w:rFonts w:ascii="Arial" w:cs="Arial" w:eastAsia="Arial" w:hAnsi="Arial"/>
          <w:sz w:val="19"/>
          <w:szCs w:val="19"/>
        </w:rPr>
        <w:t xml:space="preserve">Duplicative: Committee existence, charter, independent chair, quarterly CRO reporting required at BHC (rule) and bank (enforceable guideline) levels.</w:t>
      </w:r>
    </w:p>
    <w:p>
      <w:pPr>
        <w:spacing w:after="4" w:before="0"/>
      </w:pPr>
      <w:r>
        <w:rPr>
          <w:rFonts w:ascii="Arial" w:cs="Arial" w:eastAsia="Arial" w:hAnsi="Arial"/>
          <w:sz w:val="19"/>
          <w:szCs w:val="19"/>
        </w:rPr>
        <w:t xml:space="preserve">Legally distinct: The bank-level framework also covers bank-specific risk limits the parent committee may not reach.</w:t>
      </w:r>
    </w:p>
    <w:p>
      <w:pPr>
        <w:spacing w:after="90" w:before="0"/>
      </w:pPr>
      <w:r>
        <w:rPr>
          <w:rFonts w:ascii="Arial" w:cs="Arial" w:eastAsia="Arial" w:hAnsi="Arial"/>
          <w:color w:val="1F6B3B"/>
          <w:sz w:val="19"/>
          <w:szCs w:val="19"/>
        </w:rPr>
        <w:t xml:space="preserve">Minimum reform lever: Joint Fed-OCC rule: one risk-committee standard at the consolidated level + a streamlined IDI certification.</w:t>
      </w:r>
    </w:p>
    <w:p>
      <w:pPr>
        <w:keepNext/>
        <w:spacing w:after="10" w:before="110"/>
      </w:pPr>
      <w:r>
        <w:rPr>
          <w:rFonts w:ascii="Arial" w:cs="Arial" w:eastAsia="Arial" w:hAnsi="Arial"/>
          <w:b/>
          <w:bCs/>
          <w:color w:val="1F3864"/>
          <w:sz w:val="21"/>
          <w:szCs w:val="21"/>
        </w:rPr>
        <w:t xml:space="preserve">Risk appetite statement</w:t>
      </w:r>
      <w:r>
        <w:rPr>
          <w:rFonts w:ascii="Arial" w:cs="Arial" w:eastAsia="Arial" w:hAnsi="Arial"/>
          <w:b/>
          <w:bCs/>
          <w:color w:val="BF8F00"/>
          <w:sz w:val="18"/>
          <w:szCs w:val="18"/>
        </w:rPr>
        <w:t xml:space="preserve">  (5 duties · Candidate redundancy)</w:t>
      </w:r>
    </w:p>
    <w:p>
      <w:pPr>
        <w:spacing w:after="4" w:before="0"/>
      </w:pPr>
      <w:r>
        <w:rPr>
          <w:rFonts w:ascii="Arial" w:cs="Arial" w:eastAsia="Arial" w:hAnsi="Arial"/>
          <w:sz w:val="19"/>
          <w:szCs w:val="19"/>
        </w:rPr>
        <w:t xml:space="preserve">Sources: OCC App. D II.E/G; Reg YY 252.34 (liquidity tolerance); SR 21-3; SR 20-24 (disruption tolerance)</w:t>
      </w:r>
    </w:p>
    <w:p>
      <w:pPr>
        <w:spacing w:after="4" w:before="0"/>
      </w:pPr>
      <w:r>
        <w:rPr>
          <w:rFonts w:ascii="Arial" w:cs="Arial" w:eastAsia="Arial" w:hAnsi="Arial"/>
          <w:sz w:val="19"/>
          <w:szCs w:val="19"/>
        </w:rPr>
        <w:t xml:space="preserve">Duplicative: Board approval of a risk-appetite/tolerance statement required by four instruments with differing content.</w:t>
      </w:r>
    </w:p>
    <w:p>
      <w:pPr>
        <w:spacing w:after="4" w:before="0"/>
      </w:pPr>
      <w:r>
        <w:rPr>
          <w:rFonts w:ascii="Arial" w:cs="Arial" w:eastAsia="Arial" w:hAnsi="Arial"/>
          <w:sz w:val="19"/>
          <w:szCs w:val="19"/>
        </w:rPr>
        <w:t xml:space="preserve">Legally distinct: Liquidity tolerance and operational-disruption tolerance are genuinely different risk dimensions.</w:t>
      </w:r>
    </w:p>
    <w:p>
      <w:pPr>
        <w:spacing w:after="90" w:before="0"/>
      </w:pPr>
      <w:r>
        <w:rPr>
          <w:rFonts w:ascii="Arial" w:cs="Arial" w:eastAsia="Arial" w:hAnsi="Arial"/>
          <w:color w:val="1F6B3B"/>
          <w:sz w:val="19"/>
          <w:szCs w:val="19"/>
        </w:rPr>
        <w:t xml:space="preserve">Minimum reform lever: Interagency risk-appetite template + safe harbor that one board-approved statement satisfies all.</w:t>
      </w:r>
    </w:p>
    <w:p>
      <w:pPr>
        <w:keepNext/>
        <w:spacing w:after="10" w:before="110"/>
      </w:pPr>
      <w:r>
        <w:rPr>
          <w:rFonts w:ascii="Arial" w:cs="Arial" w:eastAsia="Arial" w:hAnsi="Arial"/>
          <w:b/>
          <w:bCs/>
          <w:color w:val="1F3864"/>
          <w:sz w:val="21"/>
          <w:szCs w:val="21"/>
        </w:rPr>
        <w:t xml:space="preserve">Operational resilience / business continuity</w:t>
      </w:r>
      <w:r>
        <w:rPr>
          <w:rFonts w:ascii="Arial" w:cs="Arial" w:eastAsia="Arial" w:hAnsi="Arial"/>
          <w:b/>
          <w:bCs/>
          <w:color w:val="595959"/>
          <w:sz w:val="18"/>
          <w:szCs w:val="18"/>
        </w:rPr>
        <w:t xml:space="preserve">  (5 duties · Limited overlap)</w:t>
      </w:r>
    </w:p>
    <w:p>
      <w:pPr>
        <w:spacing w:after="4" w:before="0"/>
      </w:pPr>
      <w:r>
        <w:rPr>
          <w:rFonts w:ascii="Arial" w:cs="Arial" w:eastAsia="Arial" w:hAnsi="Arial"/>
          <w:sz w:val="19"/>
          <w:szCs w:val="19"/>
        </w:rPr>
        <w:t xml:space="preserve">Sources: SR 20-24; FFIEC BCM; OCC App. D</w:t>
      </w:r>
    </w:p>
    <w:p>
      <w:pPr>
        <w:spacing w:after="4" w:before="0"/>
      </w:pPr>
      <w:r>
        <w:rPr>
          <w:rFonts w:ascii="Arial" w:cs="Arial" w:eastAsia="Arial" w:hAnsi="Arial"/>
          <w:sz w:val="19"/>
          <w:szCs w:val="19"/>
        </w:rPr>
        <w:t xml:space="preserve">Duplicative: Board approval of disruption tolerance and resilience oversight across guidance.</w:t>
      </w:r>
    </w:p>
    <w:p>
      <w:pPr>
        <w:spacing w:after="4" w:before="0"/>
      </w:pPr>
      <w:r>
        <w:rPr>
          <w:rFonts w:ascii="Arial" w:cs="Arial" w:eastAsia="Arial" w:hAnsi="Arial"/>
          <w:sz w:val="19"/>
          <w:szCs w:val="19"/>
        </w:rPr>
        <w:t xml:space="preserve">Legally distinct: Operational resilience is a distinct risk dimension.</w:t>
      </w:r>
    </w:p>
    <w:p>
      <w:pPr>
        <w:spacing w:after="90" w:before="0"/>
      </w:pPr>
      <w:r>
        <w:rPr>
          <w:rFonts w:ascii="Arial" w:cs="Arial" w:eastAsia="Arial" w:hAnsi="Arial"/>
          <w:color w:val="1F6B3B"/>
          <w:sz w:val="19"/>
          <w:szCs w:val="19"/>
        </w:rPr>
        <w:t xml:space="preserve">Minimum reform lever: Fold into the enterprise risk-appetite approval.</w:t>
      </w:r>
    </w:p>
    <w:p>
      <w:pPr>
        <w:keepNext/>
        <w:spacing w:after="10" w:before="110"/>
      </w:pPr>
      <w:r>
        <w:rPr>
          <w:rFonts w:ascii="Arial" w:cs="Arial" w:eastAsia="Arial" w:hAnsi="Arial"/>
          <w:b/>
          <w:bCs/>
          <w:color w:val="1F3864"/>
          <w:sz w:val="21"/>
          <w:szCs w:val="21"/>
        </w:rPr>
        <w:t xml:space="preserve">Internal control over financial reporting</w:t>
      </w:r>
      <w:r>
        <w:rPr>
          <w:rFonts w:ascii="Arial" w:cs="Arial" w:eastAsia="Arial" w:hAnsi="Arial"/>
          <w:b/>
          <w:bCs/>
          <w:color w:val="BF8F00"/>
          <w:sz w:val="18"/>
          <w:szCs w:val="18"/>
        </w:rPr>
        <w:t xml:space="preserve">  (4 duties · Candidate redundancy)</w:t>
      </w:r>
    </w:p>
    <w:p>
      <w:pPr>
        <w:spacing w:after="4" w:before="0"/>
      </w:pPr>
      <w:r>
        <w:rPr>
          <w:rFonts w:ascii="Arial" w:cs="Arial" w:eastAsia="Arial" w:hAnsi="Arial"/>
          <w:sz w:val="19"/>
          <w:szCs w:val="19"/>
        </w:rPr>
        <w:t xml:space="preserve">Sources: SOX 404(a)/(b); SOX 302; FDICIA Part 363</w:t>
      </w:r>
    </w:p>
    <w:p>
      <w:pPr>
        <w:spacing w:after="4" w:before="0"/>
      </w:pPr>
      <w:r>
        <w:rPr>
          <w:rFonts w:ascii="Arial" w:cs="Arial" w:eastAsia="Arial" w:hAnsi="Arial"/>
          <w:sz w:val="19"/>
          <w:szCs w:val="19"/>
        </w:rPr>
        <w:t xml:space="preserve">Duplicative: Parallel ICFR assessment/attestation on a fiscal-year (SOX) and calendar-year (FDICIA) cycle.</w:t>
      </w:r>
    </w:p>
    <w:p>
      <w:pPr>
        <w:spacing w:after="4" w:before="0"/>
      </w:pPr>
      <w:r>
        <w:rPr>
          <w:rFonts w:ascii="Arial" w:cs="Arial" w:eastAsia="Arial" w:hAnsi="Arial"/>
          <w:sz w:val="19"/>
          <w:szCs w:val="19"/>
        </w:rPr>
        <w:t xml:space="preserve">Legally distinct: FDICIA adds compliance with designated safety-and-soundness laws.</w:t>
      </w:r>
    </w:p>
    <w:p>
      <w:pPr>
        <w:spacing w:after="90" w:before="0"/>
      </w:pPr>
      <w:r>
        <w:rPr>
          <w:rFonts w:ascii="Arial" w:cs="Arial" w:eastAsia="Arial" w:hAnsi="Arial"/>
          <w:color w:val="1F6B3B"/>
          <w:sz w:val="19"/>
          <w:szCs w:val="19"/>
        </w:rPr>
        <w:t xml:space="preserve">Minimum reform lever: Permit SOX 404(b) to satisfy FDICIA ICFR by cross-reference; align cycles.</w:t>
      </w:r>
    </w:p>
    <w:p>
      <w:pPr>
        <w:keepNext/>
        <w:spacing w:after="10" w:before="110"/>
      </w:pPr>
      <w:r>
        <w:rPr>
          <w:rFonts w:ascii="Arial" w:cs="Arial" w:eastAsia="Arial" w:hAnsi="Arial"/>
          <w:b/>
          <w:bCs/>
          <w:color w:val="1F3864"/>
          <w:sz w:val="21"/>
          <w:szCs w:val="21"/>
        </w:rPr>
        <w:t xml:space="preserve">Unique structural duties</w:t>
      </w:r>
      <w:r>
        <w:rPr>
          <w:rFonts w:ascii="Arial" w:cs="Arial" w:eastAsia="Arial" w:hAnsi="Arial"/>
          <w:b/>
          <w:bCs/>
          <w:color w:val="595959"/>
          <w:sz w:val="18"/>
          <w:szCs w:val="18"/>
        </w:rPr>
        <w:t xml:space="preserve">  (4 duties · Unique / limited overlap)</w:t>
      </w:r>
    </w:p>
    <w:p>
      <w:pPr>
        <w:spacing w:after="4" w:before="0"/>
      </w:pPr>
      <w:r>
        <w:rPr>
          <w:rFonts w:ascii="Arial" w:cs="Arial" w:eastAsia="Arial" w:hAnsi="Arial"/>
          <w:sz w:val="19"/>
          <w:szCs w:val="19"/>
        </w:rPr>
        <w:t xml:space="preserve">Sources: TLAC (252.62-64); single-counterparty (252.70-78); Volcker (12 CFR 248)</w:t>
      </w:r>
    </w:p>
    <w:p>
      <w:pPr>
        <w:spacing w:after="4" w:before="0"/>
      </w:pPr>
      <w:r>
        <w:rPr>
          <w:rFonts w:ascii="Arial" w:cs="Arial" w:eastAsia="Arial" w:hAnsi="Arial"/>
          <w:sz w:val="19"/>
          <w:szCs w:val="19"/>
        </w:rPr>
        <w:t xml:space="preserve">Duplicative: None material.</w:t>
      </w:r>
    </w:p>
    <w:p>
      <w:pPr>
        <w:spacing w:after="4" w:before="0"/>
      </w:pPr>
      <w:r>
        <w:rPr>
          <w:rFonts w:ascii="Arial" w:cs="Arial" w:eastAsia="Arial" w:hAnsi="Arial"/>
          <w:sz w:val="19"/>
          <w:szCs w:val="19"/>
        </w:rPr>
        <w:t xml:space="preserve">Legally distinct: GSIB-specific structural and trading-compliance duties.</w:t>
      </w:r>
    </w:p>
    <w:p>
      <w:pPr>
        <w:spacing w:after="90" w:before="0"/>
      </w:pPr>
      <w:r>
        <w:rPr>
          <w:rFonts w:ascii="Arial" w:cs="Arial" w:eastAsia="Arial" w:hAnsi="Arial"/>
          <w:color w:val="1F6B3B"/>
          <w:sz w:val="19"/>
          <w:szCs w:val="19"/>
        </w:rPr>
        <w:t xml:space="preserve">Minimum reform lever: Retain; distinct purpose.</w:t>
      </w:r>
    </w:p>
    <w:p>
      <w:pPr>
        <w:keepNext/>
        <w:spacing w:after="10" w:before="110"/>
      </w:pPr>
      <w:r>
        <w:rPr>
          <w:rFonts w:ascii="Arial" w:cs="Arial" w:eastAsia="Arial" w:hAnsi="Arial"/>
          <w:b/>
          <w:bCs/>
          <w:color w:val="1F3864"/>
          <w:sz w:val="21"/>
          <w:szCs w:val="21"/>
        </w:rPr>
        <w:t xml:space="preserve">Board self-assessment / effectiveness</w:t>
      </w:r>
      <w:r>
        <w:rPr>
          <w:rFonts w:ascii="Arial" w:cs="Arial" w:eastAsia="Arial" w:hAnsi="Arial"/>
          <w:b/>
          <w:bCs/>
          <w:color w:val="BF8F00"/>
          <w:sz w:val="18"/>
          <w:szCs w:val="18"/>
        </w:rPr>
        <w:t xml:space="preserve">  (3 duties · Candidate redundancy)</w:t>
      </w:r>
    </w:p>
    <w:p>
      <w:pPr>
        <w:spacing w:after="4" w:before="0"/>
      </w:pPr>
      <w:r>
        <w:rPr>
          <w:rFonts w:ascii="Arial" w:cs="Arial" w:eastAsia="Arial" w:hAnsi="Arial"/>
          <w:sz w:val="19"/>
          <w:szCs w:val="19"/>
        </w:rPr>
        <w:t xml:space="preserve">Sources: OCC App. D III.F; SR 21-3; LFI rating</w:t>
      </w:r>
    </w:p>
    <w:p>
      <w:pPr>
        <w:spacing w:after="4" w:before="0"/>
      </w:pPr>
      <w:r>
        <w:rPr>
          <w:rFonts w:ascii="Arial" w:cs="Arial" w:eastAsia="Arial" w:hAnsi="Arial"/>
          <w:sz w:val="19"/>
          <w:szCs w:val="19"/>
        </w:rPr>
        <w:t xml:space="preserve">Duplicative: Parallel self-assessment / effectiveness evaluation under Fed and OCC.</w:t>
      </w:r>
    </w:p>
    <w:p>
      <w:pPr>
        <w:spacing w:after="4" w:before="0"/>
      </w:pPr>
      <w:r>
        <w:rPr>
          <w:rFonts w:ascii="Arial" w:cs="Arial" w:eastAsia="Arial" w:hAnsi="Arial"/>
          <w:sz w:val="19"/>
          <w:szCs w:val="19"/>
        </w:rPr>
        <w:t xml:space="preserve">Legally distinct: Minimal.</w:t>
      </w:r>
    </w:p>
    <w:p>
      <w:pPr>
        <w:spacing w:after="90" w:before="0"/>
      </w:pPr>
      <w:r>
        <w:rPr>
          <w:rFonts w:ascii="Arial" w:cs="Arial" w:eastAsia="Arial" w:hAnsi="Arial"/>
          <w:color w:val="1F6B3B"/>
          <w:sz w:val="19"/>
          <w:szCs w:val="19"/>
        </w:rPr>
        <w:t xml:space="preserve">Minimum reform lever: Single interagency board-effectiveness assessment.</w:t>
      </w:r>
    </w:p>
    <w:p>
      <w:pPr>
        <w:keepNext/>
        <w:spacing w:after="10" w:before="110"/>
      </w:pPr>
      <w:r>
        <w:rPr>
          <w:rFonts w:ascii="Arial" w:cs="Arial" w:eastAsia="Arial" w:hAnsi="Arial"/>
          <w:b/>
          <w:bCs/>
          <w:color w:val="1F3864"/>
          <w:sz w:val="21"/>
          <w:szCs w:val="21"/>
        </w:rPr>
        <w:t xml:space="preserve">Insider / affiliate / related-party</w:t>
      </w:r>
      <w:r>
        <w:rPr>
          <w:rFonts w:ascii="Arial" w:cs="Arial" w:eastAsia="Arial" w:hAnsi="Arial"/>
          <w:b/>
          <w:bCs/>
          <w:color w:val="595959"/>
          <w:sz w:val="18"/>
          <w:szCs w:val="18"/>
        </w:rPr>
        <w:t xml:space="preserve">  (3 duties · Limited overlap)</w:t>
      </w:r>
    </w:p>
    <w:p>
      <w:pPr>
        <w:spacing w:after="4" w:before="0"/>
      </w:pPr>
      <w:r>
        <w:rPr>
          <w:rFonts w:ascii="Arial" w:cs="Arial" w:eastAsia="Arial" w:hAnsi="Arial"/>
          <w:sz w:val="19"/>
          <w:szCs w:val="19"/>
        </w:rPr>
        <w:t xml:space="preserve">Sources: Reg O (215); Reg W (223); SEC Reg S-K 404</w:t>
      </w:r>
    </w:p>
    <w:p>
      <w:pPr>
        <w:spacing w:after="4" w:before="0"/>
      </w:pPr>
      <w:r>
        <w:rPr>
          <w:rFonts w:ascii="Arial" w:cs="Arial" w:eastAsia="Arial" w:hAnsi="Arial"/>
          <w:sz w:val="19"/>
          <w:szCs w:val="19"/>
        </w:rPr>
        <w:t xml:space="preserve">Duplicative: Related-party and insider-transaction board review across banking and SEC rules.</w:t>
      </w:r>
    </w:p>
    <w:p>
      <w:pPr>
        <w:spacing w:after="4" w:before="0"/>
      </w:pPr>
      <w:r>
        <w:rPr>
          <w:rFonts w:ascii="Arial" w:cs="Arial" w:eastAsia="Arial" w:hAnsi="Arial"/>
          <w:sz w:val="19"/>
          <w:szCs w:val="19"/>
        </w:rPr>
        <w:t xml:space="preserve">Legally distinct: Reg O/W protect the insured bank; SEC protects investors.</w:t>
      </w:r>
    </w:p>
    <w:p>
      <w:pPr>
        <w:spacing w:after="90" w:before="0"/>
      </w:pPr>
      <w:r>
        <w:rPr>
          <w:rFonts w:ascii="Arial" w:cs="Arial" w:eastAsia="Arial" w:hAnsi="Arial"/>
          <w:color w:val="1F6B3B"/>
          <w:sz w:val="19"/>
          <w:szCs w:val="19"/>
        </w:rPr>
        <w:t xml:space="preserve">Minimum reform lever: Coordinate related-party review processes.</w:t>
      </w:r>
    </w:p>
    <w:p>
      <w:pPr>
        <w:keepNext/>
        <w:spacing w:after="10" w:before="110"/>
      </w:pPr>
      <w:r>
        <w:rPr>
          <w:rFonts w:ascii="Arial" w:cs="Arial" w:eastAsia="Arial" w:hAnsi="Arial"/>
          <w:b/>
          <w:bCs/>
          <w:color w:val="1F3864"/>
          <w:sz w:val="21"/>
          <w:szCs w:val="21"/>
        </w:rPr>
        <w:t xml:space="preserve">CRO / CRE appointment &amp; compensation</w:t>
      </w:r>
      <w:r>
        <w:rPr>
          <w:rFonts w:ascii="Arial" w:cs="Arial" w:eastAsia="Arial" w:hAnsi="Arial"/>
          <w:b/>
          <w:bCs/>
          <w:color w:val="BF8F00"/>
          <w:sz w:val="18"/>
          <w:szCs w:val="18"/>
        </w:rPr>
        <w:t xml:space="preserve">  (2 duties · Candidate redundancy)</w:t>
      </w:r>
    </w:p>
    <w:p>
      <w:pPr>
        <w:spacing w:after="4" w:before="0"/>
      </w:pPr>
      <w:r>
        <w:rPr>
          <w:rFonts w:ascii="Arial" w:cs="Arial" w:eastAsia="Arial" w:hAnsi="Arial"/>
          <w:sz w:val="19"/>
          <w:szCs w:val="19"/>
        </w:rPr>
        <w:t xml:space="preserve">Sources: Reg YY 252.33(b); OCC App. D I.E.7</w:t>
      </w:r>
    </w:p>
    <w:p>
      <w:pPr>
        <w:spacing w:after="4" w:before="0"/>
      </w:pPr>
      <w:r>
        <w:rPr>
          <w:rFonts w:ascii="Arial" w:cs="Arial" w:eastAsia="Arial" w:hAnsi="Arial"/>
          <w:sz w:val="19"/>
          <w:szCs w:val="19"/>
        </w:rPr>
        <w:t xml:space="preserve">Duplicative: Board approval of the same individual's appointment/pay at two levels.</w:t>
      </w:r>
    </w:p>
    <w:p>
      <w:pPr>
        <w:spacing w:after="4" w:before="0"/>
      </w:pPr>
      <w:r>
        <w:rPr>
          <w:rFonts w:ascii="Arial" w:cs="Arial" w:eastAsia="Arial" w:hAnsi="Arial"/>
          <w:sz w:val="19"/>
          <w:szCs w:val="19"/>
        </w:rPr>
        <w:t xml:space="preserve">Legally distinct: Bank-level independence-of-CRE-from-front-line structure is an OCC-specific control.</w:t>
      </w:r>
    </w:p>
    <w:p>
      <w:pPr>
        <w:spacing w:after="90" w:before="0"/>
      </w:pPr>
      <w:r>
        <w:rPr>
          <w:rFonts w:ascii="Arial" w:cs="Arial" w:eastAsia="Arial" w:hAnsi="Arial"/>
          <w:color w:val="1F6B3B"/>
          <w:sz w:val="19"/>
          <w:szCs w:val="19"/>
        </w:rPr>
        <w:t xml:space="preserve">Minimum reform lever: Consolidate into Reg YY; OCC incorporates by reference.</w:t>
      </w:r>
    </w:p>
    <w:p>
      <w:pPr>
        <w:keepNext/>
        <w:spacing w:after="10" w:before="110"/>
      </w:pPr>
      <w:r>
        <w:rPr>
          <w:rFonts w:ascii="Arial" w:cs="Arial" w:eastAsia="Arial" w:hAnsi="Arial"/>
          <w:b/>
          <w:bCs/>
          <w:color w:val="1F3864"/>
          <w:sz w:val="21"/>
          <w:szCs w:val="21"/>
        </w:rPr>
        <w:t xml:space="preserve">Director training</w:t>
      </w:r>
      <w:r>
        <w:rPr>
          <w:rFonts w:ascii="Arial" w:cs="Arial" w:eastAsia="Arial" w:hAnsi="Arial"/>
          <w:b/>
          <w:bCs/>
          <w:color w:val="BF8F00"/>
          <w:sz w:val="18"/>
          <w:szCs w:val="18"/>
        </w:rPr>
        <w:t xml:space="preserve">  (2 duties · Candidate redundancy)</w:t>
      </w:r>
    </w:p>
    <w:p>
      <w:pPr>
        <w:spacing w:after="4" w:before="0"/>
      </w:pPr>
      <w:r>
        <w:rPr>
          <w:rFonts w:ascii="Arial" w:cs="Arial" w:eastAsia="Arial" w:hAnsi="Arial"/>
          <w:sz w:val="19"/>
          <w:szCs w:val="19"/>
        </w:rPr>
        <w:t xml:space="preserve">Sources: OCC App. D III.E; SR 21-3 / Director's Book; BSA program rule</w:t>
      </w:r>
    </w:p>
    <w:p>
      <w:pPr>
        <w:spacing w:after="4" w:before="0"/>
      </w:pPr>
      <w:r>
        <w:rPr>
          <w:rFonts w:ascii="Arial" w:cs="Arial" w:eastAsia="Arial" w:hAnsi="Arial"/>
          <w:sz w:val="19"/>
          <w:szCs w:val="19"/>
        </w:rPr>
        <w:t xml:space="preserve">Duplicative: Ongoing director-training obligations from multiple sources, separately documented.</w:t>
      </w:r>
    </w:p>
    <w:p>
      <w:pPr>
        <w:spacing w:after="4" w:before="0"/>
      </w:pPr>
      <w:r>
        <w:rPr>
          <w:rFonts w:ascii="Arial" w:cs="Arial" w:eastAsia="Arial" w:hAnsi="Arial"/>
          <w:sz w:val="19"/>
          <w:szCs w:val="19"/>
        </w:rPr>
        <w:t xml:space="preserve">Legally distinct: BSA training is topic-specific.</w:t>
      </w:r>
    </w:p>
    <w:p>
      <w:pPr>
        <w:spacing w:after="90" w:before="0"/>
      </w:pPr>
      <w:r>
        <w:rPr>
          <w:rFonts w:ascii="Arial" w:cs="Arial" w:eastAsia="Arial" w:hAnsi="Arial"/>
          <w:color w:val="1F6B3B"/>
          <w:sz w:val="19"/>
          <w:szCs w:val="19"/>
        </w:rPr>
        <w:t xml:space="preserve">Minimum reform lever: One consolidated director-training program covering all topics.</w:t>
      </w:r>
    </w:p>
    <w:p>
      <w:pPr>
        <w:keepNext/>
        <w:spacing w:after="10" w:before="110"/>
      </w:pPr>
      <w:r>
        <w:rPr>
          <w:rFonts w:ascii="Arial" w:cs="Arial" w:eastAsia="Arial" w:hAnsi="Arial"/>
          <w:b/>
          <w:bCs/>
          <w:color w:val="1F3864"/>
          <w:sz w:val="21"/>
          <w:szCs w:val="21"/>
        </w:rPr>
        <w:t xml:space="preserve">Model risk governance</w:t>
      </w:r>
      <w:r>
        <w:rPr>
          <w:rFonts w:ascii="Arial" w:cs="Arial" w:eastAsia="Arial" w:hAnsi="Arial"/>
          <w:b/>
          <w:bCs/>
          <w:color w:val="595959"/>
          <w:sz w:val="18"/>
          <w:szCs w:val="18"/>
        </w:rPr>
        <w:t xml:space="preserve">  (2 duties · Mostly removed (2026))</w:t>
      </w:r>
    </w:p>
    <w:p>
      <w:pPr>
        <w:spacing w:after="4" w:before="0"/>
      </w:pPr>
      <w:r>
        <w:rPr>
          <w:rFonts w:ascii="Arial" w:cs="Arial" w:eastAsia="Arial" w:hAnsi="Arial"/>
          <w:sz w:val="19"/>
          <w:szCs w:val="19"/>
        </w:rPr>
        <w:t>Sources: SR 26-2 and OCC Bulletin 2026-13 (both eff. Apr. 17, 2026; superseding SR 11-7 and OCC Bulletin 2011-12); OCC App. D (residual)</w:t>
      </w:r>
    </w:p>
    <w:p>
      <w:pPr>
        <w:spacing w:after="4" w:before="0"/>
      </w:pPr>
      <w:r>
        <w:rPr>
          <w:rFonts w:ascii="Arial" w:cs="Arial" w:eastAsia="Arial" w:hAnsi="Arial"/>
          <w:sz w:val="19"/>
          <w:szCs w:val="19"/>
        </w:rPr>
        <w:t>Duplicative: Largely removed in 2026. Critically, SR 26-2 and OCC Bulletin 2026-13 are expressly non-prescriptive and non-enforceable — the guidance states that non-compliance “will not result in” supervisory action — so neither should be cited as the source of a binding board-approval mandate; any enforceable duty in this domain derives from safety-and-soundness law (12 U.S.C. 1831p-1; 12 CFR part 30 App. D), not the guidance. Residual oversight runs through the risk-governance framework.</w:t>
      </w:r>
    </w:p>
    <w:p>
      <w:pPr>
        <w:spacing w:after="4" w:before="0"/>
      </w:pPr>
      <w:r>
        <w:rPr>
          <w:rFonts w:ascii="Arial" w:cs="Arial" w:eastAsia="Arial" w:hAnsi="Arial"/>
          <w:sz w:val="19"/>
          <w:szCs w:val="19"/>
        </w:rPr>
        <w:t xml:space="preserve">Legally distinct: n/a</w:t>
      </w:r>
    </w:p>
    <w:p>
      <w:pPr>
        <w:spacing w:after="90" w:before="0"/>
      </w:pPr>
      <w:r>
        <w:rPr>
          <w:rFonts w:ascii="Arial" w:cs="Arial" w:eastAsia="Arial" w:hAnsi="Arial"/>
          <w:color w:val="1F6B3B"/>
          <w:sz w:val="19"/>
          <w:szCs w:val="19"/>
        </w:rPr>
        <w:t xml:space="preserve">Minimum reform lever: Confirm the Heightened Standards do not re-impose the dropped board duty.</w:t>
      </w:r>
    </w:p>
    <w:p>
      <w:pPr>
        <w:keepNext/>
        <w:spacing w:after="10" w:before="110"/>
      </w:pPr>
      <w:r>
        <w:rPr>
          <w:rFonts w:ascii="Arial" w:cs="Arial" w:eastAsia="Arial" w:hAnsi="Arial"/>
          <w:b/>
          <w:bCs/>
          <w:color w:val="1F3864"/>
          <w:sz w:val="21"/>
          <w:szCs w:val="21"/>
        </w:rPr>
        <w:t xml:space="preserve">Safety-and-soundness baseline</w:t>
      </w:r>
      <w:r>
        <w:rPr>
          <w:rFonts w:ascii="Arial" w:cs="Arial" w:eastAsia="Arial" w:hAnsi="Arial"/>
          <w:b/>
          <w:bCs/>
          <w:color w:val="595959"/>
          <w:sz w:val="18"/>
          <w:szCs w:val="18"/>
        </w:rPr>
        <w:t xml:space="preserve">  (1 duties · Limited overlap)</w:t>
      </w:r>
    </w:p>
    <w:p>
      <w:pPr>
        <w:spacing w:after="4" w:before="0"/>
      </w:pPr>
      <w:r>
        <w:rPr>
          <w:rFonts w:ascii="Arial" w:cs="Arial" w:eastAsia="Arial" w:hAnsi="Arial"/>
          <w:sz w:val="19"/>
          <w:szCs w:val="19"/>
        </w:rPr>
        <w:t xml:space="preserve">Sources: 12 CFR 30 App. A / 364 App. A</w:t>
      </w:r>
    </w:p>
    <w:p>
      <w:pPr>
        <w:spacing w:after="4" w:before="0"/>
      </w:pPr>
      <w:r>
        <w:rPr>
          <w:rFonts w:ascii="Arial" w:cs="Arial" w:eastAsia="Arial" w:hAnsi="Arial"/>
          <w:sz w:val="19"/>
          <w:szCs w:val="19"/>
        </w:rPr>
        <w:t xml:space="preserve">Duplicative: Broad standards can duplicate domain-specific programs.</w:t>
      </w:r>
    </w:p>
    <w:p>
      <w:pPr>
        <w:spacing w:after="4" w:before="0"/>
      </w:pPr>
      <w:r>
        <w:rPr>
          <w:rFonts w:ascii="Arial" w:cs="Arial" w:eastAsia="Arial" w:hAnsi="Arial"/>
          <w:sz w:val="19"/>
          <w:szCs w:val="19"/>
        </w:rPr>
        <w:t xml:space="preserve">Legally distinct: Residual baseline.</w:t>
      </w:r>
    </w:p>
    <w:p>
      <w:pPr>
        <w:spacing w:after="90" w:before="0"/>
      </w:pPr>
      <w:r>
        <w:rPr>
          <w:rFonts w:ascii="Arial" w:cs="Arial" w:eastAsia="Arial" w:hAnsi="Arial"/>
          <w:color w:val="1F6B3B"/>
          <w:sz w:val="19"/>
          <w:szCs w:val="19"/>
        </w:rPr>
        <w:t xml:space="preserve">Minimum reform lever: Treat as baseline; avoid re-imposing in domain rules.</w:t>
      </w:r>
    </w:p>
    <w:p>
      <w:pPr>
        <w:keepNext/>
        <w:spacing w:after="10" w:before="110"/>
      </w:pPr>
      <w:r>
        <w:rPr>
          <w:rFonts w:ascii="Arial" w:cs="Arial" w:eastAsia="Arial" w:hAnsi="Arial"/>
          <w:b/>
          <w:bCs/>
          <w:color w:val="1F3864"/>
          <w:sz w:val="21"/>
          <w:szCs w:val="21"/>
        </w:rPr>
        <w:t xml:space="preserve">Source of strength / charter sanctity</w:t>
      </w:r>
      <w:r>
        <w:rPr>
          <w:rFonts w:ascii="Arial" w:cs="Arial" w:eastAsia="Arial" w:hAnsi="Arial"/>
          <w:b/>
          <w:bCs/>
          <w:color w:val="595959"/>
          <w:sz w:val="18"/>
          <w:szCs w:val="18"/>
        </w:rPr>
        <w:t xml:space="preserve">  (1 duties · Unique (tension, not overlap))</w:t>
      </w:r>
    </w:p>
    <w:p>
      <w:pPr>
        <w:spacing w:after="4" w:before="0"/>
      </w:pPr>
      <w:r>
        <w:rPr>
          <w:rFonts w:ascii="Arial" w:cs="Arial" w:eastAsia="Arial" w:hAnsi="Arial"/>
          <w:sz w:val="19"/>
          <w:szCs w:val="19"/>
        </w:rPr>
        <w:t xml:space="preserve">Sources: 12 U.S.C. 1831o-1; Reg Y 225.4(a); OCC sanctity-of-charter</w:t>
      </w:r>
    </w:p>
    <w:p>
      <w:pPr>
        <w:spacing w:after="4" w:before="0"/>
      </w:pPr>
      <w:r>
        <w:rPr>
          <w:rFonts w:ascii="Arial" w:cs="Arial" w:eastAsia="Arial" w:hAnsi="Arial"/>
          <w:sz w:val="19"/>
          <w:szCs w:val="19"/>
        </w:rPr>
        <w:t xml:space="preserve">Duplicative: None; a tension rather than a duplication.</w:t>
      </w:r>
    </w:p>
    <w:p>
      <w:pPr>
        <w:spacing w:after="4" w:before="0"/>
      </w:pPr>
      <w:r>
        <w:rPr>
          <w:rFonts w:ascii="Arial" w:cs="Arial" w:eastAsia="Arial" w:hAnsi="Arial"/>
          <w:sz w:val="19"/>
          <w:szCs w:val="19"/>
        </w:rPr>
        <w:t xml:space="preserve">Legally distinct: Parent-support duty vs. bank-board duty to protect the bank.</w:t>
      </w:r>
    </w:p>
    <w:p>
      <w:pPr>
        <w:spacing w:after="90" w:before="0"/>
      </w:pPr>
      <w:r>
        <w:rPr>
          <w:rFonts w:ascii="Arial" w:cs="Arial" w:eastAsia="Arial" w:hAnsi="Arial"/>
          <w:color w:val="1F6B3B"/>
          <w:sz w:val="19"/>
          <w:szCs w:val="19"/>
        </w:rPr>
        <w:t xml:space="preserve">Minimum reform lever: Clarify the interaction for overlapping directors.</w:t>
      </w:r>
    </w:p>
    <w:p>
      <w:r>
        <w:br w:type="page"/>
      </w:r>
    </w:p>
    <w:p>
      <w:pPr>
        <w:pStyle w:val="Heading1"/>
      </w:pPr>
      <w:r>
        <w:t>Personal and individual-director liability (analytically distinct)</w:t>
      </w:r>
    </w:p>
    <w:p>
      <w:r>
        <w:t>Scope note. The items below run to the individual director rather than to the board as a governance body, and several are triggered only in enforcement, receivership, or resolution. Following the Caffrey2 memo, they are catalogued because personal-liability exposure amplifies the cumulative burden of the board duties inventoried above — but they are analytically distinct and are NOT counted in any enumeration of recurring annual board actions or in the burden model. Caffrey2-sourced; verify.</w:t>
      </w:r>
    </w:p>
    <w:p>
      <w:r>
        <w:rPr>
          <w:b/>
        </w:rPr>
        <w:t>PLB-01  —  Each director  ·  BHC &amp; IDI</w:t>
      </w:r>
    </w:p>
    <w:p>
      <w:r>
        <w:t>Criminal liability for false entries: every director of a bank or BHC is subject to the same criminal penalties for false entries.</w:t>
      </w:r>
    </w:p>
    <w:p>
      <w:r>
        <w:t>Source: 18 U.S.C. 1005; 12 U.S.C. 1847(a)(2). [URL not captured]</w:t>
      </w:r>
    </w:p>
    <w:p>
      <w:r>
        <w:rPr>
          <w:i/>
        </w:rPr>
        <w:t>Legal force: Statute  ·  Consequence: Criminal  ·  Cadence: Event-driven  ·  Cluster: Personal liability  ·  Redundancy: n/a (individual)  ·  Confidence: Medium (Caffrey2-sourced; verify against primary source)</w:t>
      </w:r>
    </w:p>
    <w:p>
      <w:r>
        <w:rPr>
          <w:i/>
        </w:rPr>
        <w:t>Note: Individual exposure, not a board-level governance action.</w:t>
      </w:r>
    </w:p>
    <w:p>
      <w:r>
        <w:rPr>
          <w:b/>
        </w:rPr>
        <w:t>PLB-02  —  Each director  ·  BHC &amp; IDI</w:t>
      </w:r>
    </w:p>
    <w:p>
      <w:r>
        <w:t>Removal and prohibition: an institution-affiliated party may be removed/prohibited for misconduct, and a director with knowledge of a violation must take action to stop or prevent recurrence.</w:t>
      </w:r>
    </w:p>
    <w:p>
      <w:r>
        <w:t>Source: FDI Act §8(e); §8(e)(2)(B). [URL not captured]</w:t>
      </w:r>
    </w:p>
    <w:p>
      <w:r>
        <w:rPr>
          <w:i/>
        </w:rPr>
        <w:t>Legal force: Statute  ·  Consequence: Removal/prohibition; CMP  ·  Cadence: Event-driven  ·  Cluster: Personal liability  ·  Redundancy: n/a (individual)  ·  Confidence: Medium (Caffrey2-sourced; verify against primary source)</w:t>
      </w:r>
    </w:p>
    <w:p>
      <w:r>
        <w:rPr>
          <w:i/>
        </w:rPr>
        <w:t>Note: Individual exposure; bears on the risk calculus of board service.</w:t>
      </w:r>
    </w:p>
    <w:p>
      <w:r>
        <w:rPr>
          <w:b/>
        </w:rPr>
        <w:t>PLB-03  —  Each director  ·  BHC &amp; IDI</w:t>
      </w:r>
    </w:p>
    <w:p>
      <w:r>
        <w:t>Receivership / orderly-liquidation liability: personal liability for gross negligence in FDIC-as-receiver actions, and §210(s) compensation recoupment from directors “substantially responsible” for the failure under a negligence standard, with the burden on the director.</w:t>
      </w:r>
    </w:p>
    <w:p>
      <w:r>
        <w:t>Source: 12 U.S.C. 1821(k); 12 U.S.C. 5390(f); 12 U.S.C. 5390(s); 12 CFR 380.7. [URL not captured]</w:t>
      </w:r>
    </w:p>
    <w:p>
      <w:r>
        <w:rPr>
          <w:i/>
        </w:rPr>
        <w:t>Legal force: Statute  ·  Consequence: Monetary damages; comp recoupment  ·  Cadence: Event-driven (resolution)  ·  Cluster: Personal liability  ·  Redundancy: n/a (individual)  ·  Confidence: Medium (Caffrey2-sourced; verify against primary source)</w:t>
      </w:r>
    </w:p>
    <w:p>
      <w:r>
        <w:rPr>
          <w:i/>
        </w:rPr>
        <w:t>Note: Two culpability standards apply — gross negligence for damages, simple negligence for recoupment.</w:t>
      </w:r>
    </w:p>
    <w:p>
      <w:r>
        <w:rPr>
          <w:b/>
        </w:rPr>
        <w:t>PLB-04  —  Full board / each director  ·  BHC &amp; IDI</w:t>
      </w:r>
    </w:p>
    <w:p>
      <w:r>
        <w:t>Indemnification limits, D&amp;O insurance, and fidelity bonds: Part 359 prohibits indemnifying culpable IAPs; the board bears a cost-benefit duty on D&amp;O coverage and on maintaining adequate fidelity bonds.</w:t>
      </w:r>
    </w:p>
    <w:p>
      <w:r>
        <w:t>Source: 12 CFR part 359; 12 U.S.C. 1818(n); OCC Director’s Book (D&amp;O / fidelity-bond expectations). [URL not captured]</w:t>
      </w:r>
    </w:p>
    <w:p>
      <w:r>
        <w:rPr>
          <w:i/>
        </w:rPr>
        <w:t>Legal force: Regulation / supervisory expectation  ·  Consequence: Prohibited-payment liability; personal loss exposure  ·  Cadence: Periodic / event-driven  ·  Cluster: Personal liability  ·  Redundancy: n/a (individual)  ·  Confidence: Medium (Caffrey2-sourced; verify against primary source)</w:t>
      </w:r>
    </w:p>
    <w:p>
      <w:r>
        <w:rPr>
          <w:i/>
        </w:rPr>
        <w:t>Cross-cutting: a single prudence objective is enforced through three federal mechanisms with two culpability standards; the chief internal tension is between 12 U.S.C. 1818(n) fee-shifting and Part 359’s prohibition on indemnifying culpable parties.</w:t>
      </w:r>
    </w:p>
    <w:p>
      <w:pPr>
        <w:pStyle w:val="Heading1"/>
      </w:pPr>
      <w:r>
        <w:t xml:space="preserve">Burden model — illustrative annual board hours</w:t>
      </w:r>
    </w:p>
    <w:p>
      <w:pPr>
        <w:pStyle w:val="ListParagraph"/>
        <w:numPr>
          <w:ilvl w:val="0"/>
          <w:numId w:val="2"/>
        </w:numPr>
        <w:spacing w:after="60"/>
      </w:pPr>
      <w:r>
        <w:rPr>
          <w:rFonts w:ascii="Arial" w:cs="Arial" w:eastAsia="Arial" w:hAnsi="Arial"/>
          <w:sz w:val="21"/>
          <w:szCs w:val="21"/>
        </w:rPr>
        <w:t xml:space="preserve">Unit: hours per director per year for a director sitting on the full board plus the relevant committee(s); a director on multiple committees aggregates across rows.</w:t>
      </w:r>
    </w:p>
    <w:p>
      <w:pPr>
        <w:pStyle w:val="ListParagraph"/>
        <w:numPr>
          <w:ilvl w:val="0"/>
          <w:numId w:val="2"/>
        </w:numPr>
        <w:spacing w:after="60"/>
      </w:pPr>
      <w:r>
        <w:rPr>
          <w:rFonts w:ascii="Arial" w:cs="Arial" w:eastAsia="Arial" w:hAnsi="Arial"/>
          <w:sz w:val="21"/>
          <w:szCs w:val="21"/>
        </w:rPr>
        <w:t xml:space="preserve">Each row = a duty-cluster, not an individual citation, to avoid double-counting overlapping duties.</w:t>
      </w:r>
    </w:p>
    <w:p>
      <w:pPr>
        <w:pStyle w:val="ListParagraph"/>
        <w:numPr>
          <w:ilvl w:val="0"/>
          <w:numId w:val="2"/>
        </w:numPr>
        <w:spacing w:after="60"/>
      </w:pPr>
      <w:r>
        <w:rPr>
          <w:rFonts w:ascii="Arial" w:cs="Arial" w:eastAsia="Arial" w:hAnsi="Arial"/>
          <w:sz w:val="21"/>
          <w:szCs w:val="21"/>
        </w:rPr>
        <w:t xml:space="preserve">'Board/cmte hrs' = in-meeting time; 'Prep hrs' = director reading/preparation; figures are per year.</w:t>
      </w:r>
    </w:p>
    <w:p>
      <w:pPr>
        <w:pStyle w:val="ListParagraph"/>
        <w:numPr>
          <w:ilvl w:val="0"/>
          <w:numId w:val="2"/>
        </w:numPr>
        <w:spacing w:after="60"/>
      </w:pPr>
      <w:r>
        <w:rPr>
          <w:rFonts w:ascii="Arial" w:cs="Arial" w:eastAsia="Arial" w:hAnsi="Arial"/>
          <w:sz w:val="21"/>
          <w:szCs w:val="21"/>
        </w:rPr>
        <w:t xml:space="preserve">'Incremental?' flags whether the hours are additional to normal board work (Yes), partly additional (Partial), or largely subsumed in regular meetings (No).</w:t>
      </w:r>
    </w:p>
    <w:p>
      <w:pPr>
        <w:pStyle w:val="ListParagraph"/>
        <w:numPr>
          <w:ilvl w:val="0"/>
          <w:numId w:val="2"/>
        </w:numPr>
        <w:spacing w:after="60"/>
      </w:pPr>
      <w:r>
        <w:rPr>
          <w:rFonts w:ascii="Arial" w:cs="Arial" w:eastAsia="Arial" w:hAnsi="Arial"/>
          <w:sz w:val="21"/>
          <w:szCs w:val="21"/>
        </w:rPr>
        <w:t xml:space="preserve">Ranges are low–high to express uncertainty; the base estimate is the midpoint. Sources: governance-practice norms and the Kimi model; all figures are illustrative, not measured.</w:t>
      </w:r>
    </w:p>
    <w:p>
      <w:pPr>
        <w:spacing w:after="40" w:before="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100"/>
        <w:gridCol w:w="1200"/>
        <w:gridCol w:w="900"/>
        <w:gridCol w:w="1160"/>
        <w:gridCol w:w="460"/>
        <w:gridCol w:w="440"/>
      </w:tblGrid>
      <w:tr>
        <w:tc>
          <w:tcPr>
            <w:tcW w:type="dxa" w:w="2600"/>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Duty cluster</w:t>
            </w:r>
          </w:p>
        </w:tc>
        <w:tc>
          <w:tcPr>
            <w:tcW w:type="dxa" w:w="1500"/>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Primary body</w:t>
            </w:r>
          </w:p>
        </w:tc>
        <w:tc>
          <w:tcPr>
            <w:tcW w:type="dxa" w:w="1100"/>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Meetings/yr</w:t>
            </w:r>
          </w:p>
        </w:tc>
        <w:tc>
          <w:tcPr>
            <w:tcW w:type="dxa" w:w="1200"/>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Board+cmte hrs</w:t>
            </w:r>
          </w:p>
        </w:tc>
        <w:tc>
          <w:tcPr>
            <w:tcW w:type="dxa" w:w="900"/>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Prep hrs</w:t>
            </w:r>
          </w:p>
        </w:tc>
        <w:tc>
          <w:tcPr>
            <w:tcW w:type="dxa" w:w="1160"/>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Incremental?</w:t>
            </w:r>
          </w:p>
        </w:tc>
        <w:tc>
          <w:tcPr>
            <w:tcW w:type="dxa" w:w="460"/>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Low</w:t>
            </w:r>
          </w:p>
        </w:tc>
        <w:tc>
          <w:tcPr>
            <w:tcW w:type="dxa" w:w="440"/>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High</w:t>
            </w:r>
          </w:p>
        </w:tc>
      </w:tr>
      <w:tr>
        <w:tc>
          <w:tcPr>
            <w:tcW w:type="dxa" w:w="26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Risk committee architecture</w:t>
            </w:r>
          </w:p>
        </w:tc>
        <w:tc>
          <w:tcPr>
            <w:tcW w:type="dxa" w:w="15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Risk cmte</w:t>
            </w:r>
          </w:p>
        </w:tc>
        <w:tc>
          <w:tcPr>
            <w:tcW w:type="dxa" w:w="11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6-8</w:t>
            </w:r>
          </w:p>
        </w:tc>
        <w:tc>
          <w:tcPr>
            <w:tcW w:type="dxa" w:w="12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18</w:t>
            </w:r>
          </w:p>
        </w:tc>
        <w:tc>
          <w:tcPr>
            <w:tcW w:type="dxa" w:w="9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14</w:t>
            </w:r>
          </w:p>
        </w:tc>
        <w:tc>
          <w:tcPr>
            <w:tcW w:type="dxa" w:w="11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Partial</w:t>
            </w:r>
          </w:p>
        </w:tc>
        <w:tc>
          <w:tcPr>
            <w:tcW w:type="dxa" w:w="4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24</w:t>
            </w:r>
          </w:p>
        </w:tc>
        <w:tc>
          <w:tcPr>
            <w:tcW w:type="dxa" w:w="44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40</w:t>
            </w:r>
          </w:p>
        </w:tc>
      </w:tr>
      <w:tr>
        <w:tc>
          <w:tcPr>
            <w:tcW w:type="dxa" w:w="26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Risk appetite statement</w:t>
            </w:r>
          </w:p>
        </w:tc>
        <w:tc>
          <w:tcPr>
            <w:tcW w:type="dxa" w:w="15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Risk cmte / board</w:t>
            </w:r>
          </w:p>
        </w:tc>
        <w:tc>
          <w:tcPr>
            <w:tcW w:type="dxa" w:w="11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2</w:t>
            </w:r>
          </w:p>
        </w:tc>
        <w:tc>
          <w:tcPr>
            <w:tcW w:type="dxa" w:w="12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8</w:t>
            </w:r>
          </w:p>
        </w:tc>
        <w:tc>
          <w:tcPr>
            <w:tcW w:type="dxa" w:w="9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8</w:t>
            </w:r>
          </w:p>
        </w:tc>
        <w:tc>
          <w:tcPr>
            <w:tcW w:type="dxa" w:w="116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Partial</w:t>
            </w:r>
          </w:p>
        </w:tc>
        <w:tc>
          <w:tcPr>
            <w:tcW w:type="dxa" w:w="46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12</w:t>
            </w:r>
          </w:p>
        </w:tc>
        <w:tc>
          <w:tcPr>
            <w:tcW w:type="dxa" w:w="44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24</w:t>
            </w:r>
          </w:p>
        </w:tc>
      </w:tr>
      <w:tr>
        <w:tc>
          <w:tcPr>
            <w:tcW w:type="dxa" w:w="26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CRO/CRE appointment &amp; compensation</w:t>
            </w:r>
          </w:p>
        </w:tc>
        <w:tc>
          <w:tcPr>
            <w:tcW w:type="dxa" w:w="15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Risk cmte</w:t>
            </w:r>
          </w:p>
        </w:tc>
        <w:tc>
          <w:tcPr>
            <w:tcW w:type="dxa" w:w="11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2</w:t>
            </w:r>
          </w:p>
        </w:tc>
        <w:tc>
          <w:tcPr>
            <w:tcW w:type="dxa" w:w="12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6</w:t>
            </w:r>
          </w:p>
        </w:tc>
        <w:tc>
          <w:tcPr>
            <w:tcW w:type="dxa" w:w="9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4</w:t>
            </w:r>
          </w:p>
        </w:tc>
        <w:tc>
          <w:tcPr>
            <w:tcW w:type="dxa" w:w="11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No</w:t>
            </w:r>
          </w:p>
        </w:tc>
        <w:tc>
          <w:tcPr>
            <w:tcW w:type="dxa" w:w="4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8</w:t>
            </w:r>
          </w:p>
        </w:tc>
        <w:tc>
          <w:tcPr>
            <w:tcW w:type="dxa" w:w="44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12</w:t>
            </w:r>
          </w:p>
        </w:tc>
      </w:tr>
      <w:tr>
        <w:tc>
          <w:tcPr>
            <w:tcW w:type="dxa" w:w="26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Capital planning &amp; stress testing</w:t>
            </w:r>
          </w:p>
        </w:tc>
        <w:tc>
          <w:tcPr>
            <w:tcW w:type="dxa" w:w="15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Risk cmte / board</w:t>
            </w:r>
          </w:p>
        </w:tc>
        <w:tc>
          <w:tcPr>
            <w:tcW w:type="dxa" w:w="11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4</w:t>
            </w:r>
          </w:p>
        </w:tc>
        <w:tc>
          <w:tcPr>
            <w:tcW w:type="dxa" w:w="12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18</w:t>
            </w:r>
          </w:p>
        </w:tc>
        <w:tc>
          <w:tcPr>
            <w:tcW w:type="dxa" w:w="9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16</w:t>
            </w:r>
          </w:p>
        </w:tc>
        <w:tc>
          <w:tcPr>
            <w:tcW w:type="dxa" w:w="116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Yes</w:t>
            </w:r>
          </w:p>
        </w:tc>
        <w:tc>
          <w:tcPr>
            <w:tcW w:type="dxa" w:w="46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30</w:t>
            </w:r>
          </w:p>
        </w:tc>
        <w:tc>
          <w:tcPr>
            <w:tcW w:type="dxa" w:w="44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45</w:t>
            </w:r>
          </w:p>
        </w:tc>
      </w:tr>
      <w:tr>
        <w:tc>
          <w:tcPr>
            <w:tcW w:type="dxa" w:w="26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Liquidity risk management</w:t>
            </w:r>
          </w:p>
        </w:tc>
        <w:tc>
          <w:tcPr>
            <w:tcW w:type="dxa" w:w="15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Risk cmte / board</w:t>
            </w:r>
          </w:p>
        </w:tc>
        <w:tc>
          <w:tcPr>
            <w:tcW w:type="dxa" w:w="11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4</w:t>
            </w:r>
          </w:p>
        </w:tc>
        <w:tc>
          <w:tcPr>
            <w:tcW w:type="dxa" w:w="12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10</w:t>
            </w:r>
          </w:p>
        </w:tc>
        <w:tc>
          <w:tcPr>
            <w:tcW w:type="dxa" w:w="9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8</w:t>
            </w:r>
          </w:p>
        </w:tc>
        <w:tc>
          <w:tcPr>
            <w:tcW w:type="dxa" w:w="11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Partial</w:t>
            </w:r>
          </w:p>
        </w:tc>
        <w:tc>
          <w:tcPr>
            <w:tcW w:type="dxa" w:w="4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14</w:t>
            </w:r>
          </w:p>
        </w:tc>
        <w:tc>
          <w:tcPr>
            <w:tcW w:type="dxa" w:w="44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22</w:t>
            </w:r>
          </w:p>
        </w:tc>
      </w:tr>
      <w:tr>
        <w:tc>
          <w:tcPr>
            <w:tcW w:type="dxa" w:w="26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Resolution, recovery &amp; contingency funding</w:t>
            </w:r>
          </w:p>
        </w:tc>
        <w:tc>
          <w:tcPr>
            <w:tcW w:type="dxa" w:w="15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Board / risk cmte</w:t>
            </w:r>
          </w:p>
        </w:tc>
        <w:tc>
          <w:tcPr>
            <w:tcW w:type="dxa" w:w="11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2-3</w:t>
            </w:r>
          </w:p>
        </w:tc>
        <w:tc>
          <w:tcPr>
            <w:tcW w:type="dxa" w:w="12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30</w:t>
            </w:r>
          </w:p>
        </w:tc>
        <w:tc>
          <w:tcPr>
            <w:tcW w:type="dxa" w:w="9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20</w:t>
            </w:r>
          </w:p>
        </w:tc>
        <w:tc>
          <w:tcPr>
            <w:tcW w:type="dxa" w:w="116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Yes</w:t>
            </w:r>
          </w:p>
        </w:tc>
        <w:tc>
          <w:tcPr>
            <w:tcW w:type="dxa" w:w="46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45</w:t>
            </w:r>
          </w:p>
        </w:tc>
        <w:tc>
          <w:tcPr>
            <w:tcW w:type="dxa" w:w="44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65</w:t>
            </w:r>
          </w:p>
        </w:tc>
      </w:tr>
      <w:tr>
        <w:tc>
          <w:tcPr>
            <w:tcW w:type="dxa" w:w="26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Audit committee &amp; independence</w:t>
            </w:r>
          </w:p>
        </w:tc>
        <w:tc>
          <w:tcPr>
            <w:tcW w:type="dxa" w:w="15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Audit cmte</w:t>
            </w:r>
          </w:p>
        </w:tc>
        <w:tc>
          <w:tcPr>
            <w:tcW w:type="dxa" w:w="11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8-10</w:t>
            </w:r>
          </w:p>
        </w:tc>
        <w:tc>
          <w:tcPr>
            <w:tcW w:type="dxa" w:w="12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30</w:t>
            </w:r>
          </w:p>
        </w:tc>
        <w:tc>
          <w:tcPr>
            <w:tcW w:type="dxa" w:w="9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20</w:t>
            </w:r>
          </w:p>
        </w:tc>
        <w:tc>
          <w:tcPr>
            <w:tcW w:type="dxa" w:w="11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Partial</w:t>
            </w:r>
          </w:p>
        </w:tc>
        <w:tc>
          <w:tcPr>
            <w:tcW w:type="dxa" w:w="4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48</w:t>
            </w:r>
          </w:p>
        </w:tc>
        <w:tc>
          <w:tcPr>
            <w:tcW w:type="dxa" w:w="44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68</w:t>
            </w:r>
          </w:p>
        </w:tc>
      </w:tr>
      <w:tr>
        <w:tc>
          <w:tcPr>
            <w:tcW w:type="dxa" w:w="26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Internal control over financial reporting (ICFR)</w:t>
            </w:r>
          </w:p>
        </w:tc>
        <w:tc>
          <w:tcPr>
            <w:tcW w:type="dxa" w:w="15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Audit cmte</w:t>
            </w:r>
          </w:p>
        </w:tc>
        <w:tc>
          <w:tcPr>
            <w:tcW w:type="dxa" w:w="11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fiscal+cal</w:t>
            </w:r>
          </w:p>
        </w:tc>
        <w:tc>
          <w:tcPr>
            <w:tcW w:type="dxa" w:w="12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18</w:t>
            </w:r>
          </w:p>
        </w:tc>
        <w:tc>
          <w:tcPr>
            <w:tcW w:type="dxa" w:w="9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12</w:t>
            </w:r>
          </w:p>
        </w:tc>
        <w:tc>
          <w:tcPr>
            <w:tcW w:type="dxa" w:w="116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Partial</w:t>
            </w:r>
          </w:p>
        </w:tc>
        <w:tc>
          <w:tcPr>
            <w:tcW w:type="dxa" w:w="46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30</w:t>
            </w:r>
          </w:p>
        </w:tc>
        <w:tc>
          <w:tcPr>
            <w:tcW w:type="dxa" w:w="44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48</w:t>
            </w:r>
          </w:p>
        </w:tc>
      </w:tr>
      <w:tr>
        <w:tc>
          <w:tcPr>
            <w:tcW w:type="dxa" w:w="26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Information security &amp; cybersecurity</w:t>
            </w:r>
          </w:p>
        </w:tc>
        <w:tc>
          <w:tcPr>
            <w:tcW w:type="dxa" w:w="15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Risk/audit cmte</w:t>
            </w:r>
          </w:p>
        </w:tc>
        <w:tc>
          <w:tcPr>
            <w:tcW w:type="dxa" w:w="11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2-4</w:t>
            </w:r>
          </w:p>
        </w:tc>
        <w:tc>
          <w:tcPr>
            <w:tcW w:type="dxa" w:w="12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10</w:t>
            </w:r>
          </w:p>
        </w:tc>
        <w:tc>
          <w:tcPr>
            <w:tcW w:type="dxa" w:w="9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8</w:t>
            </w:r>
          </w:p>
        </w:tc>
        <w:tc>
          <w:tcPr>
            <w:tcW w:type="dxa" w:w="11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Partial</w:t>
            </w:r>
          </w:p>
        </w:tc>
        <w:tc>
          <w:tcPr>
            <w:tcW w:type="dxa" w:w="4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14</w:t>
            </w:r>
          </w:p>
        </w:tc>
        <w:tc>
          <w:tcPr>
            <w:tcW w:type="dxa" w:w="44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22</w:t>
            </w:r>
          </w:p>
        </w:tc>
      </w:tr>
      <w:tr>
        <w:tc>
          <w:tcPr>
            <w:tcW w:type="dxa" w:w="26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BSA/AML program</w:t>
            </w:r>
          </w:p>
        </w:tc>
        <w:tc>
          <w:tcPr>
            <w:tcW w:type="dxa" w:w="15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Board / risk cmte</w:t>
            </w:r>
          </w:p>
        </w:tc>
        <w:tc>
          <w:tcPr>
            <w:tcW w:type="dxa" w:w="11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2-4</w:t>
            </w:r>
          </w:p>
        </w:tc>
        <w:tc>
          <w:tcPr>
            <w:tcW w:type="dxa" w:w="12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8</w:t>
            </w:r>
          </w:p>
        </w:tc>
        <w:tc>
          <w:tcPr>
            <w:tcW w:type="dxa" w:w="9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6</w:t>
            </w:r>
          </w:p>
        </w:tc>
        <w:tc>
          <w:tcPr>
            <w:tcW w:type="dxa" w:w="116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Partial</w:t>
            </w:r>
          </w:p>
        </w:tc>
        <w:tc>
          <w:tcPr>
            <w:tcW w:type="dxa" w:w="46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12</w:t>
            </w:r>
          </w:p>
        </w:tc>
        <w:tc>
          <w:tcPr>
            <w:tcW w:type="dxa" w:w="44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18</w:t>
            </w:r>
          </w:p>
        </w:tc>
      </w:tr>
      <w:tr>
        <w:tc>
          <w:tcPr>
            <w:tcW w:type="dxa" w:w="26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Third-party risk management</w:t>
            </w:r>
          </w:p>
        </w:tc>
        <w:tc>
          <w:tcPr>
            <w:tcW w:type="dxa" w:w="15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Risk cmte</w:t>
            </w:r>
          </w:p>
        </w:tc>
        <w:tc>
          <w:tcPr>
            <w:tcW w:type="dxa" w:w="11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2-4</w:t>
            </w:r>
          </w:p>
        </w:tc>
        <w:tc>
          <w:tcPr>
            <w:tcW w:type="dxa" w:w="12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6</w:t>
            </w:r>
          </w:p>
        </w:tc>
        <w:tc>
          <w:tcPr>
            <w:tcW w:type="dxa" w:w="9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6</w:t>
            </w:r>
          </w:p>
        </w:tc>
        <w:tc>
          <w:tcPr>
            <w:tcW w:type="dxa" w:w="11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Partial</w:t>
            </w:r>
          </w:p>
        </w:tc>
        <w:tc>
          <w:tcPr>
            <w:tcW w:type="dxa" w:w="4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8</w:t>
            </w:r>
          </w:p>
        </w:tc>
        <w:tc>
          <w:tcPr>
            <w:tcW w:type="dxa" w:w="44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16</w:t>
            </w:r>
          </w:p>
        </w:tc>
      </w:tr>
      <w:tr>
        <w:tc>
          <w:tcPr>
            <w:tcW w:type="dxa" w:w="26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Incentive compensation</w:t>
            </w:r>
          </w:p>
        </w:tc>
        <w:tc>
          <w:tcPr>
            <w:tcW w:type="dxa" w:w="15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Comp cmte</w:t>
            </w:r>
          </w:p>
        </w:tc>
        <w:tc>
          <w:tcPr>
            <w:tcW w:type="dxa" w:w="11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6-8</w:t>
            </w:r>
          </w:p>
        </w:tc>
        <w:tc>
          <w:tcPr>
            <w:tcW w:type="dxa" w:w="12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16</w:t>
            </w:r>
          </w:p>
        </w:tc>
        <w:tc>
          <w:tcPr>
            <w:tcW w:type="dxa" w:w="9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10</w:t>
            </w:r>
          </w:p>
        </w:tc>
        <w:tc>
          <w:tcPr>
            <w:tcW w:type="dxa" w:w="116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Partial</w:t>
            </w:r>
          </w:p>
        </w:tc>
        <w:tc>
          <w:tcPr>
            <w:tcW w:type="dxa" w:w="46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24</w:t>
            </w:r>
          </w:p>
        </w:tc>
        <w:tc>
          <w:tcPr>
            <w:tcW w:type="dxa" w:w="44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32</w:t>
            </w:r>
          </w:p>
        </w:tc>
      </w:tr>
      <w:tr>
        <w:tc>
          <w:tcPr>
            <w:tcW w:type="dxa" w:w="26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Operational resilience / BCM</w:t>
            </w:r>
          </w:p>
        </w:tc>
        <w:tc>
          <w:tcPr>
            <w:tcW w:type="dxa" w:w="15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Risk cmte</w:t>
            </w:r>
          </w:p>
        </w:tc>
        <w:tc>
          <w:tcPr>
            <w:tcW w:type="dxa" w:w="11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2</w:t>
            </w:r>
          </w:p>
        </w:tc>
        <w:tc>
          <w:tcPr>
            <w:tcW w:type="dxa" w:w="12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6</w:t>
            </w:r>
          </w:p>
        </w:tc>
        <w:tc>
          <w:tcPr>
            <w:tcW w:type="dxa" w:w="9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4</w:t>
            </w:r>
          </w:p>
        </w:tc>
        <w:tc>
          <w:tcPr>
            <w:tcW w:type="dxa" w:w="11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Partial</w:t>
            </w:r>
          </w:p>
        </w:tc>
        <w:tc>
          <w:tcPr>
            <w:tcW w:type="dxa" w:w="4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8</w:t>
            </w:r>
          </w:p>
        </w:tc>
        <w:tc>
          <w:tcPr>
            <w:tcW w:type="dxa" w:w="44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14</w:t>
            </w:r>
          </w:p>
        </w:tc>
      </w:tr>
      <w:tr>
        <w:tc>
          <w:tcPr>
            <w:tcW w:type="dxa" w:w="26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Director training, self-assessment &amp; effectiveness</w:t>
            </w:r>
          </w:p>
        </w:tc>
        <w:tc>
          <w:tcPr>
            <w:tcW w:type="dxa" w:w="15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Board / governance cmte</w:t>
            </w:r>
          </w:p>
        </w:tc>
        <w:tc>
          <w:tcPr>
            <w:tcW w:type="dxa" w:w="11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2</w:t>
            </w:r>
          </w:p>
        </w:tc>
        <w:tc>
          <w:tcPr>
            <w:tcW w:type="dxa" w:w="12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10</w:t>
            </w:r>
          </w:p>
        </w:tc>
        <w:tc>
          <w:tcPr>
            <w:tcW w:type="dxa" w:w="9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6</w:t>
            </w:r>
          </w:p>
        </w:tc>
        <w:tc>
          <w:tcPr>
            <w:tcW w:type="dxa" w:w="116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Partial</w:t>
            </w:r>
          </w:p>
        </w:tc>
        <w:tc>
          <w:tcPr>
            <w:tcW w:type="dxa" w:w="46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12</w:t>
            </w:r>
          </w:p>
        </w:tc>
        <w:tc>
          <w:tcPr>
            <w:tcW w:type="dxa" w:w="44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20</w:t>
            </w:r>
          </w:p>
        </w:tc>
      </w:tr>
    </w:tbl>
    <w:p>
      <w:pPr>
        <w:spacing w:after="120" w:before="120"/>
      </w:pPr>
      <w:r>
        <w:rPr>
          <w:rFonts w:ascii="Arial" w:cs="Arial" w:eastAsia="Arial" w:hAnsi="Arial"/>
          <w:b/>
          <w:bCs/>
          <w:sz w:val="22"/>
          <w:szCs w:val="22"/>
        </w:rPr>
        <w:t xml:space="preserve">Sensitivity (sum of cluster ranges): low ≈ 289, base ≈ 367, high ≈ 446 director-hours per year.</w:t>
      </w:r>
    </w:p>
    <w:p>
      <w:pPr>
        <w:spacing w:after="120" w:before="0"/>
      </w:pPr>
      <w:r>
        <w:rPr>
          <w:rFonts w:ascii="Arial" w:cs="Arial" w:eastAsia="Arial" w:hAnsi="Arial"/>
          <w:i/>
          <w:iCs/>
          <w:color w:val="595959"/>
          <w:sz w:val="19"/>
          <w:szCs w:val="19"/>
        </w:rPr>
        <w:t>Incremental note: Counting only rows flagged 'Yes' (genuinely additional to normal board work) gives a much smaller incremental figure; most board hours would exist under any sound governance regime. The reform-relevant number is the duplication-driven increment, not the gross total. The resolution-planning cluster is annualized on the biennial Title I cadence (12 CFR 243.4(a)); treating it as annual would overstate that cluster’s hours.</w:t>
      </w:r>
    </w:p>
    <w:p>
      <w:pPr>
        <w:spacing w:after="120" w:before="0"/>
      </w:pPr>
      <w:r>
        <w:rPr>
          <w:rFonts w:ascii="Arial" w:cs="Arial" w:eastAsia="Arial" w:hAnsi="Arial"/>
          <w:i/>
          <w:iCs/>
          <w:color w:val="C00000"/>
          <w:sz w:val="19"/>
          <w:szCs w:val="19"/>
        </w:rPr>
        <w:t xml:space="preserve">Caveat: Illustrative only. No GSIB time-and-motion data underlies these figures; treat as an order-of-magnitude sensitivity, not a measurement.</w:t>
      </w:r>
    </w:p>
    <w:p>
      <w:pPr>
        <w:pStyle w:val="Heading1"/>
      </w:pPr>
      <w:r>
        <w:t xml:space="preserve">Highest-burden overlap clusters</w:t>
      </w:r>
    </w:p>
    <w:p>
      <w:pPr>
        <w:spacing w:after="120" w:before="0"/>
      </w:pPr>
      <w:r>
        <w:rPr>
          <w:rFonts w:ascii="Arial" w:cs="Arial" w:eastAsia="Arial" w:hAnsi="Arial"/>
          <w:i/>
          <w:iCs/>
          <w:color w:val="595959"/>
          <w:sz w:val="20"/>
          <w:szCs w:val="20"/>
        </w:rPr>
        <w:t xml:space="preserve">Ranked by severity and estimated board-hour load. (These are the items elsewhere framed, in advocacy shorthand, as 'sludge zones'; in this analysis they are the highest-burden overlap clusters.)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
        <w:gridCol w:w="2400"/>
        <w:gridCol w:w="1100"/>
        <w:gridCol w:w="1100"/>
        <w:gridCol w:w="4340"/>
      </w:tblGrid>
      <w:tr>
        <w:tc>
          <w:tcPr>
            <w:tcW w:type="dxa" w:w="420"/>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w:t>
            </w:r>
          </w:p>
        </w:tc>
        <w:tc>
          <w:tcPr>
            <w:tcW w:type="dxa" w:w="2400"/>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Cluster</w:t>
            </w:r>
          </w:p>
        </w:tc>
        <w:tc>
          <w:tcPr>
            <w:tcW w:type="dxa" w:w="1100"/>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Severity</w:t>
            </w:r>
          </w:p>
        </w:tc>
        <w:tc>
          <w:tcPr>
            <w:tcW w:type="dxa" w:w="1100"/>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Hrs/yr</w:t>
            </w:r>
          </w:p>
        </w:tc>
        <w:tc>
          <w:tcPr>
            <w:tcW w:type="dxa" w:w="4340"/>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Reform recommendation</w:t>
            </w:r>
          </w:p>
        </w:tc>
      </w:tr>
      <w:tr>
        <w:tc>
          <w:tcPr>
            <w:tcW w:type="dxa" w:w="42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1</w:t>
            </w:r>
          </w:p>
        </w:tc>
        <w:tc>
          <w:tcPr>
            <w:tcW w:type="dxa" w:w="24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Risk committee architecture</w:t>
            </w:r>
          </w:p>
        </w:tc>
        <w:tc>
          <w:tcPr>
            <w:tcW w:type="dxa" w:w="11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Critical</w:t>
            </w:r>
          </w:p>
        </w:tc>
        <w:tc>
          <w:tcPr>
            <w:tcW w:type="dxa" w:w="11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~80/yr</w:t>
            </w:r>
          </w:p>
        </w:tc>
        <w:tc>
          <w:tcPr>
            <w:tcW w:type="dxa" w:w="434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Harmonize Fed and OCC risk-committee requirements via joint rulemaking, single standard at the consolidated level; preserve sanctity-of-charter through a streamlined certification rather than a full parallel committee.</w:t>
            </w:r>
          </w:p>
        </w:tc>
      </w:tr>
      <w:tr>
        <w:tc>
          <w:tcPr>
            <w:tcW w:type="dxa" w:w="42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2</w:t>
            </w:r>
          </w:p>
        </w:tc>
        <w:tc>
          <w:tcPr>
            <w:tcW w:type="dxa" w:w="24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Risk appetite statement approval</w:t>
            </w:r>
          </w:p>
        </w:tc>
        <w:tc>
          <w:tcPr>
            <w:tcW w:type="dxa" w:w="11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Critical</w:t>
            </w:r>
          </w:p>
        </w:tc>
        <w:tc>
          <w:tcPr>
            <w:tcW w:type="dxa" w:w="11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~40/yr</w:t>
            </w:r>
          </w:p>
        </w:tc>
        <w:tc>
          <w:tcPr>
            <w:tcW w:type="dxa" w:w="434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Single interagency risk-appetite template; one board-approved document satisfies all three with a safe harbor.</w:t>
            </w:r>
          </w:p>
        </w:tc>
      </w:tr>
      <w:tr>
        <w:tc>
          <w:tcPr>
            <w:tcW w:type="dxa" w:w="42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3</w:t>
            </w:r>
          </w:p>
        </w:tc>
        <w:tc>
          <w:tcPr>
            <w:tcW w:type="dxa" w:w="24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CRO / CRE appointment &amp; compensation</w:t>
            </w:r>
          </w:p>
        </w:tc>
        <w:tc>
          <w:tcPr>
            <w:tcW w:type="dxa" w:w="11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High</w:t>
            </w:r>
          </w:p>
        </w:tc>
        <w:tc>
          <w:tcPr>
            <w:tcW w:type="dxa" w:w="11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~30/yr</w:t>
            </w:r>
          </w:p>
        </w:tc>
        <w:tc>
          <w:tcPr>
            <w:tcW w:type="dxa" w:w="434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Consolidate into Reg YY; OCC incorporates by reference for firms subject to both.</w:t>
            </w:r>
          </w:p>
        </w:tc>
      </w:tr>
      <w:tr>
        <w:tc>
          <w:tcPr>
            <w:tcW w:type="dxa" w:w="42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4</w:t>
            </w:r>
          </w:p>
        </w:tc>
        <w:tc>
          <w:tcPr>
            <w:tcW w:type="dxa" w:w="24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Audit committee independence</w:t>
            </w:r>
          </w:p>
        </w:tc>
        <w:tc>
          <w:tcPr>
            <w:tcW w:type="dxa" w:w="11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High</w:t>
            </w:r>
          </w:p>
        </w:tc>
        <w:tc>
          <w:tcPr>
            <w:tcW w:type="dxa" w:w="11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~60/yr</w:t>
            </w:r>
          </w:p>
        </w:tc>
        <w:tc>
          <w:tcPr>
            <w:tcW w:type="dxa" w:w="434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Joint interagency statement with a single 'independent director' definition for banking organizations.</w:t>
            </w:r>
          </w:p>
        </w:tc>
      </w:tr>
      <w:tr>
        <w:tc>
          <w:tcPr>
            <w:tcW w:type="dxa" w:w="42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5</w:t>
            </w:r>
          </w:p>
        </w:tc>
        <w:tc>
          <w:tcPr>
            <w:tcW w:type="dxa" w:w="24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Internal controls oversight (ICFR)</w:t>
            </w:r>
          </w:p>
        </w:tc>
        <w:tc>
          <w:tcPr>
            <w:tcW w:type="dxa" w:w="11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High</w:t>
            </w:r>
          </w:p>
        </w:tc>
        <w:tc>
          <w:tcPr>
            <w:tcW w:type="dxa" w:w="11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~50/yr</w:t>
            </w:r>
          </w:p>
        </w:tc>
        <w:tc>
          <w:tcPr>
            <w:tcW w:type="dxa" w:w="434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Permit SOX 404(b) attestation to satisfy FDICIA ICFR by cross-reference; align the fiscal- and calendar-year cycles.</w:t>
            </w:r>
          </w:p>
        </w:tc>
      </w:tr>
      <w:tr>
        <w:tc>
          <w:tcPr>
            <w:tcW w:type="dxa" w:w="42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6</w:t>
            </w:r>
          </w:p>
        </w:tc>
        <w:tc>
          <w:tcPr>
            <w:tcW w:type="dxa" w:w="24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Recovery / contingency / resolution planning</w:t>
            </w:r>
          </w:p>
        </w:tc>
        <w:tc>
          <w:tcPr>
            <w:tcW w:type="dxa" w:w="11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High</w:t>
            </w:r>
          </w:p>
        </w:tc>
        <w:tc>
          <w:tcPr>
            <w:tcW w:type="dxa" w:w="11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~55/yr</w:t>
            </w:r>
          </w:p>
        </w:tc>
        <w:tc>
          <w:tcPr>
            <w:tcW w:type="dxa" w:w="434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Integrate into a single 'resilience planning' framework with one annual board approval and modular content.</w:t>
            </w:r>
          </w:p>
        </w:tc>
      </w:tr>
      <w:tr>
        <w:tc>
          <w:tcPr>
            <w:tcW w:type="dxa" w:w="42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7</w:t>
            </w:r>
          </w:p>
        </w:tc>
        <w:tc>
          <w:tcPr>
            <w:tcW w:type="dxa" w:w="24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Incentive compensation governance</w:t>
            </w:r>
          </w:p>
        </w:tc>
        <w:tc>
          <w:tcPr>
            <w:tcW w:type="dxa" w:w="11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High</w:t>
            </w:r>
          </w:p>
        </w:tc>
        <w:tc>
          <w:tcPr>
            <w:tcW w:type="dxa" w:w="11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~40/yr</w:t>
            </w:r>
          </w:p>
        </w:tc>
        <w:tc>
          <w:tcPr>
            <w:tcW w:type="dxa" w:w="434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Finalize one section 956 framework that supersedes overlapping guidance, or rely on existing guidance; state that SEC comp-committee independence satisfies the prudential governance element.</w:t>
            </w:r>
          </w:p>
        </w:tc>
      </w:tr>
      <w:tr>
        <w:tc>
          <w:tcPr>
            <w:tcW w:type="dxa" w:w="42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8</w:t>
            </w:r>
          </w:p>
        </w:tc>
        <w:tc>
          <w:tcPr>
            <w:tcW w:type="dxa" w:w="24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Cybersecurity oversight</w:t>
            </w:r>
          </w:p>
        </w:tc>
        <w:tc>
          <w:tcPr>
            <w:tcW w:type="dxa" w:w="11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Moderate</w:t>
            </w:r>
          </w:p>
        </w:tc>
        <w:tc>
          <w:tcPr>
            <w:tcW w:type="dxa" w:w="11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~35/yr</w:t>
            </w:r>
          </w:p>
        </w:tc>
        <w:tc>
          <w:tcPr>
            <w:tcW w:type="dxa" w:w="434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Joint SEC/banking-agency guidance that one documented board cyber-oversight framework satisfies disclosure and safety-and-soundness.</w:t>
            </w:r>
          </w:p>
        </w:tc>
      </w:tr>
      <w:tr>
        <w:tc>
          <w:tcPr>
            <w:tcW w:type="dxa" w:w="42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9</w:t>
            </w:r>
          </w:p>
        </w:tc>
        <w:tc>
          <w:tcPr>
            <w:tcW w:type="dxa" w:w="24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Third-party risk oversight</w:t>
            </w:r>
          </w:p>
        </w:tc>
        <w:tc>
          <w:tcPr>
            <w:tcW w:type="dxa" w:w="11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Moderate-High</w:t>
            </w:r>
          </w:p>
        </w:tc>
        <w:tc>
          <w:tcPr>
            <w:tcW w:type="dxa" w:w="11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~45/yr</w:t>
            </w:r>
          </w:p>
        </w:tc>
        <w:tc>
          <w:tcPr>
            <w:tcW w:type="dxa" w:w="434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3"/>
                <w:szCs w:val="13"/>
              </w:rPr>
              <w:t xml:space="preserve">Quantitative criteria for 'critical' third parties requiring board attention; management approval with aggregate board reporting for the rest.</w:t>
            </w:r>
          </w:p>
        </w:tc>
      </w:tr>
      <w:tr>
        <w:tc>
          <w:tcPr>
            <w:tcW w:type="dxa" w:w="42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10</w:t>
            </w:r>
          </w:p>
        </w:tc>
        <w:tc>
          <w:tcPr>
            <w:tcW w:type="dxa" w:w="24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Board effectiveness &amp; self-assessment</w:t>
            </w:r>
          </w:p>
        </w:tc>
        <w:tc>
          <w:tcPr>
            <w:tcW w:type="dxa" w:w="11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Moderate</w:t>
            </w:r>
          </w:p>
        </w:tc>
        <w:tc>
          <w:tcPr>
            <w:tcW w:type="dxa" w:w="11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~25/yr</w:t>
            </w:r>
          </w:p>
        </w:tc>
        <w:tc>
          <w:tcPr>
            <w:tcW w:type="dxa" w:w="434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3"/>
                <w:szCs w:val="13"/>
              </w:rPr>
              <w:t xml:space="preserve">Single interagency board-effectiveness assessment framework administered through the consolidated supervisor.</w:t>
            </w:r>
          </w:p>
        </w:tc>
      </w:tr>
    </w:tbl>
    <w:p>
      <w:r>
        <w:br w:type="page"/>
      </w:r>
    </w:p>
    <w:p>
      <w:pPr>
        <w:pStyle w:val="Heading1"/>
      </w:pPr>
      <w:r>
        <w:t xml:space="preserve">Reform roadmap</w:t>
      </w:r>
    </w:p>
    <w:p>
      <w:pPr>
        <w:spacing w:after="120" w:before="0"/>
      </w:pPr>
      <w:r>
        <w:rPr>
          <w:rFonts w:ascii="Arial" w:cs="Arial" w:eastAsia="Arial" w:hAnsi="Arial"/>
          <w:sz w:val="22"/>
          <w:szCs w:val="22"/>
        </w:rPr>
        <w:t xml:space="preserve">Each reform with its actor, legal authority, implementing instrument, difficulty, expected burden reduction, the risk control it preserves, and any statutory obstacle.</w:t>
      </w:r>
    </w:p>
    <w:p>
      <w:r>
        <w:t>Design principle — harmonization is selection, not deletion. Where the same objective is pursued through divergent standards (most acutely the audit-committee independence/expertise tests and the divergent cyber-incident notification timelines), consolidation does not mean removing a requirement; it means choosing which agency’s formulation prevails. Each reform below preserves the strictest substantive standard and removes only the parallel documentation and examination footprint.</w:t>
      </w:r>
    </w:p>
    <w:p>
      <w:r>
        <w:t>Feasibility tiers (lowest cost first). The specific reforms below map onto five tiers ordered by legal instrument and difficulty:</w:t>
      </w:r>
    </w:p>
    <w:p>
      <w:r>
        <w:t>Tier 1 — Guidance consolidation (agency-curable, lowest cost): collapse parallel SR-letter / bulletin / interagency-statement expectations into single interagency guidance, on the model of the 2023 Interagency Third-Party Risk Management Guidance (candidates: risk-appetite, incentive-compensation, internal-audit, and credit-risk guidance).</w:t>
      </w:r>
    </w:p>
    <w:p>
      <w:r>
        <w:t>Tier 2 — Guidance retirement: continue the rescind-and-supersede discipline exemplified by the OCC recovery-planning rescission (eff. May 1, 2026).</w:t>
      </w:r>
    </w:p>
    <w:p>
      <w:r>
        <w:t>Tier 3 — Rule-layer harmonization: conform divergent regulatory text (audit-committee independence; the 36-hour vs. SEC cyber-disclosure timelines) to a single prevailing formulation.</w:t>
      </w:r>
    </w:p>
    <w:p>
      <w:r>
        <w:t>Tier 4 — Vertical (HC/IDI) rationalization: expand the OCC Appendix D reliance accommodation so a bank-subsidiary board may discharge its duty by documented reliance on the consolidated holding-company board’s action where risk profiles are substantially the same — the single highest-yield structural lever, since vertical duplication is the most pervasive overlap.</w:t>
      </w:r>
    </w:p>
    <w:p>
      <w:r>
        <w:t>Tier 5 — Statutory consolidation (legislation): address overlaps anchored in Dodd-Frank §165, the BSA, FDI Act §36 / Part 363, and the SEC compensation-governance listing standards.</w:t>
      </w:r>
    </w:p>
    <w:p>
      <w:pPr>
        <w:keepNext/>
        <w:spacing w:after="8" w:before="104"/>
      </w:pPr>
      <w:r>
        <w:rPr>
          <w:rFonts w:ascii="Arial" w:cs="Arial" w:eastAsia="Arial" w:hAnsi="Arial"/>
          <w:b/>
          <w:bCs/>
          <w:color w:val="1F3864"/>
          <w:sz w:val="21"/>
          <w:szCs w:val="21"/>
        </w:rPr>
        <w:t xml:space="preserve">Single consolidated risk-appetite statement</w:t>
      </w:r>
    </w:p>
    <w:p>
      <w:pPr>
        <w:spacing w:after="4" w:before="0"/>
      </w:pPr>
      <w:r>
        <w:rPr>
          <w:rFonts w:ascii="Arial" w:cs="Arial" w:eastAsia="Arial" w:hAnsi="Arial"/>
          <w:sz w:val="19"/>
          <w:szCs w:val="19"/>
        </w:rPr>
        <w:t xml:space="preserve">Actor: FRB + OCC (interagency)  ·  Authority: FDI Act §39; BHC Act; APA rulemaking  ·  Instrument: Interagency rule or joint statement + safe harbor  ·  Difficulty: Medium</w:t>
      </w:r>
    </w:p>
    <w:p>
      <w:pPr>
        <w:spacing w:after="4" w:before="0"/>
      </w:pPr>
      <w:r>
        <w:rPr>
          <w:rFonts w:ascii="Arial" w:cs="Arial" w:eastAsia="Arial" w:hAnsi="Arial"/>
          <w:color w:val="1F6B3B"/>
          <w:sz w:val="19"/>
          <w:szCs w:val="19"/>
        </w:rPr>
        <w:t xml:space="preserve">Expected reduction: ~12-24 board hrs/yr; removes 3-4 parallel approvals</w:t>
      </w:r>
    </w:p>
    <w:p>
      <w:pPr>
        <w:spacing w:after="90" w:before="0"/>
      </w:pPr>
      <w:r>
        <w:rPr>
          <w:rFonts w:ascii="Arial" w:cs="Arial" w:eastAsia="Arial" w:hAnsi="Arial"/>
          <w:color w:val="595959"/>
          <w:sz w:val="19"/>
          <w:szCs w:val="19"/>
        </w:rPr>
        <w:t xml:space="preserve">Risk control preserved: Substantive risk-appetite content unchanged; one document, all dimensions   |   Statutory obstacle: None statutory; requires inter-agency coordination</w:t>
      </w:r>
    </w:p>
    <w:p>
      <w:pPr>
        <w:keepNext/>
        <w:spacing w:after="8" w:before="104"/>
      </w:pPr>
      <w:r>
        <w:rPr>
          <w:rFonts w:ascii="Arial" w:cs="Arial" w:eastAsia="Arial" w:hAnsi="Arial"/>
          <w:b/>
          <w:bCs/>
          <w:color w:val="1F3864"/>
          <w:sz w:val="21"/>
          <w:szCs w:val="21"/>
        </w:rPr>
        <w:t xml:space="preserve">One risk-committee standard at the consolidated level</w:t>
      </w:r>
    </w:p>
    <w:p>
      <w:pPr>
        <w:spacing w:after="4" w:before="0"/>
      </w:pPr>
      <w:r>
        <w:rPr>
          <w:rFonts w:ascii="Arial" w:cs="Arial" w:eastAsia="Arial" w:hAnsi="Arial"/>
          <w:sz w:val="19"/>
          <w:szCs w:val="19"/>
        </w:rPr>
        <w:t xml:space="preserve">Actor: FRB + OCC  ·  Authority: DFA §165(h); FDI Act §39  ·  Instrument: Joint rulemaking; OCC App. D cross-references Reg YY  ·  Difficulty: Medium-High</w:t>
      </w:r>
    </w:p>
    <w:p>
      <w:pPr>
        <w:spacing w:after="4" w:before="0"/>
      </w:pPr>
      <w:r>
        <w:rPr>
          <w:rFonts w:ascii="Arial" w:cs="Arial" w:eastAsia="Arial" w:hAnsi="Arial"/>
          <w:color w:val="1F6B3B"/>
          <w:sz w:val="19"/>
          <w:szCs w:val="19"/>
        </w:rPr>
        <w:t xml:space="preserve">Expected reduction: ~15-24 hrs/yr; ends parallel parent/bank committee process</w:t>
      </w:r>
    </w:p>
    <w:p>
      <w:pPr>
        <w:spacing w:after="90" w:before="0"/>
      </w:pPr>
      <w:r>
        <w:rPr>
          <w:rFonts w:ascii="Arial" w:cs="Arial" w:eastAsia="Arial" w:hAnsi="Arial"/>
          <w:color w:val="595959"/>
          <w:sz w:val="19"/>
          <w:szCs w:val="19"/>
        </w:rPr>
        <w:t xml:space="preserve">Risk control preserved: Sanctity-of-charter preserved via streamlined IDI certification   |   Statutory obstacle: 165(h) is statutory at the BHC level; bank-level via guideline</w:t>
      </w:r>
    </w:p>
    <w:p>
      <w:pPr>
        <w:keepNext/>
        <w:spacing w:after="8" w:before="104"/>
      </w:pPr>
      <w:r>
        <w:rPr>
          <w:rFonts w:ascii="Arial" w:cs="Arial" w:eastAsia="Arial" w:hAnsi="Arial"/>
          <w:b/>
          <w:bCs/>
          <w:color w:val="1F3864"/>
          <w:sz w:val="21"/>
          <w:szCs w:val="21"/>
        </w:rPr>
        <w:t xml:space="preserve">Single 'independent director' definition for banking orgs</w:t>
      </w:r>
    </w:p>
    <w:p>
      <w:pPr>
        <w:spacing w:after="4" w:before="0"/>
      </w:pPr>
      <w:r>
        <w:rPr>
          <w:rFonts w:ascii="Arial" w:cs="Arial" w:eastAsia="Arial" w:hAnsi="Arial"/>
          <w:sz w:val="19"/>
          <w:szCs w:val="19"/>
        </w:rPr>
        <w:t xml:space="preserve">Actor: FRB + OCC + FDIC + SEC  ·  Authority: Multiple (SOX, DFA, FDI Act, exchange oversight)  ·  Instrument: Joint interagency statement + SEC coordination  ·  Difficulty: High</w:t>
      </w:r>
    </w:p>
    <w:p>
      <w:pPr>
        <w:spacing w:after="4" w:before="0"/>
      </w:pPr>
      <w:r>
        <w:rPr>
          <w:rFonts w:ascii="Arial" w:cs="Arial" w:eastAsia="Arial" w:hAnsi="Arial"/>
          <w:color w:val="1F6B3B"/>
          <w:sz w:val="19"/>
          <w:szCs w:val="19"/>
        </w:rPr>
        <w:t xml:space="preserve">Expected reduction: Eliminates parallel independence determinations</w:t>
      </w:r>
    </w:p>
    <w:p>
      <w:pPr>
        <w:spacing w:after="90" w:before="0"/>
      </w:pPr>
      <w:r>
        <w:rPr>
          <w:rFonts w:ascii="Arial" w:cs="Arial" w:eastAsia="Arial" w:hAnsi="Arial"/>
          <w:color w:val="595959"/>
          <w:sz w:val="19"/>
          <w:szCs w:val="19"/>
        </w:rPr>
        <w:t xml:space="preserve">Risk control preserved: Independence substance unchanged; one test   |   Statutory obstacle: Cross-regulator (SEC + banking) coordination; differing statutory lineages</w:t>
      </w:r>
    </w:p>
    <w:p>
      <w:pPr>
        <w:keepNext/>
        <w:spacing w:after="8" w:before="104"/>
      </w:pPr>
      <w:r>
        <w:rPr>
          <w:rFonts w:ascii="Arial" w:cs="Arial" w:eastAsia="Arial" w:hAnsi="Arial"/>
          <w:b/>
          <w:bCs/>
          <w:color w:val="1F3864"/>
          <w:sz w:val="21"/>
          <w:szCs w:val="21"/>
        </w:rPr>
        <w:t xml:space="preserve">SOX 404(b) satisfies FDICIA ICFR by cross-reference</w:t>
      </w:r>
    </w:p>
    <w:p>
      <w:pPr>
        <w:spacing w:after="4" w:before="0"/>
      </w:pPr>
      <w:r>
        <w:rPr>
          <w:rFonts w:ascii="Arial" w:cs="Arial" w:eastAsia="Arial" w:hAnsi="Arial"/>
          <w:sz w:val="19"/>
          <w:szCs w:val="19"/>
        </w:rPr>
        <w:t xml:space="preserve">Actor: FDIC  ·  Authority: FDI Act §36 / Part 363  ·  Instrument: Part 363 amendment  ·  Difficulty: Low-Medium</w:t>
      </w:r>
    </w:p>
    <w:p>
      <w:pPr>
        <w:spacing w:after="4" w:before="0"/>
      </w:pPr>
      <w:r>
        <w:rPr>
          <w:rFonts w:ascii="Arial" w:cs="Arial" w:eastAsia="Arial" w:hAnsi="Arial"/>
          <w:color w:val="1F6B3B"/>
          <w:sz w:val="19"/>
          <w:szCs w:val="19"/>
        </w:rPr>
        <w:t xml:space="preserve">Expected reduction: ~25-30 hrs/yr; removes a parallel ICFR cycle</w:t>
      </w:r>
    </w:p>
    <w:p>
      <w:pPr>
        <w:spacing w:after="90" w:before="0"/>
      </w:pPr>
      <w:r>
        <w:rPr>
          <w:rFonts w:ascii="Arial" w:cs="Arial" w:eastAsia="Arial" w:hAnsi="Arial"/>
          <w:color w:val="595959"/>
          <w:sz w:val="19"/>
          <w:szCs w:val="19"/>
        </w:rPr>
        <w:t xml:space="preserve">Risk control preserved: External attestation retained; designated-laws compliance added as annex   |   Statutory obstacle: Calendar vs. fiscal-year alignment</w:t>
      </w:r>
    </w:p>
    <w:p>
      <w:pPr>
        <w:keepNext/>
        <w:spacing w:after="8" w:before="104"/>
      </w:pPr>
      <w:r>
        <w:rPr>
          <w:rFonts w:ascii="Arial" w:cs="Arial" w:eastAsia="Arial" w:hAnsi="Arial"/>
          <w:b/>
          <w:bCs/>
          <w:color w:val="1F3864"/>
          <w:sz w:val="21"/>
          <w:szCs w:val="21"/>
        </w:rPr>
        <w:t xml:space="preserve">Integrate recovery + contingency funding + resolution into one 'resilience planning' cycle</w:t>
      </w:r>
    </w:p>
    <w:p>
      <w:pPr>
        <w:spacing w:after="4" w:before="0"/>
      </w:pPr>
      <w:r>
        <w:rPr>
          <w:rFonts w:ascii="Arial" w:cs="Arial" w:eastAsia="Arial" w:hAnsi="Arial"/>
          <w:sz w:val="19"/>
          <w:szCs w:val="19"/>
        </w:rPr>
        <w:t xml:space="preserve">Actor: FRB + FDIC  ·  Authority: DFA §165(d); FDI Act  ·  Instrument: Joint guidance + rule conforming amendments  ·  Difficulty: High</w:t>
      </w:r>
    </w:p>
    <w:p>
      <w:pPr>
        <w:spacing w:after="4" w:before="0"/>
      </w:pPr>
      <w:r>
        <w:rPr>
          <w:rFonts w:ascii="Arial" w:cs="Arial" w:eastAsia="Arial" w:hAnsi="Arial"/>
          <w:color w:val="1F6B3B"/>
          <w:sz w:val="19"/>
          <w:szCs w:val="19"/>
        </w:rPr>
        <w:t xml:space="preserve">Expected reduction: ~30 hrs/yr; one annual approval, modular content</w:t>
      </w:r>
    </w:p>
    <w:p>
      <w:pPr>
        <w:spacing w:after="90" w:before="0"/>
      </w:pPr>
      <w:r>
        <w:rPr>
          <w:rFonts w:ascii="Arial" w:cs="Arial" w:eastAsia="Arial" w:hAnsi="Arial"/>
          <w:color w:val="595959"/>
          <w:sz w:val="19"/>
          <w:szCs w:val="19"/>
        </w:rPr>
        <w:t xml:space="preserve">Risk control preserved: Distinct FDIC resolvability interest preserved as a module   |   Statutory obstacle: Two statutes/rules; genuine distinct interests (parallel-but-justified)</w:t>
      </w:r>
    </w:p>
    <w:p>
      <w:pPr>
        <w:keepNext/>
        <w:spacing w:after="8" w:before="104"/>
      </w:pPr>
      <w:r>
        <w:rPr>
          <w:rFonts w:ascii="Arial" w:cs="Arial" w:eastAsia="Arial" w:hAnsi="Arial"/>
          <w:b/>
          <w:bCs/>
          <w:color w:val="1F3864"/>
          <w:sz w:val="21"/>
          <w:szCs w:val="21"/>
        </w:rPr>
        <w:t xml:space="preserve">One enterprise information-security program approval</w:t>
      </w:r>
    </w:p>
    <w:p>
      <w:pPr>
        <w:spacing w:after="4" w:before="0"/>
      </w:pPr>
      <w:r>
        <w:rPr>
          <w:rFonts w:ascii="Arial" w:cs="Arial" w:eastAsia="Arial" w:hAnsi="Arial"/>
          <w:sz w:val="19"/>
          <w:szCs w:val="19"/>
        </w:rPr>
        <w:t xml:space="preserve">Actor: FRB + OCC + FDIC  ·  Authority: GLBA §501(b)  ·  Instrument: Conform the four parallel appendices  ·  Difficulty: Low-Medium</w:t>
      </w:r>
    </w:p>
    <w:p>
      <w:pPr>
        <w:spacing w:after="4" w:before="0"/>
      </w:pPr>
      <w:r>
        <w:rPr>
          <w:rFonts w:ascii="Arial" w:cs="Arial" w:eastAsia="Arial" w:hAnsi="Arial"/>
          <w:color w:val="1F6B3B"/>
          <w:sz w:val="19"/>
          <w:szCs w:val="19"/>
        </w:rPr>
        <w:t xml:space="preserve">Expected reduction: Removes duplicate parent/bank approval of the same program</w:t>
      </w:r>
    </w:p>
    <w:p>
      <w:pPr>
        <w:spacing w:after="90" w:before="0"/>
      </w:pPr>
      <w:r>
        <w:rPr>
          <w:rFonts w:ascii="Arial" w:cs="Arial" w:eastAsia="Arial" w:hAnsi="Arial"/>
          <w:color w:val="595959"/>
          <w:sz w:val="19"/>
          <w:szCs w:val="19"/>
        </w:rPr>
        <w:t xml:space="preserve">Risk control preserved: Program substance unchanged   |   Statutory obstacle: Four codified appendices to amend</w:t>
      </w:r>
    </w:p>
    <w:p>
      <w:pPr>
        <w:keepNext/>
        <w:spacing w:after="8" w:before="104"/>
      </w:pPr>
      <w:r>
        <w:rPr>
          <w:rFonts w:ascii="Arial" w:cs="Arial" w:eastAsia="Arial" w:hAnsi="Arial"/>
          <w:b/>
          <w:bCs/>
          <w:color w:val="1F3864"/>
          <w:sz w:val="21"/>
          <w:szCs w:val="21"/>
        </w:rPr>
        <w:t xml:space="preserve">Codify SR 12-17 governance content into Reg YY; retire the letter</w:t>
      </w:r>
    </w:p>
    <w:p>
      <w:pPr>
        <w:spacing w:after="4" w:before="0"/>
      </w:pPr>
      <w:r>
        <w:rPr>
          <w:rFonts w:ascii="Arial" w:cs="Arial" w:eastAsia="Arial" w:hAnsi="Arial"/>
          <w:sz w:val="19"/>
          <w:szCs w:val="19"/>
        </w:rPr>
        <w:t xml:space="preserve">Actor: FRB  ·  Authority: DFA §165  ·  Instrument: Reg YY amendment; rescind SR 12-17  ·  Difficulty: Medium</w:t>
      </w:r>
    </w:p>
    <w:p>
      <w:pPr>
        <w:spacing w:after="4" w:before="0"/>
      </w:pPr>
      <w:r>
        <w:rPr>
          <w:rFonts w:ascii="Arial" w:cs="Arial" w:eastAsia="Arial" w:hAnsi="Arial"/>
          <w:color w:val="1F6B3B"/>
          <w:sz w:val="19"/>
          <w:szCs w:val="19"/>
        </w:rPr>
        <w:t xml:space="preserve">Expected reduction: Clarifies mandatory vs. guidance; resolves 'ensure' vs 'oversee' tension</w:t>
      </w:r>
    </w:p>
    <w:p>
      <w:pPr>
        <w:spacing w:after="90" w:before="0"/>
      </w:pPr>
      <w:r>
        <w:rPr>
          <w:rFonts w:ascii="Arial" w:cs="Arial" w:eastAsia="Arial" w:hAnsi="Arial"/>
          <w:color w:val="595959"/>
          <w:sz w:val="19"/>
          <w:szCs w:val="19"/>
        </w:rPr>
        <w:t xml:space="preserve">Risk control preserved: Governance expectations retained as rule   |   Statutory obstacle: Notice-and-comment; defining the binding line</w:t>
      </w:r>
    </w:p>
    <w:p>
      <w:pPr>
        <w:keepNext/>
        <w:spacing w:after="8" w:before="104"/>
      </w:pPr>
      <w:r>
        <w:rPr>
          <w:rFonts w:ascii="Arial" w:cs="Arial" w:eastAsia="Arial" w:hAnsi="Arial"/>
          <w:b/>
          <w:bCs/>
          <w:color w:val="1F3864"/>
          <w:sz w:val="21"/>
          <w:szCs w:val="21"/>
        </w:rPr>
        <w:t xml:space="preserve">Finalize or withdraw Dodd-Frank §956</w:t>
      </w:r>
    </w:p>
    <w:p>
      <w:pPr>
        <w:spacing w:after="4" w:before="0"/>
      </w:pPr>
      <w:r>
        <w:rPr>
          <w:rFonts w:ascii="Arial" w:cs="Arial" w:eastAsia="Arial" w:hAnsi="Arial"/>
          <w:sz w:val="19"/>
          <w:szCs w:val="19"/>
        </w:rPr>
        <w:t xml:space="preserve">Actor: Congress / 6 agencies  ·  Authority: DFA §956 (12 U.S.C. 5641)  ·  Instrument: Final rule (6-agency) or statutory repeal  ·  Difficulty: High</w:t>
      </w:r>
    </w:p>
    <w:p>
      <w:pPr>
        <w:spacing w:after="4" w:before="0"/>
      </w:pPr>
      <w:r>
        <w:rPr>
          <w:rFonts w:ascii="Arial" w:cs="Arial" w:eastAsia="Arial" w:hAnsi="Arial"/>
          <w:color w:val="1F6B3B"/>
          <w:sz w:val="19"/>
          <w:szCs w:val="19"/>
        </w:rPr>
        <w:t xml:space="preserve">Expected reduction: Ends 15-year limbo; one comp framework supersedes overlapping guidance</w:t>
      </w:r>
    </w:p>
    <w:p>
      <w:pPr>
        <w:spacing w:after="90" w:before="0"/>
      </w:pPr>
      <w:r>
        <w:rPr>
          <w:rFonts w:ascii="Arial" w:cs="Arial" w:eastAsia="Arial" w:hAnsi="Arial"/>
          <w:color w:val="595959"/>
          <w:sz w:val="19"/>
          <w:szCs w:val="19"/>
        </w:rPr>
        <w:t xml:space="preserve">Risk control preserved: Risk-balanced-comp policy retained if finalized   |   Statutory obstacle: Six-agency joint action; FRB/SEC previously declined</w:t>
      </w:r>
    </w:p>
    <w:p>
      <w:pPr>
        <w:keepNext/>
        <w:spacing w:after="8" w:before="104"/>
      </w:pPr>
      <w:r>
        <w:rPr>
          <w:rFonts w:ascii="Arial" w:cs="Arial" w:eastAsia="Arial" w:hAnsi="Arial"/>
          <w:b/>
          <w:bCs/>
          <w:color w:val="1F3864"/>
          <w:sz w:val="21"/>
          <w:szCs w:val="21"/>
        </w:rPr>
        <w:t xml:space="preserve">Quantitative 'critical activity' threshold for board-level third-party attention</w:t>
      </w:r>
    </w:p>
    <w:p>
      <w:pPr>
        <w:spacing w:after="4" w:before="0"/>
      </w:pPr>
      <w:r>
        <w:rPr>
          <w:rFonts w:ascii="Arial" w:cs="Arial" w:eastAsia="Arial" w:hAnsi="Arial"/>
          <w:sz w:val="19"/>
          <w:szCs w:val="19"/>
        </w:rPr>
        <w:t xml:space="preserve">Actor: FRB + OCC + FDIC  ·  Authority: FDI Act §39; safety-and-soundness  ·  Instrument: Amend/supplement 2023 interagency guidance  ·  Difficulty: Low-Medium</w:t>
      </w:r>
    </w:p>
    <w:p>
      <w:pPr>
        <w:spacing w:after="4" w:before="0"/>
      </w:pPr>
      <w:r>
        <w:rPr>
          <w:rFonts w:ascii="Arial" w:cs="Arial" w:eastAsia="Arial" w:hAnsi="Arial"/>
          <w:color w:val="1F6B3B"/>
          <w:sz w:val="19"/>
          <w:szCs w:val="19"/>
        </w:rPr>
        <w:t xml:space="preserve">Expected reduction: Cuts board third-party information load</w:t>
      </w:r>
    </w:p>
    <w:p>
      <w:pPr>
        <w:spacing w:after="90" w:before="0"/>
      </w:pPr>
      <w:r>
        <w:rPr>
          <w:rFonts w:ascii="Arial" w:cs="Arial" w:eastAsia="Arial" w:hAnsi="Arial"/>
          <w:color w:val="595959"/>
          <w:sz w:val="19"/>
          <w:szCs w:val="19"/>
        </w:rPr>
        <w:t xml:space="preserve">Risk control preserved: Critical relationships still board-overseen   |   Statutory obstacle: Defining 'critical' quantitatively</w:t>
      </w:r>
    </w:p>
    <w:p>
      <w:pPr>
        <w:keepNext/>
        <w:spacing w:after="8" w:before="104"/>
      </w:pPr>
      <w:r>
        <w:rPr>
          <w:rFonts w:ascii="Arial" w:cs="Arial" w:eastAsia="Arial" w:hAnsi="Arial"/>
          <w:b/>
          <w:bCs/>
          <w:color w:val="1F3864"/>
          <w:sz w:val="21"/>
          <w:szCs w:val="21"/>
        </w:rPr>
        <w:t xml:space="preserve">Single interagency board-effectiveness assessment</w:t>
      </w:r>
    </w:p>
    <w:p>
      <w:pPr>
        <w:spacing w:after="4" w:before="0"/>
      </w:pPr>
      <w:r>
        <w:rPr>
          <w:rFonts w:ascii="Arial" w:cs="Arial" w:eastAsia="Arial" w:hAnsi="Arial"/>
          <w:sz w:val="19"/>
          <w:szCs w:val="19"/>
        </w:rPr>
        <w:t xml:space="preserve">Actor: FRB + OCC  ·  Authority: FDI Act §39; LFI framework  ·  Instrument: Joint statement; align App. D III.F with SR 21-3  ·  Difficulty: Low</w:t>
      </w:r>
    </w:p>
    <w:p>
      <w:pPr>
        <w:spacing w:after="4" w:before="0"/>
      </w:pPr>
      <w:r>
        <w:rPr>
          <w:rFonts w:ascii="Arial" w:cs="Arial" w:eastAsia="Arial" w:hAnsi="Arial"/>
          <w:color w:val="1F6B3B"/>
          <w:sz w:val="19"/>
          <w:szCs w:val="19"/>
        </w:rPr>
        <w:t xml:space="preserve">Expected reduction: ~10-15 hrs/yr; one self-assessment</w:t>
      </w:r>
    </w:p>
    <w:p>
      <w:pPr>
        <w:spacing w:after="90" w:before="0"/>
      </w:pPr>
      <w:r>
        <w:rPr>
          <w:rFonts w:ascii="Arial" w:cs="Arial" w:eastAsia="Arial" w:hAnsi="Arial"/>
          <w:color w:val="595959"/>
          <w:sz w:val="19"/>
          <w:szCs w:val="19"/>
        </w:rPr>
        <w:t xml:space="preserve">Risk control preserved: Effectiveness review retained   |   Statutory obstacle: Minimal</w:t>
      </w:r>
    </w:p>
    <w:p>
      <w:pPr>
        <w:pStyle w:val="Heading1"/>
      </w:pPr>
      <w:r>
        <w:t xml:space="preserve">Steelman — the opposing case</w:t>
      </w:r>
    </w:p>
    <w:p>
      <w:pPr>
        <w:spacing w:after="120" w:before="0"/>
      </w:pPr>
      <w:r>
        <w:rPr>
          <w:rFonts w:ascii="Arial" w:cs="Arial" w:eastAsia="Arial" w:hAnsi="Arial"/>
          <w:sz w:val="22"/>
          <w:szCs w:val="22"/>
        </w:rPr>
        <w:t xml:space="preserve">The reform argument is stronger if it survives the best case against it. Each point below is stated at its strongest, with a balancing consideration.</w:t>
      </w:r>
    </w:p>
    <w:p>
      <w:pPr>
        <w:pStyle w:val="Heading2"/>
      </w:pPr>
      <w:r>
        <w:t xml:space="preserve">Board expectations expanded for cause.</w:t>
      </w:r>
    </w:p>
    <w:p>
      <w:pPr>
        <w:spacing w:after="120" w:before="0"/>
      </w:pPr>
      <w:r>
        <w:rPr>
          <w:rFonts w:ascii="Arial" w:cs="Arial" w:eastAsia="Arial" w:hAnsi="Arial"/>
          <w:sz w:val="22"/>
          <w:szCs w:val="22"/>
        </w:rPr>
        <w:t xml:space="preserve">Most post-2008 and post-2023 board duties were responses to governance failures (the financial crisis, Wells Fargo, the 2023 regional-bank failures). Removing them risks repeating the failures they were designed to prevent.</w:t>
      </w:r>
    </w:p>
    <w:p>
      <w:pPr>
        <w:spacing w:after="120" w:before="0"/>
      </w:pPr>
      <w:r>
        <w:rPr>
          <w:rFonts w:ascii="Arial" w:cs="Arial" w:eastAsia="Arial" w:hAnsi="Arial"/>
          <w:i/>
          <w:iCs/>
          <w:color w:val="1F6B3B"/>
          <w:sz w:val="20"/>
          <w:szCs w:val="20"/>
        </w:rPr>
        <w:t xml:space="preserve">Balance: The reform case targets duplicative documentation and parallel approvals, not the substantive oversight; consolidation can preserve the standard while cutting the paperwork.</w:t>
      </w:r>
    </w:p>
    <w:p>
      <w:pPr>
        <w:pStyle w:val="Heading2"/>
      </w:pPr>
      <w:r>
        <w:t xml:space="preserve">IDI separateness is a feature, not a bug.</w:t>
      </w:r>
    </w:p>
    <w:p>
      <w:pPr>
        <w:spacing w:after="120" w:before="0"/>
      </w:pPr>
      <w:r>
        <w:rPr>
          <w:rFonts w:ascii="Arial" w:cs="Arial" w:eastAsia="Arial" w:hAnsi="Arial"/>
          <w:sz w:val="22"/>
          <w:szCs w:val="22"/>
        </w:rPr>
        <w:t xml:space="preserve">The insured bank is a distinct legal entity backed by the Deposit Insurance Fund. Independent bank-board duties (FDICIA audit committee, IDI resolution plan, sanctity-of-charter) exist so the bank can be supervised and resolved even if the parent fails.</w:t>
      </w:r>
    </w:p>
    <w:p>
      <w:pPr>
        <w:spacing w:after="120" w:before="0"/>
      </w:pPr>
      <w:r>
        <w:rPr>
          <w:rFonts w:ascii="Arial" w:cs="Arial" w:eastAsia="Arial" w:hAnsi="Arial"/>
          <w:i/>
          <w:iCs/>
          <w:color w:val="1F6B3B"/>
          <w:sz w:val="20"/>
          <w:szCs w:val="20"/>
        </w:rPr>
        <w:t xml:space="preserve">Balance: This is why several parent/IDI overlaps are tagged 'parallel but justified' rather than 'candidate redundancy' — the report distinguishes the two.</w:t>
      </w:r>
    </w:p>
    <w:p>
      <w:pPr>
        <w:pStyle w:val="Heading2"/>
      </w:pPr>
      <w:r>
        <w:t xml:space="preserve">Guidance flexibility is valuable.</w:t>
      </w:r>
    </w:p>
    <w:p>
      <w:pPr>
        <w:spacing w:after="120" w:before="0"/>
      </w:pPr>
      <w:r>
        <w:rPr>
          <w:rFonts w:ascii="Arial" w:cs="Arial" w:eastAsia="Arial" w:hAnsi="Arial"/>
          <w:sz w:val="22"/>
          <w:szCs w:val="22"/>
        </w:rPr>
        <w:t xml:space="preserve">Supervisory guidance lets agencies adapt expectations quickly to new risks (cyber, AI, climate) without multi-year rulemaking; converting everything to rules could ossify the framework.</w:t>
      </w:r>
    </w:p>
    <w:p>
      <w:pPr>
        <w:spacing w:after="120" w:before="0"/>
      </w:pPr>
      <w:r>
        <w:rPr>
          <w:rFonts w:ascii="Arial" w:cs="Arial" w:eastAsia="Arial" w:hAnsi="Arial"/>
          <w:i/>
          <w:iCs/>
          <w:color w:val="1F6B3B"/>
          <w:sz w:val="20"/>
          <w:szCs w:val="20"/>
        </w:rPr>
        <w:t xml:space="preserve">Balance: The proposal is to consolidate and clarify, and to codify only the most stable expectations (e.g., SR 12-17), not to eliminate the guidance toolkit.</w:t>
      </w:r>
    </w:p>
    <w:p>
      <w:pPr>
        <w:pStyle w:val="Heading2"/>
      </w:pPr>
      <w:r>
        <w:t xml:space="preserve">Multiple independence tests reflect real differences.</w:t>
      </w:r>
    </w:p>
    <w:p>
      <w:pPr>
        <w:spacing w:after="120" w:before="0"/>
      </w:pPr>
      <w:r>
        <w:rPr>
          <w:rFonts w:ascii="Arial" w:cs="Arial" w:eastAsia="Arial" w:hAnsi="Arial"/>
          <w:sz w:val="22"/>
          <w:szCs w:val="22"/>
        </w:rPr>
        <w:t xml:space="preserve">SOX protects investors; FDICIA protects the insurance fund; exchange rules protect markets. A single definition could under-serve one mandate.</w:t>
      </w:r>
    </w:p>
    <w:p>
      <w:pPr>
        <w:spacing w:after="120" w:before="0"/>
      </w:pPr>
      <w:r>
        <w:rPr>
          <w:rFonts w:ascii="Arial" w:cs="Arial" w:eastAsia="Arial" w:hAnsi="Arial"/>
          <w:i/>
          <w:iCs/>
          <w:color w:val="1F6B3B"/>
          <w:sz w:val="20"/>
          <w:szCs w:val="20"/>
        </w:rPr>
        <w:t xml:space="preserve">Balance: A cross-referenced 'meets-the-strictest' definition can satisfy all three simultaneously without lowering any.</w:t>
      </w:r>
    </w:p>
    <w:p>
      <w:pPr>
        <w:pStyle w:val="Heading2"/>
      </w:pPr>
      <w:r>
        <w:t xml:space="preserve">Consolidating approvals could dilute accountability.</w:t>
      </w:r>
    </w:p>
    <w:p>
      <w:pPr>
        <w:spacing w:after="120" w:before="0"/>
      </w:pPr>
      <w:r>
        <w:rPr>
          <w:rFonts w:ascii="Arial" w:cs="Arial" w:eastAsia="Arial" w:hAnsi="Arial"/>
          <w:sz w:val="22"/>
          <w:szCs w:val="22"/>
        </w:rPr>
        <w:t xml:space="preserve">Separate, minuted board approvals create a clear accountability record for each program; merging them could blur who approved what.</w:t>
      </w:r>
    </w:p>
    <w:p>
      <w:pPr>
        <w:spacing w:after="120" w:before="0"/>
      </w:pPr>
      <w:r>
        <w:rPr>
          <w:rFonts w:ascii="Arial" w:cs="Arial" w:eastAsia="Arial" w:hAnsi="Arial"/>
          <w:i/>
          <w:iCs/>
          <w:color w:val="1F6B3B"/>
          <w:sz w:val="20"/>
          <w:szCs w:val="20"/>
        </w:rPr>
        <w:t xml:space="preserve">Balance: A consolidated approval with program-specific management certifications and an audit trail can preserve accountability while cutting agenda load.</w:t>
      </w:r>
    </w:p>
    <w:p>
      <w:pPr>
        <w:pStyle w:val="Heading2"/>
      </w:pPr>
      <w:r>
        <w:t xml:space="preserve">The 2025-26 rollbacks may overshoot.</w:t>
      </w:r>
    </w:p>
    <w:p>
      <w:pPr>
        <w:spacing w:after="120" w:before="0"/>
      </w:pPr>
      <w:r>
        <w:rPr>
          <w:rFonts w:ascii="Arial" w:cs="Arial" w:eastAsia="Arial" w:hAnsi="Arial"/>
          <w:sz w:val="22"/>
          <w:szCs w:val="22"/>
        </w:rPr>
        <w:t xml:space="preserve">Some of the very deregulation this report documents (recovery-planning rescission, reputational-risk prohibition, CFPB curtailment, LFI recalibration) is contested and could itself weaken oversight.</w:t>
      </w:r>
    </w:p>
    <w:p>
      <w:pPr>
        <w:spacing w:after="120" w:before="0"/>
      </w:pPr>
      <w:r>
        <w:rPr>
          <w:rFonts w:ascii="Arial" w:cs="Arial" w:eastAsia="Arial" w:hAnsi="Arial"/>
          <w:i/>
          <w:iCs/>
          <w:color w:val="1F6B3B"/>
          <w:sz w:val="20"/>
          <w:szCs w:val="20"/>
        </w:rPr>
        <w:t xml:space="preserve">Balance: The report flags these as currency changes without endorsing them; the reform analysis is about coherence, not deregulation per se.</w:t>
      </w:r>
    </w:p>
    <w:p>
      <w:pPr>
        <w:pStyle w:val="Heading1"/>
      </w:pPr>
      <w:r>
        <w:t xml:space="preserve">Verification of high-stakes current-status claims</w:t>
      </w:r>
    </w:p>
    <w:p>
      <w:pPr>
        <w:spacing w:after="120" w:before="0"/>
      </w:pPr>
      <w:r>
        <w:rPr>
          <w:rFonts w:ascii="Arial" w:cs="Arial" w:eastAsia="Arial" w:hAnsi="Arial"/>
          <w:sz w:val="22"/>
          <w:szCs w:val="22"/>
        </w:rPr>
        <w:t xml:space="preserve">The following current-status claims were web-verified this cycle. Remaining inventory rows carry source URLs where captured; a blank URL is flagged as unverified rather than presented as assured.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0"/>
        <w:gridCol w:w="3000"/>
        <w:gridCol w:w="760"/>
      </w:tblGrid>
      <w:tr>
        <w:tc>
          <w:tcPr>
            <w:tcW w:type="dxa" w:w="5600"/>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Claim</w:t>
            </w:r>
          </w:p>
        </w:tc>
        <w:tc>
          <w:tcPr>
            <w:tcW w:type="dxa" w:w="3000"/>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Source URL</w:t>
            </w:r>
          </w:p>
        </w:tc>
        <w:tc>
          <w:tcPr>
            <w:tcW w:type="dxa" w:w="760"/>
            <w:tcBorders>
              <w:top w:val="single" w:color="BFBFBF" w:sz="1"/>
              <w:left w:val="single" w:color="BFBFBF" w:sz="1"/>
              <w:bottom w:val="single" w:color="BFBFBF" w:sz="1"/>
              <w:right w:val="single" w:color="BFBFBF" w:sz="1"/>
            </w:tcBorders>
            <w:shd w:fill="1F3864" w:val="clear"/>
            <w:tcMar>
              <w:top w:type="dxa" w:w="50"/>
              <w:left w:type="dxa" w:w="80"/>
              <w:bottom w:type="dxa" w:w="50"/>
              <w:right w:type="dxa" w:w="80"/>
            </w:tcMar>
          </w:tcPr>
          <w:p>
            <w:pPr>
              <w:spacing w:after="0"/>
              <w:jc w:val="center"/>
            </w:pPr>
            <w:r>
              <w:rPr>
                <w:rFonts w:ascii="Arial" w:cs="Arial" w:eastAsia="Arial" w:hAnsi="Arial"/>
                <w:b/>
                <w:bCs/>
                <w:color w:val="FFFFFF"/>
                <w:sz w:val="16"/>
                <w:szCs w:val="16"/>
              </w:rPr>
              <w:t xml:space="preserve">Checked</w:t>
            </w:r>
          </w:p>
        </w:tc>
      </w:tr>
      <w:tr>
        <w:tc>
          <w:tcPr>
            <w:tcW w:type="dxa" w:w="56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OCC recovery-planning guidelines (12 CFR 30 App. E) rescinded eff. May 1, 2026</w:t>
            </w:r>
          </w:p>
        </w:tc>
        <w:tc>
          <w:tcPr>
            <w:tcW w:type="dxa" w:w="30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https://www.occ.gov/news-issuances/bulletins/2026/bulletin-2026-10.html</w:t>
            </w:r>
          </w:p>
        </w:tc>
        <w:tc>
          <w:tcPr>
            <w:tcW w:type="dxa" w:w="7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2026-06-05</w:t>
            </w:r>
          </w:p>
        </w:tc>
      </w:tr>
      <w:tr>
        <w:tc>
          <w:tcPr>
            <w:tcW w:type="dxa" w:w="56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SR 26-2 superseded SR 11-7 / SR 21-8 (model risk), Apr 17, 2026</w:t>
            </w:r>
          </w:p>
        </w:tc>
        <w:tc>
          <w:tcPr>
            <w:tcW w:type="dxa" w:w="30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https://www.federalreserve.gov/supervisionreg/srletters/SR2602.htm</w:t>
            </w:r>
          </w:p>
        </w:tc>
        <w:tc>
          <w:tcPr>
            <w:tcW w:type="dxa" w:w="76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2026-06-05</w:t>
            </w:r>
          </w:p>
        </w:tc>
      </w:tr>
      <w:tr>
        <w:tc>
          <w:tcPr>
            <w:tcW w:type="dxa" w:w="56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LFI rating framework recalibrated ('well managed'), adopted Nov 5, 2025</w:t>
            </w:r>
          </w:p>
        </w:tc>
        <w:tc>
          <w:tcPr>
            <w:tcW w:type="dxa" w:w="30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https://www.federalreserve.gov/newsevents/pressreleases/bcreg20251105a.htm</w:t>
            </w:r>
          </w:p>
        </w:tc>
        <w:tc>
          <w:tcPr>
            <w:tcW w:type="dxa" w:w="7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2026-06-05</w:t>
            </w:r>
          </w:p>
        </w:tc>
      </w:tr>
      <w:tr>
        <w:tc>
          <w:tcPr>
            <w:tcW w:type="dxa" w:w="56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CFPB 'Humility in Supervision' pledge / curtailed 2026 exams</w:t>
            </w:r>
          </w:p>
        </w:tc>
        <w:tc>
          <w:tcPr>
            <w:tcW w:type="dxa" w:w="30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https://www.consumerfinance.gov/about-us/newsroom/cfpb-supervision-division-releases-new-humility-pledge/</w:t>
            </w:r>
          </w:p>
        </w:tc>
        <w:tc>
          <w:tcPr>
            <w:tcW w:type="dxa" w:w="76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2026-06-05</w:t>
            </w:r>
          </w:p>
        </w:tc>
      </w:tr>
      <w:tr>
        <w:tc>
          <w:tcPr>
            <w:tcW w:type="dxa" w:w="56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FDIC withdrew 2023 corporate-governance proposal, Mar 3, 2025</w:t>
            </w:r>
          </w:p>
        </w:tc>
        <w:tc>
          <w:tcPr>
            <w:tcW w:type="dxa" w:w="30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https://www.fdic.gov/news/press-releases/2025/fdic-board-directors-withdraws-four-outstanding-proposed-rules</w:t>
            </w:r>
          </w:p>
        </w:tc>
        <w:tc>
          <w:tcPr>
            <w:tcW w:type="dxa" w:w="7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2026-06-05</w:t>
            </w:r>
          </w:p>
        </w:tc>
      </w:tr>
      <w:tr>
        <w:tc>
          <w:tcPr>
            <w:tcW w:type="dxa" w:w="56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OCC/FDIC reputation-risk final rule, eff. June 9, 2026 (OCC Bulletin 2026-12; 2026-23)</w:t>
            </w:r>
          </w:p>
        </w:tc>
        <w:tc>
          <w:tcPr>
            <w:tcW w:type="dxa" w:w="30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https://www.federalregister.gov/documents/2026/04/10/2026-06947/prohibition-on-the-use-of-reputation-risk-by-regulators</w:t>
            </w:r>
          </w:p>
        </w:tc>
        <w:tc>
          <w:tcPr>
            <w:tcW w:type="dxa" w:w="76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2026-06-05</w:t>
            </w:r>
          </w:p>
        </w:tc>
      </w:tr>
      <w:tr>
        <w:tc>
          <w:tcPr>
            <w:tcW w:type="dxa" w:w="56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Interagency Statement on the Role of Supervisory Guidance (guidance not legally binding)</w:t>
            </w:r>
          </w:p>
        </w:tc>
        <w:tc>
          <w:tcPr>
            <w:tcW w:type="dxa" w:w="300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https://www.federalreserve.gov/newsevents/pressreleases/bcreg20180911a.htm</w:t>
            </w:r>
          </w:p>
        </w:tc>
        <w:tc>
          <w:tcPr>
            <w:tcW w:type="dxa" w:w="760"/>
            <w:tcBorders>
              <w:top w:val="single" w:color="BFBFBF" w:sz="1"/>
              <w:left w:val="single" w:color="BFBFBF" w:sz="1"/>
              <w:bottom w:val="single" w:color="BFBFBF" w:sz="1"/>
              <w:right w:val="single" w:color="BFBFBF" w:sz="1"/>
            </w:tcBorders>
            <w:shd w:fill="FFFFFF" w:val="clear"/>
            <w:tcMar>
              <w:top w:type="dxa" w:w="50"/>
              <w:left w:type="dxa" w:w="80"/>
              <w:bottom w:type="dxa" w:w="50"/>
              <w:right w:type="dxa" w:w="80"/>
            </w:tcMar>
          </w:tcPr>
          <w:p>
            <w:pPr>
              <w:spacing w:after="0"/>
              <w:jc w:val="left"/>
            </w:pPr>
            <w:r>
              <w:rPr>
                <w:rFonts w:ascii="Arial" w:cs="Arial" w:eastAsia="Arial" w:hAnsi="Arial"/>
                <w:sz w:val="14"/>
                <w:szCs w:val="14"/>
              </w:rPr>
              <w:t xml:space="preserve">2026-06-05</w:t>
            </w:r>
          </w:p>
        </w:tc>
      </w:tr>
      <w:tr>
        <w:tc>
          <w:tcPr>
            <w:tcW w:type="dxa" w:w="56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Dodd-Frank §956 incentive-comp rule remains unfinalized (12 CFR part 236 reserved)</w:t>
            </w:r>
          </w:p>
        </w:tc>
        <w:tc>
          <w:tcPr>
            <w:tcW w:type="dxa" w:w="300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https://www.ecfr.gov/current/title-12/chapter-II/part-236</w:t>
            </w:r>
          </w:p>
        </w:tc>
        <w:tc>
          <w:tcPr>
            <w:tcW w:type="dxa" w:w="760"/>
            <w:tcBorders>
              <w:top w:val="single" w:color="BFBFBF" w:sz="1"/>
              <w:left w:val="single" w:color="BFBFBF" w:sz="1"/>
              <w:bottom w:val="single" w:color="BFBFBF" w:sz="1"/>
              <w:right w:val="single" w:color="BFBFBF" w:sz="1"/>
            </w:tcBorders>
            <w:shd w:fill="F2F2F2" w:val="clear"/>
            <w:tcMar>
              <w:top w:type="dxa" w:w="50"/>
              <w:left w:type="dxa" w:w="80"/>
              <w:bottom w:type="dxa" w:w="50"/>
              <w:right w:type="dxa" w:w="80"/>
            </w:tcMar>
          </w:tcPr>
          <w:p>
            <w:pPr>
              <w:spacing w:after="0"/>
              <w:jc w:val="left"/>
            </w:pPr>
            <w:r>
              <w:rPr>
                <w:rFonts w:ascii="Arial" w:cs="Arial" w:eastAsia="Arial" w:hAnsi="Arial"/>
                <w:sz w:val="14"/>
                <w:szCs w:val="14"/>
              </w:rPr>
              <w:t xml:space="preserve">2026-06-05</w:t>
            </w:r>
          </w:p>
        </w:tc>
      </w:tr>
    </w:tbl>
    <w:p>
      <w:pPr>
        <w:spacing w:after="120" w:before="160"/>
      </w:pPr>
      <w:r>
        <w:rPr>
          <w:rFonts w:ascii="Arial" w:cs="Arial" w:eastAsia="Arial" w:hAnsi="Arial"/>
          <w:i/>
          <w:iCs/>
          <w:color w:val="808080"/>
          <w:sz w:val="18"/>
          <w:szCs w:val="18"/>
        </w:rPr>
        <w:t xml:space="preserve">This report was synthesized from multiple independent analyses and is offered as a working policy-reform reference; it summarizes board duties and is not legal advice. Confirm each citation and its current status against the issuing authority before reliance.</w:t>
      </w:r>
    </w:p>
    <w:sectPr>
      <w:footerReference w:type="default" r:id="rId11"/>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Board Duties at Category I U.S. GSIBs — Two-Layer Inventory v2.1 — as of June 24, 2026  |  Page </w:t>
    </w:r>
    <w:r>
      <w:rPr>
        <w:rFonts w:ascii="Arial" w:cs="Arial" w:eastAsia="Arial" w:hAnsi="Arial"/>
        <w:color w:val="808080"/>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Board Duties at Category I U.S. GSIBs — Two-Layer Inventory v2.1 — as of June 24, 2026  |  Page </w:t>
    </w:r>
    <w:r>
      <w:rPr>
        <w:rFonts w:ascii="Arial" w:cs="Arial" w:eastAsia="Arial" w:hAnsi="Arial"/>
        <w:color w:val="808080"/>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Board Duties at Category I U.S. GSIBs — Two-Layer Inventory v2.1 — as of June 24, 2026  |  Page </w:t>
    </w:r>
    <w:r>
      <w:rPr>
        <w:rFonts w:ascii="Arial" w:cs="Arial" w:eastAsia="Arial" w:hAnsi="Arial"/>
        <w:color w:val="808080"/>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Board Duties at Category I U.S. GSIBs — Two-Layer Inventory v2.1 — as of June 24, 2026  |  Page </w:t>
    </w:r>
    <w:r>
      <w:rPr>
        <w:rFonts w:ascii="Arial" w:cs="Arial" w:eastAsia="Arial" w:hAnsi="Arial"/>
        <w:color w:val="808080"/>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Board Duties at Category I U.S. GSIBs — Two-Layer Inventory v2.1 — as of June 24, 2026  |  Page </w:t>
    </w:r>
    <w:r>
      <w:rPr>
        <w:rFonts w:ascii="Arial" w:cs="Arial" w:eastAsia="Arial" w:hAnsi="Arial"/>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50" w:before="260"/>
      <w:outlineLvl w:val="0"/>
    </w:pPr>
    <w:rPr>
      <w:rFonts w:ascii="Arial" w:cs="Arial" w:eastAsia="Arial" w:hAnsi="Arial"/>
      <w:b/>
      <w:bCs/>
      <w:color w:val="1F3864"/>
      <w:sz w:val="30"/>
      <w:szCs w:val="30"/>
    </w:rPr>
  </w:style>
  <w:style w:type="paragraph" w:styleId="Heading2">
    <w:name w:val="Heading 2"/>
    <w:basedOn w:val="Normal"/>
    <w:next w:val="Normal"/>
    <w:qFormat/>
    <w:pPr>
      <w:keepNext/>
      <w:spacing w:after="100" w:before="190"/>
      <w:outlineLvl w:val="1"/>
    </w:pPr>
    <w:rPr>
      <w:rFonts w:ascii="Arial" w:cs="Arial" w:eastAsia="Arial" w:hAnsi="Arial"/>
      <w:b/>
      <w:bCs/>
      <w:color w:val="2E5496"/>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2026-06-05T16:37:35.431Z</dcterms:created>
  <dcterms:modified xsi:type="dcterms:W3CDTF">2026-06-05T16:37:35.431Z</dcterms:modified>
</cp:coreProperties>
</file>

<file path=docProps/custom.xml><?xml version="1.0" encoding="utf-8"?>
<Properties xmlns="http://schemas.openxmlformats.org/officeDocument/2006/custom-properties" xmlns:vt="http://schemas.openxmlformats.org/officeDocument/2006/docPropsVTypes"/>
</file>