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Board-Level Obligations Applicable to Category I U.S. GSIB Bank Holding Companies and Their Insured Depository Institution Subsidiaries</w:t>
      </w:r>
    </w:p>
    <w:p>
      <w:pPr>
        <w:jc w:val="center"/>
      </w:pPr>
      <w:r>
        <w:rPr>
          <w:i/>
          <w:sz w:val="24"/>
        </w:rPr>
        <w:t>Comprehensive Citation-Level Working Draft for Directors, Counsel, and Regulatory Reform Policymakers</w:t>
      </w:r>
    </w:p>
    <w:p>
      <w:pPr>
        <w:jc w:val="center"/>
      </w:pPr>
      <w:r>
        <w:rPr>
          <w:b/>
        </w:rPr>
        <w:t>Current through May 29, 2026</w:t>
      </w:r>
    </w:p>
    <w:p>
      <w:r>
        <w:br w:type="page"/>
      </w:r>
    </w:p>
    <w:p>
      <w:pPr>
        <w:pStyle w:val="Heading1"/>
      </w:pPr>
      <w:r>
        <w:rPr>
          <w:b w:val="0"/>
          <w:i w:val="0"/>
        </w:rPr>
        <w:t>Important Note on Use</w:t>
      </w:r>
    </w:p>
    <w:p>
      <w:r>
        <w:rPr>
          <w:b w:val="0"/>
          <w:i w:val="0"/>
        </w:rPr>
        <w:t>This document is a working policy-reform inventory, not legal advice. It is designed to identify board-level obligations that arise from federal banking regulations, enforceable safety-and-soundness guidelines, and supervisory guidance applicable to Category I U.S. global systemically important bank holding companies and their insured depository institution subsidiaries. It should be validated by counsel against the current Code of Federal Regulations, agency manuals, supervisory letters, and any institution-specific orders, commitments, or supervisory findings before use in board materials or advocacy.</w:t>
      </w:r>
    </w:p>
    <w:p>
      <w:r>
        <w:rPr>
          <w:b w:val="0"/>
          <w:i w:val="0"/>
        </w:rPr>
        <w:t>The document uses “obligation” in a functional sense. It distinguishes binding regulations, enforceable guidelines, supervisory guidance, and examination expectations. That distinction matters. Regulations and enforceable guidelines can create direct legal obligations. Supervisory guidance and examination manuals generally do not create binding law, but they often shape examiner expectations, board reporting packages, and governance burdens in practice.</w:t>
      </w:r>
    </w:p>
    <w:p>
      <w:pPr>
        <w:pStyle w:val="Heading1"/>
      </w:pPr>
      <w:r>
        <w:rPr>
          <w:b w:val="0"/>
          <w:i w:val="0"/>
        </w:rPr>
        <w:t>Executive Summary</w:t>
      </w:r>
    </w:p>
    <w:p>
      <w:pPr>
        <w:pStyle w:val="ListBullet"/>
      </w:pPr>
      <w:r>
        <w:t>Category I GSIB boards face a dense board-governance stack built from at least five overlapping layers: Federal Reserve enhanced prudential standards for the parent bank holding company; IDI-level safety-and-soundness and charter-specific regimes; committee-specific mandates; program-specific approval and reporting obligations; and supervisory guidance overlays in capital, liquidity, resolution, model risk, third-party risk, cybersecurity, incentive compensation, BSA/AML, and consumer compliance.</w:t>
      </w:r>
    </w:p>
    <w:p>
      <w:pPr>
        <w:pStyle w:val="ListBullet"/>
      </w:pPr>
      <w:r>
        <w:t>The most prescriptive board requirements are not evenly distributed. The clearest hard-law requirements include: maintenance of a BHC board risk committee under Regulation YY; board or committee approval of liquidity risk tolerance, liquidity policies, and contingency funding plan elements; board approval and minute notation for Title I resolution plans; board approval and minute notation for IDI resolution submissions; audit committee independence under FDICIA part 363; board approval of BSA/AML compliance programs; and board or committee approval and oversight of information-security programs under the interagency GLBA safeguards guidelines.</w:t>
      </w:r>
    </w:p>
    <w:p>
      <w:pPr>
        <w:pStyle w:val="ListBullet"/>
      </w:pPr>
      <w:r>
        <w:t>The largest source of duplication for Category I firms is the mismatch between enterprise-level consolidated supervision and legal-entity-level IDI governance. A GSIB parent board and a major bank subsidiary board may be asked to approve or review similar risk, liquidity, resolution, model, third-party, cyber, and compliance materials even when the underlying framework is enterprise-wide.</w:t>
      </w:r>
    </w:p>
    <w:p>
      <w:pPr>
        <w:pStyle w:val="ListBullet"/>
      </w:pPr>
      <w:r>
        <w:t>A second major source of burden is the conversion of oversight into document approval. In many domains, the board or board committee is not merely expected to oversee management but to approve written programs, policies, plans, risk tolerances, contingency funding plans, BSA/AML programs, information-security programs, and resolution submissions.</w:t>
      </w:r>
    </w:p>
    <w:p>
      <w:pPr>
        <w:pStyle w:val="ListBullet"/>
      </w:pPr>
      <w:r>
        <w:t>A third source of burden is inconsistent terminology for director status. “Independent director,” “outside director,” “independent of management,” and exchange-listing independence are not identical concepts. Regulations impose different tests for BHC risk committees, IDI audit committees, and OCC heightened-standards boards.</w:t>
      </w:r>
    </w:p>
    <w:p>
      <w:pPr>
        <w:pStyle w:val="ListBullet"/>
      </w:pPr>
      <w:r>
        <w:t>The most promising reform direction is not to weaken board oversight. It is to distinguish nondelegable board duties from management tasks, harmonize approval cycles, allow clear reliance by subsidiary boards on parent-level committee work where legally appropriate, and convert redundant plan approvals into risk-based certifications or exception reporting.</w:t>
      </w:r>
    </w:p>
    <w:p>
      <w:pPr>
        <w:pStyle w:val="Heading1"/>
      </w:pPr>
      <w:r>
        <w:rPr>
          <w:b w:val="0"/>
          <w:i w:val="0"/>
        </w:rPr>
        <w:t>Methodology and Source Hierarchy</w:t>
      </w:r>
    </w:p>
    <w:p>
      <w:r>
        <w:rPr>
          <w:b w:val="0"/>
          <w:i w:val="0"/>
        </w:rPr>
        <w:t>The inventory was built from four source categories. First are binding regulations in Title 12 of the Code of Federal Regulations, including Federal Reserve Regulation YY, Regulation Y, Regulation Q, FDIC part 363, FDIC part 360, OCC part 30, OCC part 21, FDIC part 326, Federal Reserve part 208, and the interagency information-security guidelines. Second are enforceable safety-and-soundness guidelines issued under section 39 of the Federal Deposit Insurance Act, including OCC appendix D heightened standards and the interagency safety-and-soundness and information-security guidelines. Third are supervisory letters and interagency guidance, including SR 12-17, SR 14-8, SR 15-18, SR 21-3, SR 23-4, and SR 26-2. Fourth are examination manuals and procedures from the CFPB and other agencies, which are not binding law but frequently drive board-level documentation and reporting practices.</w:t>
      </w:r>
    </w:p>
    <w:p>
      <w:r>
        <w:rPr>
          <w:b w:val="0"/>
          <w:i w:val="0"/>
        </w:rPr>
        <w:t>The inventory excludes proposed rules, exchange-listing rules, SEC proxy rules, state corporate-law fiduciary duties, private contractual obligations, confidential supervisory findings, and firm-specific enforcement actions. The OCC recovery-planning guidelines formerly located at 12 CFR part 30, appendix E are treated as rescinded and are not counted as current in-force obligations. Proposed Dodd-Frank Act section 956 incentive-compensation rules are not counted as current obligations because they have not been finalized.</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3312"/>
            <w:shd w:fill="D9EAF7"/>
            <w:vAlign w:val="center"/>
          </w:tcPr>
          <w:p>
            <w:pPr>
              <w:jc w:val="center"/>
            </w:pPr>
            <w:r>
              <w:rPr>
                <w:b/>
                <w:sz w:val="16"/>
              </w:rPr>
              <w:t>Source</w:t>
            </w:r>
          </w:p>
        </w:tc>
        <w:tc>
          <w:tcPr>
            <w:tcW w:type="dxa" w:w="1872"/>
            <w:shd w:fill="D9EAF7"/>
            <w:vAlign w:val="center"/>
          </w:tcPr>
          <w:p>
            <w:pPr>
              <w:jc w:val="center"/>
            </w:pPr>
            <w:r>
              <w:rPr>
                <w:b/>
                <w:sz w:val="16"/>
              </w:rPr>
              <w:t>Legal status</w:t>
            </w:r>
          </w:p>
        </w:tc>
        <w:tc>
          <w:tcPr>
            <w:tcW w:type="dxa" w:w="5760"/>
            <w:shd w:fill="D9EAF7"/>
            <w:vAlign w:val="center"/>
          </w:tcPr>
          <w:p>
            <w:pPr>
              <w:jc w:val="center"/>
            </w:pPr>
            <w:r>
              <w:rPr>
                <w:b/>
                <w:sz w:val="16"/>
              </w:rPr>
              <w:t>Board-relevant content</w:t>
            </w:r>
          </w:p>
        </w:tc>
      </w:tr>
      <w:tr>
        <w:tc>
          <w:tcPr>
            <w:tcW w:type="dxa" w:w="3312"/>
            <w:vAlign w:val="top"/>
          </w:tcPr>
          <w:p>
            <w:r>
              <w:rPr>
                <w:sz w:val="14"/>
              </w:rPr>
              <w:t>Federal Reserve Regulation YY, 12 CFR part 252, subpart D</w:t>
            </w:r>
          </w:p>
        </w:tc>
        <w:tc>
          <w:tcPr>
            <w:tcW w:type="dxa" w:w="1872"/>
            <w:vAlign w:val="top"/>
          </w:tcPr>
          <w:p>
            <w:r>
              <w:rPr>
                <w:sz w:val="14"/>
              </w:rPr>
              <w:t>Binding regulation</w:t>
            </w:r>
          </w:p>
        </w:tc>
        <w:tc>
          <w:tcPr>
            <w:tcW w:type="dxa" w:w="5760"/>
            <w:vAlign w:val="top"/>
          </w:tcPr>
          <w:p>
            <w:r>
              <w:rPr>
                <w:sz w:val="14"/>
              </w:rPr>
              <w:t>BHC enhanced prudential standards, risk committee, liquidity risk management, liquidity stress testing</w:t>
            </w:r>
          </w:p>
        </w:tc>
      </w:tr>
      <w:tr>
        <w:tc>
          <w:tcPr>
            <w:tcW w:type="dxa" w:w="3312"/>
            <w:vAlign w:val="top"/>
          </w:tcPr>
          <w:p>
            <w:r>
              <w:rPr>
                <w:sz w:val="14"/>
              </w:rPr>
              <w:t>Federal Reserve Regulation Y, 12 CFR 225.8</w:t>
            </w:r>
          </w:p>
        </w:tc>
        <w:tc>
          <w:tcPr>
            <w:tcW w:type="dxa" w:w="1872"/>
            <w:vAlign w:val="top"/>
          </w:tcPr>
          <w:p>
            <w:r>
              <w:rPr>
                <w:sz w:val="14"/>
              </w:rPr>
              <w:t>Binding regulation</w:t>
            </w:r>
          </w:p>
        </w:tc>
        <w:tc>
          <w:tcPr>
            <w:tcW w:type="dxa" w:w="5760"/>
            <w:vAlign w:val="top"/>
          </w:tcPr>
          <w:p>
            <w:r>
              <w:rPr>
                <w:sz w:val="14"/>
              </w:rPr>
              <w:t>Capital plan and stress capital buffer process</w:t>
            </w:r>
          </w:p>
        </w:tc>
      </w:tr>
      <w:tr>
        <w:tc>
          <w:tcPr>
            <w:tcW w:type="dxa" w:w="3312"/>
            <w:vAlign w:val="top"/>
          </w:tcPr>
          <w:p>
            <w:r>
              <w:rPr>
                <w:sz w:val="14"/>
              </w:rPr>
              <w:t>Federal Reserve Regulation Q, 12 CFR part 217</w:t>
            </w:r>
          </w:p>
        </w:tc>
        <w:tc>
          <w:tcPr>
            <w:tcW w:type="dxa" w:w="1872"/>
            <w:vAlign w:val="top"/>
          </w:tcPr>
          <w:p>
            <w:r>
              <w:rPr>
                <w:sz w:val="14"/>
              </w:rPr>
              <w:t>Binding regulation</w:t>
            </w:r>
          </w:p>
        </w:tc>
        <w:tc>
          <w:tcPr>
            <w:tcW w:type="dxa" w:w="5760"/>
            <w:vAlign w:val="top"/>
          </w:tcPr>
          <w:p>
            <w:r>
              <w:rPr>
                <w:sz w:val="14"/>
              </w:rPr>
              <w:t>Capital adequacy and advanced approaches systems governance</w:t>
            </w:r>
          </w:p>
        </w:tc>
      </w:tr>
      <w:tr>
        <w:tc>
          <w:tcPr>
            <w:tcW w:type="dxa" w:w="3312"/>
            <w:vAlign w:val="top"/>
          </w:tcPr>
          <w:p>
            <w:r>
              <w:rPr>
                <w:sz w:val="14"/>
              </w:rPr>
              <w:t>Federal Reserve / FDIC Resolution Plan Rule, 12 CFR part 243 and 12 CFR part 381</w:t>
            </w:r>
          </w:p>
        </w:tc>
        <w:tc>
          <w:tcPr>
            <w:tcW w:type="dxa" w:w="1872"/>
            <w:vAlign w:val="top"/>
          </w:tcPr>
          <w:p>
            <w:r>
              <w:rPr>
                <w:sz w:val="14"/>
              </w:rPr>
              <w:t>Binding regulation</w:t>
            </w:r>
          </w:p>
        </w:tc>
        <w:tc>
          <w:tcPr>
            <w:tcW w:type="dxa" w:w="5760"/>
            <w:vAlign w:val="top"/>
          </w:tcPr>
          <w:p>
            <w:r>
              <w:rPr>
                <w:sz w:val="14"/>
              </w:rPr>
              <w:t>Title I resolution planning for covered companies</w:t>
            </w:r>
          </w:p>
        </w:tc>
      </w:tr>
      <w:tr>
        <w:tc>
          <w:tcPr>
            <w:tcW w:type="dxa" w:w="3312"/>
            <w:vAlign w:val="top"/>
          </w:tcPr>
          <w:p>
            <w:r>
              <w:rPr>
                <w:sz w:val="14"/>
              </w:rPr>
              <w:t>FDIC 12 CFR 360.10</w:t>
            </w:r>
          </w:p>
        </w:tc>
        <w:tc>
          <w:tcPr>
            <w:tcW w:type="dxa" w:w="1872"/>
            <w:vAlign w:val="top"/>
          </w:tcPr>
          <w:p>
            <w:r>
              <w:rPr>
                <w:sz w:val="14"/>
              </w:rPr>
              <w:t>Binding regulation</w:t>
            </w:r>
          </w:p>
        </w:tc>
        <w:tc>
          <w:tcPr>
            <w:tcW w:type="dxa" w:w="5760"/>
            <w:vAlign w:val="top"/>
          </w:tcPr>
          <w:p>
            <w:r>
              <w:rPr>
                <w:sz w:val="14"/>
              </w:rPr>
              <w:t>Covered insured depository institution resolution planning</w:t>
            </w:r>
          </w:p>
        </w:tc>
      </w:tr>
      <w:tr>
        <w:tc>
          <w:tcPr>
            <w:tcW w:type="dxa" w:w="3312"/>
            <w:vAlign w:val="top"/>
          </w:tcPr>
          <w:p>
            <w:r>
              <w:rPr>
                <w:sz w:val="14"/>
              </w:rPr>
              <w:t>FDIC 12 CFR part 363</w:t>
            </w:r>
          </w:p>
        </w:tc>
        <w:tc>
          <w:tcPr>
            <w:tcW w:type="dxa" w:w="1872"/>
            <w:vAlign w:val="top"/>
          </w:tcPr>
          <w:p>
            <w:r>
              <w:rPr>
                <w:sz w:val="14"/>
              </w:rPr>
              <w:t>Binding regulation</w:t>
            </w:r>
          </w:p>
        </w:tc>
        <w:tc>
          <w:tcPr>
            <w:tcW w:type="dxa" w:w="5760"/>
            <w:vAlign w:val="top"/>
          </w:tcPr>
          <w:p>
            <w:r>
              <w:rPr>
                <w:sz w:val="14"/>
              </w:rPr>
              <w:t>Annual independent audit and audit committee requirements</w:t>
            </w:r>
          </w:p>
        </w:tc>
      </w:tr>
      <w:tr>
        <w:tc>
          <w:tcPr>
            <w:tcW w:type="dxa" w:w="3312"/>
            <w:vAlign w:val="top"/>
          </w:tcPr>
          <w:p>
            <w:r>
              <w:rPr>
                <w:sz w:val="14"/>
              </w:rPr>
              <w:t>OCC 12 CFR part 30, appendices A, B, and D</w:t>
            </w:r>
          </w:p>
        </w:tc>
        <w:tc>
          <w:tcPr>
            <w:tcW w:type="dxa" w:w="1872"/>
            <w:vAlign w:val="top"/>
          </w:tcPr>
          <w:p>
            <w:r>
              <w:rPr>
                <w:sz w:val="14"/>
              </w:rPr>
              <w:t>Enforceable safety-and-soundness guidelines</w:t>
            </w:r>
          </w:p>
        </w:tc>
        <w:tc>
          <w:tcPr>
            <w:tcW w:type="dxa" w:w="5760"/>
            <w:vAlign w:val="top"/>
          </w:tcPr>
          <w:p>
            <w:r>
              <w:rPr>
                <w:sz w:val="14"/>
              </w:rPr>
              <w:t>Safety and soundness, information security, OCC heightened risk governance</w:t>
            </w:r>
          </w:p>
        </w:tc>
      </w:tr>
      <w:tr>
        <w:tc>
          <w:tcPr>
            <w:tcW w:type="dxa" w:w="3312"/>
            <w:vAlign w:val="top"/>
          </w:tcPr>
          <w:p>
            <w:r>
              <w:rPr>
                <w:sz w:val="14"/>
              </w:rPr>
              <w:t>OCC 12 CFR 21.21; Fed 12 CFR 208.63; FDIC 12 CFR 326.8</w:t>
            </w:r>
          </w:p>
        </w:tc>
        <w:tc>
          <w:tcPr>
            <w:tcW w:type="dxa" w:w="1872"/>
            <w:vAlign w:val="top"/>
          </w:tcPr>
          <w:p>
            <w:r>
              <w:rPr>
                <w:sz w:val="14"/>
              </w:rPr>
              <w:t>Binding regulations</w:t>
            </w:r>
          </w:p>
        </w:tc>
        <w:tc>
          <w:tcPr>
            <w:tcW w:type="dxa" w:w="5760"/>
            <w:vAlign w:val="top"/>
          </w:tcPr>
          <w:p>
            <w:r>
              <w:rPr>
                <w:sz w:val="14"/>
              </w:rPr>
              <w:t>BSA/AML compliance programs approved by boards and reflected in minutes</w:t>
            </w:r>
          </w:p>
        </w:tc>
      </w:tr>
      <w:tr>
        <w:tc>
          <w:tcPr>
            <w:tcW w:type="dxa" w:w="3312"/>
            <w:vAlign w:val="top"/>
          </w:tcPr>
          <w:p>
            <w:r>
              <w:rPr>
                <w:sz w:val="14"/>
              </w:rPr>
              <w:t>Interagency Guidance on Third-Party Relationships, 2023</w:t>
            </w:r>
          </w:p>
        </w:tc>
        <w:tc>
          <w:tcPr>
            <w:tcW w:type="dxa" w:w="1872"/>
            <w:vAlign w:val="top"/>
          </w:tcPr>
          <w:p>
            <w:r>
              <w:rPr>
                <w:sz w:val="14"/>
              </w:rPr>
              <w:t>Supervisory guidance</w:t>
            </w:r>
          </w:p>
        </w:tc>
        <w:tc>
          <w:tcPr>
            <w:tcW w:type="dxa" w:w="5760"/>
            <w:vAlign w:val="top"/>
          </w:tcPr>
          <w:p>
            <w:r>
              <w:rPr>
                <w:sz w:val="14"/>
              </w:rPr>
              <w:t>Third-party risk management life cycle and board/senior management oversight</w:t>
            </w:r>
          </w:p>
        </w:tc>
      </w:tr>
      <w:tr>
        <w:tc>
          <w:tcPr>
            <w:tcW w:type="dxa" w:w="3312"/>
            <w:vAlign w:val="top"/>
          </w:tcPr>
          <w:p>
            <w:r>
              <w:rPr>
                <w:sz w:val="14"/>
              </w:rPr>
              <w:t>SR 15-18 and related capital-planning guidance</w:t>
            </w:r>
          </w:p>
        </w:tc>
        <w:tc>
          <w:tcPr>
            <w:tcW w:type="dxa" w:w="1872"/>
            <w:vAlign w:val="top"/>
          </w:tcPr>
          <w:p>
            <w:r>
              <w:rPr>
                <w:sz w:val="14"/>
              </w:rPr>
              <w:t>Supervisory guidance</w:t>
            </w:r>
          </w:p>
        </w:tc>
        <w:tc>
          <w:tcPr>
            <w:tcW w:type="dxa" w:w="5760"/>
            <w:vAlign w:val="top"/>
          </w:tcPr>
          <w:p>
            <w:r>
              <w:rPr>
                <w:sz w:val="14"/>
              </w:rPr>
              <w:t>Category I capital planning governance, internal controls, scenario design, projections</w:t>
            </w:r>
          </w:p>
        </w:tc>
      </w:tr>
      <w:tr>
        <w:tc>
          <w:tcPr>
            <w:tcW w:type="dxa" w:w="3312"/>
            <w:vAlign w:val="top"/>
          </w:tcPr>
          <w:p>
            <w:r>
              <w:rPr>
                <w:sz w:val="14"/>
              </w:rPr>
              <w:t>SR 14-8 and SR 14-1</w:t>
            </w:r>
          </w:p>
        </w:tc>
        <w:tc>
          <w:tcPr>
            <w:tcW w:type="dxa" w:w="1872"/>
            <w:vAlign w:val="top"/>
          </w:tcPr>
          <w:p>
            <w:r>
              <w:rPr>
                <w:sz w:val="14"/>
              </w:rPr>
              <w:t>Supervisory guidance</w:t>
            </w:r>
          </w:p>
        </w:tc>
        <w:tc>
          <w:tcPr>
            <w:tcW w:type="dxa" w:w="5760"/>
            <w:vAlign w:val="top"/>
          </w:tcPr>
          <w:p>
            <w:r>
              <w:rPr>
                <w:sz w:val="14"/>
              </w:rPr>
              <w:t>Recovery planning and recovery/resolution preparedness for the largest BHCs</w:t>
            </w:r>
          </w:p>
        </w:tc>
      </w:tr>
      <w:tr>
        <w:tc>
          <w:tcPr>
            <w:tcW w:type="dxa" w:w="3312"/>
            <w:vAlign w:val="top"/>
          </w:tcPr>
          <w:p>
            <w:r>
              <w:rPr>
                <w:sz w:val="14"/>
              </w:rPr>
              <w:t>SR 26-2 / revised model risk management guidance</w:t>
            </w:r>
          </w:p>
        </w:tc>
        <w:tc>
          <w:tcPr>
            <w:tcW w:type="dxa" w:w="1872"/>
            <w:vAlign w:val="top"/>
          </w:tcPr>
          <w:p>
            <w:r>
              <w:rPr>
                <w:sz w:val="14"/>
              </w:rPr>
              <w:t>Supervisory guidance</w:t>
            </w:r>
          </w:p>
        </w:tc>
        <w:tc>
          <w:tcPr>
            <w:tcW w:type="dxa" w:w="5760"/>
            <w:vAlign w:val="top"/>
          </w:tcPr>
          <w:p>
            <w:r>
              <w:rPr>
                <w:sz w:val="14"/>
              </w:rPr>
              <w:t>Model risk governance and board/senior management oversight</w:t>
            </w:r>
          </w:p>
        </w:tc>
      </w:tr>
      <w:tr>
        <w:tc>
          <w:tcPr>
            <w:tcW w:type="dxa" w:w="3312"/>
            <w:vAlign w:val="top"/>
          </w:tcPr>
          <w:p>
            <w:r>
              <w:rPr>
                <w:sz w:val="14"/>
              </w:rPr>
              <w:t>CFPB CMR and CMR-IT examination procedures</w:t>
            </w:r>
          </w:p>
        </w:tc>
        <w:tc>
          <w:tcPr>
            <w:tcW w:type="dxa" w:w="1872"/>
            <w:vAlign w:val="top"/>
          </w:tcPr>
          <w:p>
            <w:r>
              <w:rPr>
                <w:sz w:val="14"/>
              </w:rPr>
              <w:t>Examination procedures</w:t>
            </w:r>
          </w:p>
        </w:tc>
        <w:tc>
          <w:tcPr>
            <w:tcW w:type="dxa" w:w="5760"/>
            <w:vAlign w:val="top"/>
          </w:tcPr>
          <w:p>
            <w:r>
              <w:rPr>
                <w:sz w:val="14"/>
              </w:rPr>
              <w:t>Consumer compliance management systems, board and management oversight, service-provider oversight</w:t>
            </w:r>
          </w:p>
        </w:tc>
      </w:tr>
    </w:tbl>
    <w:p/>
    <w:p>
      <w:pPr>
        <w:pStyle w:val="Heading1"/>
      </w:pPr>
      <w:r>
        <w:rPr>
          <w:b w:val="0"/>
          <w:i w:val="0"/>
        </w:rPr>
        <w:t>Chapter 1 — Board Architecture for Category I GSIBs</w:t>
      </w:r>
    </w:p>
    <w:p>
      <w:r>
        <w:rPr>
          <w:b w:val="0"/>
          <w:i w:val="0"/>
        </w:rPr>
        <w:t>A Category I GSIB typically operates through a parent bank holding company board, one or more major insured depository institution subsidiary boards, board risk committees, audit committees, compensation committees, governance or nominating committees, and management committees. Federal banking law does not impose a single integrated governance architecture. Instead, it layers BHC-level obligations, IDI-level obligations, and program-specific committee requirements. This creates overlapping accountability lines and a high volume of board packages.</w:t>
      </w:r>
    </w:p>
    <w:p>
      <w:r>
        <w:rPr>
          <w:b w:val="0"/>
          <w:i w:val="0"/>
        </w:rPr>
        <w:t>The inventory below treats the legally obligated actor as precisely as possible. In some rules the obligation is on the “bank holding company,” but the rule specifies a board or committee action. In others, the obligation is on the institution, but examiners evaluate the board’s oversight as a governance control. In still others, the obligation is on management to report to the board or committee. These are separated because they generate different reform options.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1800"/>
            <w:shd w:fill="D9EAF7"/>
            <w:vAlign w:val="center"/>
          </w:tcPr>
          <w:p>
            <w:pPr>
              <w:jc w:val="center"/>
            </w:pPr>
            <w:r>
              <w:rPr>
                <w:b/>
                <w:sz w:val="16"/>
              </w:rPr>
              <w:t>Obligation</w:t>
            </w:r>
          </w:p>
        </w:tc>
        <w:tc>
          <w:tcPr>
            <w:tcW w:type="dxa" w:w="1656"/>
            <w:shd w:fill="D9EAF7"/>
            <w:vAlign w:val="center"/>
          </w:tcPr>
          <w:p>
            <w:pPr>
              <w:jc w:val="center"/>
            </w:pPr>
            <w:r>
              <w:rPr>
                <w:b/>
                <w:sz w:val="16"/>
              </w:rPr>
              <w:t>Source</w:t>
            </w:r>
          </w:p>
        </w:tc>
        <w:tc>
          <w:tcPr>
            <w:tcW w:type="dxa" w:w="3528"/>
            <w:shd w:fill="D9EAF7"/>
            <w:vAlign w:val="center"/>
          </w:tcPr>
          <w:p>
            <w:pPr>
              <w:jc w:val="center"/>
            </w:pPr>
            <w:r>
              <w:rPr>
                <w:b/>
                <w:sz w:val="16"/>
              </w:rPr>
              <w:t>Duty</w:t>
            </w:r>
          </w:p>
        </w:tc>
        <w:tc>
          <w:tcPr>
            <w:tcW w:type="dxa" w:w="1584"/>
            <w:shd w:fill="D9EAF7"/>
            <w:vAlign w:val="center"/>
          </w:tcPr>
          <w:p>
            <w:pPr>
              <w:jc w:val="center"/>
            </w:pPr>
            <w:r>
              <w:rPr>
                <w:b/>
                <w:sz w:val="16"/>
              </w:rPr>
              <w:t>Actor</w:t>
            </w:r>
          </w:p>
        </w:tc>
        <w:tc>
          <w:tcPr>
            <w:tcW w:type="dxa" w:w="1800"/>
            <w:shd w:fill="D9EAF7"/>
            <w:vAlign w:val="center"/>
          </w:tcPr>
          <w:p>
            <w:pPr>
              <w:jc w:val="center"/>
            </w:pPr>
            <w:r>
              <w:rPr>
                <w:b/>
                <w:sz w:val="16"/>
              </w:rPr>
              <w:t>Director distinction</w:t>
            </w:r>
          </w:p>
        </w:tc>
        <w:tc>
          <w:tcPr>
            <w:tcW w:type="dxa" w:w="1296"/>
            <w:shd w:fill="D9EAF7"/>
            <w:vAlign w:val="center"/>
          </w:tcPr>
          <w:p>
            <w:pPr>
              <w:jc w:val="center"/>
            </w:pPr>
            <w:r>
              <w:rPr>
                <w:b/>
                <w:sz w:val="16"/>
              </w:rPr>
              <w:t>Status</w:t>
            </w:r>
          </w:p>
        </w:tc>
      </w:tr>
      <w:tr>
        <w:tc>
          <w:tcPr>
            <w:tcW w:type="dxa" w:w="1800"/>
            <w:vAlign w:val="top"/>
          </w:tcPr>
          <w:p>
            <w:r>
              <w:rPr>
                <w:sz w:val="14"/>
              </w:rPr>
              <w:t>BHC board risk committee</w:t>
            </w:r>
          </w:p>
        </w:tc>
        <w:tc>
          <w:tcPr>
            <w:tcW w:type="dxa" w:w="1656"/>
            <w:vAlign w:val="top"/>
          </w:tcPr>
          <w:p>
            <w:r>
              <w:rPr>
                <w:sz w:val="14"/>
              </w:rPr>
              <w:t>12 CFR 252.33(a)</w:t>
            </w:r>
          </w:p>
        </w:tc>
        <w:tc>
          <w:tcPr>
            <w:tcW w:type="dxa" w:w="3528"/>
            <w:vAlign w:val="top"/>
          </w:tcPr>
          <w:p>
            <w:r>
              <w:rPr>
                <w:sz w:val="14"/>
              </w:rPr>
              <w:t>Maintain a risk committee that approves and periodically reviews risk-management policies for global operations and oversees the global risk-management framework.</w:t>
            </w:r>
          </w:p>
        </w:tc>
        <w:tc>
          <w:tcPr>
            <w:tcW w:type="dxa" w:w="1584"/>
            <w:vAlign w:val="top"/>
          </w:tcPr>
          <w:p>
            <w:r>
              <w:rPr>
                <w:sz w:val="14"/>
              </w:rPr>
              <w:t>Board risk committee</w:t>
            </w:r>
          </w:p>
        </w:tc>
        <w:tc>
          <w:tcPr>
            <w:tcW w:type="dxa" w:w="1800"/>
            <w:vAlign w:val="top"/>
          </w:tcPr>
          <w:p>
            <w:r>
              <w:rPr>
                <w:sz w:val="14"/>
              </w:rPr>
              <w:t>Chair independent; at least one risk-management expert.</w:t>
            </w:r>
          </w:p>
        </w:tc>
        <w:tc>
          <w:tcPr>
            <w:tcW w:type="dxa" w:w="1296"/>
            <w:vAlign w:val="top"/>
          </w:tcPr>
          <w:p>
            <w:r>
              <w:rPr>
                <w:sz w:val="14"/>
              </w:rPr>
              <w:t>Binding rule</w:t>
            </w:r>
          </w:p>
        </w:tc>
      </w:tr>
      <w:tr>
        <w:tc>
          <w:tcPr>
            <w:tcW w:type="dxa" w:w="1800"/>
            <w:vAlign w:val="top"/>
          </w:tcPr>
          <w:p>
            <w:r>
              <w:rPr>
                <w:sz w:val="14"/>
              </w:rPr>
              <w:t>Risk committee responsibilities include liquidity</w:t>
            </w:r>
          </w:p>
        </w:tc>
        <w:tc>
          <w:tcPr>
            <w:tcW w:type="dxa" w:w="1656"/>
            <w:vAlign w:val="top"/>
          </w:tcPr>
          <w:p>
            <w:r>
              <w:rPr>
                <w:sz w:val="14"/>
              </w:rPr>
              <w:t>12 CFR 252.33(a)(1); 12 CFR 252.34(b)</w:t>
            </w:r>
          </w:p>
        </w:tc>
        <w:tc>
          <w:tcPr>
            <w:tcW w:type="dxa" w:w="3528"/>
            <w:vAlign w:val="top"/>
          </w:tcPr>
          <w:p>
            <w:r>
              <w:rPr>
                <w:sz w:val="14"/>
              </w:rPr>
              <w:t>Risk committee responsibilities include liquidity risk-management responsibilities specified in the liquidity rule, including contingency funding plan approval.</w:t>
            </w:r>
          </w:p>
        </w:tc>
        <w:tc>
          <w:tcPr>
            <w:tcW w:type="dxa" w:w="1584"/>
            <w:vAlign w:val="top"/>
          </w:tcPr>
          <w:p>
            <w:r>
              <w:rPr>
                <w:sz w:val="14"/>
              </w:rPr>
              <w:t>Board risk committee</w:t>
            </w:r>
          </w:p>
        </w:tc>
        <w:tc>
          <w:tcPr>
            <w:tcW w:type="dxa" w:w="1800"/>
            <w:vAlign w:val="top"/>
          </w:tcPr>
          <w:p>
            <w:r>
              <w:rPr>
                <w:sz w:val="14"/>
              </w:rPr>
              <w:t>Same independence requirements as risk committee.</w:t>
            </w:r>
          </w:p>
        </w:tc>
        <w:tc>
          <w:tcPr>
            <w:tcW w:type="dxa" w:w="1296"/>
            <w:vAlign w:val="top"/>
          </w:tcPr>
          <w:p>
            <w:r>
              <w:rPr>
                <w:sz w:val="14"/>
              </w:rPr>
              <w:t>Binding rule</w:t>
            </w:r>
          </w:p>
        </w:tc>
      </w:tr>
      <w:tr>
        <w:tc>
          <w:tcPr>
            <w:tcW w:type="dxa" w:w="1800"/>
            <w:vAlign w:val="top"/>
          </w:tcPr>
          <w:p>
            <w:r>
              <w:rPr>
                <w:sz w:val="14"/>
              </w:rPr>
              <w:t>OCC covered-bank risk governance</w:t>
            </w:r>
          </w:p>
        </w:tc>
        <w:tc>
          <w:tcPr>
            <w:tcW w:type="dxa" w:w="1656"/>
            <w:vAlign w:val="top"/>
          </w:tcPr>
          <w:p>
            <w:r>
              <w:rPr>
                <w:sz w:val="14"/>
              </w:rPr>
              <w:t>12 CFR part 30, appendix D</w:t>
            </w:r>
          </w:p>
        </w:tc>
        <w:tc>
          <w:tcPr>
            <w:tcW w:type="dxa" w:w="3528"/>
            <w:vAlign w:val="top"/>
          </w:tcPr>
          <w:p>
            <w:r>
              <w:rPr>
                <w:sz w:val="14"/>
              </w:rPr>
              <w:t>Covered bank should establish and adhere to a written risk-governance framework and board should oversee the framework’s design and implementation.</w:t>
            </w:r>
          </w:p>
        </w:tc>
        <w:tc>
          <w:tcPr>
            <w:tcW w:type="dxa" w:w="1584"/>
            <w:vAlign w:val="top"/>
          </w:tcPr>
          <w:p>
            <w:r>
              <w:rPr>
                <w:sz w:val="14"/>
              </w:rPr>
              <w:t>IDI full board or risk committee</w:t>
            </w:r>
          </w:p>
        </w:tc>
        <w:tc>
          <w:tcPr>
            <w:tcW w:type="dxa" w:w="1800"/>
            <w:vAlign w:val="top"/>
          </w:tcPr>
          <w:p>
            <w:r>
              <w:rPr>
                <w:sz w:val="14"/>
              </w:rPr>
              <w:t>At least two independent directors expected; each director should exercise independent judgment.</w:t>
            </w:r>
          </w:p>
        </w:tc>
        <w:tc>
          <w:tcPr>
            <w:tcW w:type="dxa" w:w="1296"/>
            <w:vAlign w:val="top"/>
          </w:tcPr>
          <w:p>
            <w:r>
              <w:rPr>
                <w:sz w:val="14"/>
              </w:rPr>
              <w:t>Enforceable guideline</w:t>
            </w:r>
          </w:p>
        </w:tc>
      </w:tr>
      <w:tr>
        <w:tc>
          <w:tcPr>
            <w:tcW w:type="dxa" w:w="1800"/>
            <w:vAlign w:val="top"/>
          </w:tcPr>
          <w:p>
            <w:r>
              <w:rPr>
                <w:sz w:val="14"/>
              </w:rPr>
              <w:t>Board active oversight</w:t>
            </w:r>
          </w:p>
        </w:tc>
        <w:tc>
          <w:tcPr>
            <w:tcW w:type="dxa" w:w="1656"/>
            <w:vAlign w:val="top"/>
          </w:tcPr>
          <w:p>
            <w:r>
              <w:rPr>
                <w:sz w:val="14"/>
              </w:rPr>
              <w:t>12 CFR part 30, appendix D</w:t>
            </w:r>
          </w:p>
        </w:tc>
        <w:tc>
          <w:tcPr>
            <w:tcW w:type="dxa" w:w="3528"/>
            <w:vAlign w:val="top"/>
          </w:tcPr>
          <w:p>
            <w:r>
              <w:rPr>
                <w:sz w:val="14"/>
              </w:rPr>
              <w:t>Board should actively oversee risk-taking activities and hold management accountable for adhering to the risk-governance framework.</w:t>
            </w:r>
          </w:p>
        </w:tc>
        <w:tc>
          <w:tcPr>
            <w:tcW w:type="dxa" w:w="1584"/>
            <w:vAlign w:val="top"/>
          </w:tcPr>
          <w:p>
            <w:r>
              <w:rPr>
                <w:sz w:val="14"/>
              </w:rPr>
              <w:t>IDI full board</w:t>
            </w:r>
          </w:p>
        </w:tc>
        <w:tc>
          <w:tcPr>
            <w:tcW w:type="dxa" w:w="1800"/>
            <w:vAlign w:val="top"/>
          </w:tcPr>
          <w:p>
            <w:r>
              <w:rPr>
                <w:sz w:val="14"/>
              </w:rPr>
              <w:t>Independent judgment expectation applies to each director.</w:t>
            </w:r>
          </w:p>
        </w:tc>
        <w:tc>
          <w:tcPr>
            <w:tcW w:type="dxa" w:w="1296"/>
            <w:vAlign w:val="top"/>
          </w:tcPr>
          <w:p>
            <w:r>
              <w:rPr>
                <w:sz w:val="14"/>
              </w:rPr>
              <w:t>Enforceable guideline</w:t>
            </w:r>
          </w:p>
        </w:tc>
      </w:tr>
      <w:tr>
        <w:tc>
          <w:tcPr>
            <w:tcW w:type="dxa" w:w="1800"/>
            <w:vAlign w:val="top"/>
          </w:tcPr>
          <w:p>
            <w:r>
              <w:rPr>
                <w:sz w:val="14"/>
              </w:rPr>
              <w:t>Risk appetite approval</w:t>
            </w:r>
          </w:p>
        </w:tc>
        <w:tc>
          <w:tcPr>
            <w:tcW w:type="dxa" w:w="1656"/>
            <w:vAlign w:val="top"/>
          </w:tcPr>
          <w:p>
            <w:r>
              <w:rPr>
                <w:sz w:val="14"/>
              </w:rPr>
              <w:t>12 CFR part 30, appendix D</w:t>
            </w:r>
          </w:p>
        </w:tc>
        <w:tc>
          <w:tcPr>
            <w:tcW w:type="dxa" w:w="3528"/>
            <w:vAlign w:val="top"/>
          </w:tcPr>
          <w:p>
            <w:r>
              <w:rPr>
                <w:sz w:val="14"/>
              </w:rPr>
              <w:t>Board or risk committee should review and approve risk appetite at least annually and more often as needed.</w:t>
            </w:r>
          </w:p>
        </w:tc>
        <w:tc>
          <w:tcPr>
            <w:tcW w:type="dxa" w:w="1584"/>
            <w:vAlign w:val="top"/>
          </w:tcPr>
          <w:p>
            <w:r>
              <w:rPr>
                <w:sz w:val="14"/>
              </w:rPr>
              <w:t>IDI board or risk committee</w:t>
            </w:r>
          </w:p>
        </w:tc>
        <w:tc>
          <w:tcPr>
            <w:tcW w:type="dxa" w:w="1800"/>
            <w:vAlign w:val="top"/>
          </w:tcPr>
          <w:p>
            <w:r>
              <w:rPr>
                <w:sz w:val="14"/>
              </w:rPr>
              <w:t>No special committee rule beyond appendix D.</w:t>
            </w:r>
          </w:p>
        </w:tc>
        <w:tc>
          <w:tcPr>
            <w:tcW w:type="dxa" w:w="1296"/>
            <w:vAlign w:val="top"/>
          </w:tcPr>
          <w:p>
            <w:r>
              <w:rPr>
                <w:sz w:val="14"/>
              </w:rPr>
              <w:t>Enforceable guideline</w:t>
            </w:r>
          </w:p>
        </w:tc>
      </w:tr>
      <w:tr>
        <w:tc>
          <w:tcPr>
            <w:tcW w:type="dxa" w:w="1800"/>
            <w:vAlign w:val="top"/>
          </w:tcPr>
          <w:p>
            <w:r>
              <w:rPr>
                <w:sz w:val="14"/>
              </w:rPr>
              <w:t>Risk governance framework approval</w:t>
            </w:r>
          </w:p>
        </w:tc>
        <w:tc>
          <w:tcPr>
            <w:tcW w:type="dxa" w:w="1656"/>
            <w:vAlign w:val="top"/>
          </w:tcPr>
          <w:p>
            <w:r>
              <w:rPr>
                <w:sz w:val="14"/>
              </w:rPr>
              <w:t>12 CFR part 30, appendix D</w:t>
            </w:r>
          </w:p>
        </w:tc>
        <w:tc>
          <w:tcPr>
            <w:tcW w:type="dxa" w:w="3528"/>
            <w:vAlign w:val="top"/>
          </w:tcPr>
          <w:p>
            <w:r>
              <w:rPr>
                <w:sz w:val="14"/>
              </w:rPr>
              <w:t>Board or risk committee reviews and approves the risk-governance framework and significant changes.</w:t>
            </w:r>
          </w:p>
        </w:tc>
        <w:tc>
          <w:tcPr>
            <w:tcW w:type="dxa" w:w="1584"/>
            <w:vAlign w:val="top"/>
          </w:tcPr>
          <w:p>
            <w:r>
              <w:rPr>
                <w:sz w:val="14"/>
              </w:rPr>
              <w:t>IDI board or risk committee</w:t>
            </w:r>
          </w:p>
        </w:tc>
        <w:tc>
          <w:tcPr>
            <w:tcW w:type="dxa" w:w="1800"/>
            <w:vAlign w:val="top"/>
          </w:tcPr>
          <w:p>
            <w:r>
              <w:rPr>
                <w:sz w:val="14"/>
              </w:rPr>
              <w:t>No additional distinction.</w:t>
            </w:r>
          </w:p>
        </w:tc>
        <w:tc>
          <w:tcPr>
            <w:tcW w:type="dxa" w:w="1296"/>
            <w:vAlign w:val="top"/>
          </w:tcPr>
          <w:p>
            <w:r>
              <w:rPr>
                <w:sz w:val="14"/>
              </w:rPr>
              <w:t>Enforceable guideline</w:t>
            </w:r>
          </w:p>
        </w:tc>
      </w:tr>
      <w:tr>
        <w:tc>
          <w:tcPr>
            <w:tcW w:type="dxa" w:w="1800"/>
            <w:vAlign w:val="top"/>
          </w:tcPr>
          <w:p>
            <w:r>
              <w:rPr>
                <w:sz w:val="14"/>
              </w:rPr>
              <w:t>Board information and reporting</w:t>
            </w:r>
          </w:p>
        </w:tc>
        <w:tc>
          <w:tcPr>
            <w:tcW w:type="dxa" w:w="1656"/>
            <w:vAlign w:val="top"/>
          </w:tcPr>
          <w:p>
            <w:r>
              <w:rPr>
                <w:sz w:val="14"/>
              </w:rPr>
              <w:t>12 CFR part 30, appendix D</w:t>
            </w:r>
          </w:p>
        </w:tc>
        <w:tc>
          <w:tcPr>
            <w:tcW w:type="dxa" w:w="3528"/>
            <w:vAlign w:val="top"/>
          </w:tcPr>
          <w:p>
            <w:r>
              <w:rPr>
                <w:sz w:val="14"/>
              </w:rPr>
              <w:t>Board should receive sufficient information from independent risk management, internal audit, and management to oversee risk-taking and framework compliance.</w:t>
            </w:r>
          </w:p>
        </w:tc>
        <w:tc>
          <w:tcPr>
            <w:tcW w:type="dxa" w:w="1584"/>
            <w:vAlign w:val="top"/>
          </w:tcPr>
          <w:p>
            <w:r>
              <w:rPr>
                <w:sz w:val="14"/>
              </w:rPr>
              <w:t>IDI board or risk committee</w:t>
            </w:r>
          </w:p>
        </w:tc>
        <w:tc>
          <w:tcPr>
            <w:tcW w:type="dxa" w:w="1800"/>
            <w:vAlign w:val="top"/>
          </w:tcPr>
          <w:p>
            <w:r>
              <w:rPr>
                <w:sz w:val="14"/>
              </w:rPr>
              <w:t>No additional distinction.</w:t>
            </w:r>
          </w:p>
        </w:tc>
        <w:tc>
          <w:tcPr>
            <w:tcW w:type="dxa" w:w="1296"/>
            <w:vAlign w:val="top"/>
          </w:tcPr>
          <w:p>
            <w:r>
              <w:rPr>
                <w:sz w:val="14"/>
              </w:rPr>
              <w:t>Enforceable guideline</w:t>
            </w:r>
          </w:p>
        </w:tc>
      </w:tr>
      <w:tr>
        <w:tc>
          <w:tcPr>
            <w:tcW w:type="dxa" w:w="1800"/>
            <w:vAlign w:val="top"/>
          </w:tcPr>
          <w:p>
            <w:r>
              <w:rPr>
                <w:sz w:val="14"/>
              </w:rPr>
              <w:t>Fed board effectiveness</w:t>
            </w:r>
          </w:p>
        </w:tc>
        <w:tc>
          <w:tcPr>
            <w:tcW w:type="dxa" w:w="1656"/>
            <w:vAlign w:val="top"/>
          </w:tcPr>
          <w:p>
            <w:r>
              <w:rPr>
                <w:sz w:val="14"/>
              </w:rPr>
              <w:t>SR 21-3 / CA 21-1</w:t>
            </w:r>
          </w:p>
        </w:tc>
        <w:tc>
          <w:tcPr>
            <w:tcW w:type="dxa" w:w="3528"/>
            <w:vAlign w:val="top"/>
          </w:tcPr>
          <w:p>
            <w:r>
              <w:rPr>
                <w:sz w:val="14"/>
              </w:rPr>
              <w:t>Board should provide effective oversight, set clear direction, hold senior management accountable, support independent risk management and internal audit, and maintain an effective governance structure.</w:t>
            </w:r>
          </w:p>
        </w:tc>
        <w:tc>
          <w:tcPr>
            <w:tcW w:type="dxa" w:w="1584"/>
            <w:vAlign w:val="top"/>
          </w:tcPr>
          <w:p>
            <w:r>
              <w:rPr>
                <w:sz w:val="14"/>
              </w:rPr>
              <w:t>BHC board</w:t>
            </w:r>
          </w:p>
        </w:tc>
        <w:tc>
          <w:tcPr>
            <w:tcW w:type="dxa" w:w="1800"/>
            <w:vAlign w:val="top"/>
          </w:tcPr>
          <w:p>
            <w:r>
              <w:rPr>
                <w:sz w:val="14"/>
              </w:rPr>
              <w:t>No binding independence test in guidance.</w:t>
            </w:r>
          </w:p>
        </w:tc>
        <w:tc>
          <w:tcPr>
            <w:tcW w:type="dxa" w:w="1296"/>
            <w:vAlign w:val="top"/>
          </w:tcPr>
          <w:p>
            <w:r>
              <w:rPr>
                <w:sz w:val="14"/>
              </w:rPr>
              <w:t>Supervisory guidance</w:t>
            </w:r>
          </w:p>
        </w:tc>
      </w:tr>
      <w:tr>
        <w:tc>
          <w:tcPr>
            <w:tcW w:type="dxa" w:w="1800"/>
            <w:vAlign w:val="top"/>
          </w:tcPr>
          <w:p>
            <w:r>
              <w:rPr>
                <w:sz w:val="14"/>
              </w:rPr>
              <w:t>Consolidated supervision framework</w:t>
            </w:r>
          </w:p>
        </w:tc>
        <w:tc>
          <w:tcPr>
            <w:tcW w:type="dxa" w:w="1656"/>
            <w:vAlign w:val="top"/>
          </w:tcPr>
          <w:p>
            <w:r>
              <w:rPr>
                <w:sz w:val="14"/>
              </w:rPr>
              <w:t>SR 12-17 / CA 12-14</w:t>
            </w:r>
          </w:p>
        </w:tc>
        <w:tc>
          <w:tcPr>
            <w:tcW w:type="dxa" w:w="3528"/>
            <w:vAlign w:val="top"/>
          </w:tcPr>
          <w:p>
            <w:r>
              <w:rPr>
                <w:sz w:val="14"/>
              </w:rPr>
              <w:t>Large firms should maintain resiliency and a risk-management framework supporting safety and soundness and financial stability objectives.</w:t>
            </w:r>
          </w:p>
        </w:tc>
        <w:tc>
          <w:tcPr>
            <w:tcW w:type="dxa" w:w="1584"/>
            <w:vAlign w:val="top"/>
          </w:tcPr>
          <w:p>
            <w:r>
              <w:rPr>
                <w:sz w:val="14"/>
              </w:rPr>
              <w:t>BHC board and senior management</w:t>
            </w:r>
          </w:p>
        </w:tc>
        <w:tc>
          <w:tcPr>
            <w:tcW w:type="dxa" w:w="1800"/>
            <w:vAlign w:val="top"/>
          </w:tcPr>
          <w:p>
            <w:r>
              <w:rPr>
                <w:sz w:val="14"/>
              </w:rPr>
              <w:t>No committee-specific distinction.</w:t>
            </w:r>
          </w:p>
        </w:tc>
        <w:tc>
          <w:tcPr>
            <w:tcW w:type="dxa" w:w="1296"/>
            <w:vAlign w:val="top"/>
          </w:tcPr>
          <w:p>
            <w:r>
              <w:rPr>
                <w:sz w:val="14"/>
              </w:rPr>
              <w:t>Supervisory guidance</w:t>
            </w:r>
          </w:p>
        </w:tc>
      </w:tr>
    </w:tbl>
    <w:p/>
    <w:p>
      <w:pPr>
        <w:pStyle w:val="Heading1"/>
      </w:pPr>
      <w:r>
        <w:rPr>
          <w:b w:val="0"/>
          <w:i w:val="0"/>
        </w:rPr>
        <w:t>Chapter 2 — Capital Planning, Stress Testing, and Capital Adequacy</w:t>
      </w:r>
    </w:p>
    <w:p>
      <w:r>
        <w:rPr>
          <w:b w:val="0"/>
          <w:i w:val="0"/>
        </w:rPr>
        <w:t>Capital planning obligations for Category I firms combine a binding capital plan rule, the stress capital buffer process, supervisory stress testing, supervisory expectations for Category I capital planning, and advanced approaches capital-system governance. The board’s role is partly formal approval, partly oversight of capital adequacy and capital distributions, and partly receipt of independent review and audit findings.</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2088"/>
            <w:shd w:fill="D9EAF7"/>
            <w:vAlign w:val="center"/>
          </w:tcPr>
          <w:p>
            <w:pPr>
              <w:jc w:val="center"/>
            </w:pPr>
            <w:r>
              <w:rPr>
                <w:b/>
                <w:sz w:val="16"/>
              </w:rPr>
              <w:t>Obligation</w:t>
            </w:r>
          </w:p>
        </w:tc>
        <w:tc>
          <w:tcPr>
            <w:tcW w:type="dxa" w:w="1728"/>
            <w:shd w:fill="D9EAF7"/>
            <w:vAlign w:val="center"/>
          </w:tcPr>
          <w:p>
            <w:pPr>
              <w:jc w:val="center"/>
            </w:pPr>
            <w:r>
              <w:rPr>
                <w:b/>
                <w:sz w:val="16"/>
              </w:rPr>
              <w:t>Source</w:t>
            </w:r>
          </w:p>
        </w:tc>
        <w:tc>
          <w:tcPr>
            <w:tcW w:type="dxa" w:w="4464"/>
            <w:shd w:fill="D9EAF7"/>
            <w:vAlign w:val="center"/>
          </w:tcPr>
          <w:p>
            <w:pPr>
              <w:jc w:val="center"/>
            </w:pPr>
            <w:r>
              <w:rPr>
                <w:b/>
                <w:sz w:val="16"/>
              </w:rPr>
              <w:t>Duty</w:t>
            </w:r>
          </w:p>
        </w:tc>
        <w:tc>
          <w:tcPr>
            <w:tcW w:type="dxa" w:w="2016"/>
            <w:shd w:fill="D9EAF7"/>
            <w:vAlign w:val="center"/>
          </w:tcPr>
          <w:p>
            <w:pPr>
              <w:jc w:val="center"/>
            </w:pPr>
            <w:r>
              <w:rPr>
                <w:b/>
                <w:sz w:val="16"/>
              </w:rPr>
              <w:t>Actor</w:t>
            </w:r>
          </w:p>
        </w:tc>
        <w:tc>
          <w:tcPr>
            <w:tcW w:type="dxa" w:w="1296"/>
            <w:shd w:fill="D9EAF7"/>
            <w:vAlign w:val="center"/>
          </w:tcPr>
          <w:p>
            <w:pPr>
              <w:jc w:val="center"/>
            </w:pPr>
            <w:r>
              <w:rPr>
                <w:b/>
                <w:sz w:val="16"/>
              </w:rPr>
              <w:t>Status</w:t>
            </w:r>
          </w:p>
        </w:tc>
      </w:tr>
      <w:tr>
        <w:tc>
          <w:tcPr>
            <w:tcW w:type="dxa" w:w="2088"/>
            <w:vAlign w:val="top"/>
          </w:tcPr>
          <w:p>
            <w:r>
              <w:rPr>
                <w:sz w:val="14"/>
              </w:rPr>
              <w:t>Capital plan and distributions</w:t>
            </w:r>
          </w:p>
        </w:tc>
        <w:tc>
          <w:tcPr>
            <w:tcW w:type="dxa" w:w="1728"/>
            <w:vAlign w:val="top"/>
          </w:tcPr>
          <w:p>
            <w:r>
              <w:rPr>
                <w:sz w:val="14"/>
              </w:rPr>
              <w:t>12 CFR 225.8</w:t>
            </w:r>
          </w:p>
        </w:tc>
        <w:tc>
          <w:tcPr>
            <w:tcW w:type="dxa" w:w="4464"/>
            <w:vAlign w:val="top"/>
          </w:tcPr>
          <w:p>
            <w:r>
              <w:rPr>
                <w:sz w:val="14"/>
              </w:rPr>
              <w:t>Capital plan rule establishes capital planning and prior notice / approval requirements for capital distributions by certain BHCs and the stress capital buffer process.</w:t>
            </w:r>
          </w:p>
        </w:tc>
        <w:tc>
          <w:tcPr>
            <w:tcW w:type="dxa" w:w="2016"/>
            <w:vAlign w:val="top"/>
          </w:tcPr>
          <w:p>
            <w:r>
              <w:rPr>
                <w:sz w:val="14"/>
              </w:rPr>
              <w:t>BHC board oversight; management prepares plan.</w:t>
            </w:r>
          </w:p>
        </w:tc>
        <w:tc>
          <w:tcPr>
            <w:tcW w:type="dxa" w:w="1296"/>
            <w:vAlign w:val="top"/>
          </w:tcPr>
          <w:p>
            <w:r>
              <w:rPr>
                <w:sz w:val="14"/>
              </w:rPr>
              <w:t>Binding rule</w:t>
            </w:r>
          </w:p>
        </w:tc>
      </w:tr>
      <w:tr>
        <w:tc>
          <w:tcPr>
            <w:tcW w:type="dxa" w:w="2088"/>
            <w:vAlign w:val="top"/>
          </w:tcPr>
          <w:p>
            <w:r>
              <w:rPr>
                <w:sz w:val="14"/>
              </w:rPr>
              <w:t>Capital policy governance</w:t>
            </w:r>
          </w:p>
        </w:tc>
        <w:tc>
          <w:tcPr>
            <w:tcW w:type="dxa" w:w="1728"/>
            <w:vAlign w:val="top"/>
          </w:tcPr>
          <w:p>
            <w:r>
              <w:rPr>
                <w:sz w:val="14"/>
              </w:rPr>
              <w:t>SR 15-18</w:t>
            </w:r>
          </w:p>
        </w:tc>
        <w:tc>
          <w:tcPr>
            <w:tcW w:type="dxa" w:w="4464"/>
            <w:vAlign w:val="top"/>
          </w:tcPr>
          <w:p>
            <w:r>
              <w:rPr>
                <w:sz w:val="14"/>
              </w:rPr>
              <w:t>Category I firms are subject to heightened supervisory expectations for capital planning governance, risk management, internal controls, capital policy, scenario design, and projection methodologies.</w:t>
            </w:r>
          </w:p>
        </w:tc>
        <w:tc>
          <w:tcPr>
            <w:tcW w:type="dxa" w:w="2016"/>
            <w:vAlign w:val="top"/>
          </w:tcPr>
          <w:p>
            <w:r>
              <w:rPr>
                <w:sz w:val="14"/>
              </w:rPr>
              <w:t>BHC board and committees receiving capital materials.</w:t>
            </w:r>
          </w:p>
        </w:tc>
        <w:tc>
          <w:tcPr>
            <w:tcW w:type="dxa" w:w="1296"/>
            <w:vAlign w:val="top"/>
          </w:tcPr>
          <w:p>
            <w:r>
              <w:rPr>
                <w:sz w:val="14"/>
              </w:rPr>
              <w:t>Supervisory guidance</w:t>
            </w:r>
          </w:p>
        </w:tc>
      </w:tr>
      <w:tr>
        <w:tc>
          <w:tcPr>
            <w:tcW w:type="dxa" w:w="2088"/>
            <w:vAlign w:val="top"/>
          </w:tcPr>
          <w:p>
            <w:r>
              <w:rPr>
                <w:sz w:val="14"/>
              </w:rPr>
              <w:t>Board briefing on capital-planning findings</w:t>
            </w:r>
          </w:p>
        </w:tc>
        <w:tc>
          <w:tcPr>
            <w:tcW w:type="dxa" w:w="1728"/>
            <w:vAlign w:val="top"/>
          </w:tcPr>
          <w:p>
            <w:r>
              <w:rPr>
                <w:sz w:val="14"/>
              </w:rPr>
              <w:t>SR 15-19 comparison / SR 15-18 framework</w:t>
            </w:r>
          </w:p>
        </w:tc>
        <w:tc>
          <w:tcPr>
            <w:tcW w:type="dxa" w:w="4464"/>
            <w:vAlign w:val="top"/>
          </w:tcPr>
          <w:p>
            <w:r>
              <w:rPr>
                <w:sz w:val="14"/>
              </w:rPr>
              <w:t>Internal audit and control functions should provide board reporting on key findings related to capital planning, especially for Category I firms.</w:t>
            </w:r>
          </w:p>
        </w:tc>
        <w:tc>
          <w:tcPr>
            <w:tcW w:type="dxa" w:w="2016"/>
            <w:vAlign w:val="top"/>
          </w:tcPr>
          <w:p>
            <w:r>
              <w:rPr>
                <w:sz w:val="14"/>
              </w:rPr>
              <w:t>BHC board or audit/risk committee.</w:t>
            </w:r>
          </w:p>
        </w:tc>
        <w:tc>
          <w:tcPr>
            <w:tcW w:type="dxa" w:w="1296"/>
            <w:vAlign w:val="top"/>
          </w:tcPr>
          <w:p>
            <w:r>
              <w:rPr>
                <w:sz w:val="14"/>
              </w:rPr>
              <w:t>Supervisory guidance</w:t>
            </w:r>
          </w:p>
        </w:tc>
      </w:tr>
      <w:tr>
        <w:tc>
          <w:tcPr>
            <w:tcW w:type="dxa" w:w="2088"/>
            <w:vAlign w:val="top"/>
          </w:tcPr>
          <w:p>
            <w:r>
              <w:rPr>
                <w:sz w:val="14"/>
              </w:rPr>
              <w:t>Advanced approaches implementation plan</w:t>
            </w:r>
          </w:p>
        </w:tc>
        <w:tc>
          <w:tcPr>
            <w:tcW w:type="dxa" w:w="1728"/>
            <w:vAlign w:val="top"/>
          </w:tcPr>
          <w:p>
            <w:r>
              <w:rPr>
                <w:sz w:val="14"/>
              </w:rPr>
              <w:t>12 CFR part 217</w:t>
            </w:r>
          </w:p>
        </w:tc>
        <w:tc>
          <w:tcPr>
            <w:tcW w:type="dxa" w:w="4464"/>
            <w:vAlign w:val="top"/>
          </w:tcPr>
          <w:p>
            <w:r>
              <w:rPr>
                <w:sz w:val="14"/>
              </w:rPr>
              <w:t>Advanced approaches banking organization must submit implementation plan approved by board; board approval minutes are part of submission.</w:t>
            </w:r>
          </w:p>
        </w:tc>
        <w:tc>
          <w:tcPr>
            <w:tcW w:type="dxa" w:w="2016"/>
            <w:vAlign w:val="top"/>
          </w:tcPr>
          <w:p>
            <w:r>
              <w:rPr>
                <w:sz w:val="14"/>
              </w:rPr>
              <w:t>BHC or IDI board, depending on regulated entity.</w:t>
            </w:r>
          </w:p>
        </w:tc>
        <w:tc>
          <w:tcPr>
            <w:tcW w:type="dxa" w:w="1296"/>
            <w:vAlign w:val="top"/>
          </w:tcPr>
          <w:p>
            <w:r>
              <w:rPr>
                <w:sz w:val="14"/>
              </w:rPr>
              <w:t>Binding rule</w:t>
            </w:r>
          </w:p>
        </w:tc>
      </w:tr>
      <w:tr>
        <w:tc>
          <w:tcPr>
            <w:tcW w:type="dxa" w:w="2088"/>
            <w:vAlign w:val="top"/>
          </w:tcPr>
          <w:p>
            <w:r>
              <w:rPr>
                <w:sz w:val="14"/>
              </w:rPr>
              <w:t>Advanced systems internal audit</w:t>
            </w:r>
          </w:p>
        </w:tc>
        <w:tc>
          <w:tcPr>
            <w:tcW w:type="dxa" w:w="1728"/>
            <w:vAlign w:val="top"/>
          </w:tcPr>
          <w:p>
            <w:r>
              <w:rPr>
                <w:sz w:val="14"/>
              </w:rPr>
              <w:t>12 CFR part 217</w:t>
            </w:r>
          </w:p>
        </w:tc>
        <w:tc>
          <w:tcPr>
            <w:tcW w:type="dxa" w:w="4464"/>
            <w:vAlign w:val="top"/>
          </w:tcPr>
          <w:p>
            <w:r>
              <w:rPr>
                <w:sz w:val="14"/>
              </w:rPr>
              <w:t>Internal audit must annually assess advanced systems and report findings to board or board committee.</w:t>
            </w:r>
          </w:p>
        </w:tc>
        <w:tc>
          <w:tcPr>
            <w:tcW w:type="dxa" w:w="2016"/>
            <w:vAlign w:val="top"/>
          </w:tcPr>
          <w:p>
            <w:r>
              <w:rPr>
                <w:sz w:val="14"/>
              </w:rPr>
              <w:t>Board or designated committee, often audit committee.</w:t>
            </w:r>
          </w:p>
        </w:tc>
        <w:tc>
          <w:tcPr>
            <w:tcW w:type="dxa" w:w="1296"/>
            <w:vAlign w:val="top"/>
          </w:tcPr>
          <w:p>
            <w:r>
              <w:rPr>
                <w:sz w:val="14"/>
              </w:rPr>
              <w:t>Binding rule</w:t>
            </w:r>
          </w:p>
        </w:tc>
      </w:tr>
      <w:tr>
        <w:tc>
          <w:tcPr>
            <w:tcW w:type="dxa" w:w="2088"/>
            <w:vAlign w:val="top"/>
          </w:tcPr>
          <w:p>
            <w:r>
              <w:rPr>
                <w:sz w:val="14"/>
              </w:rPr>
              <w:t>Capital adequacy standards</w:t>
            </w:r>
          </w:p>
        </w:tc>
        <w:tc>
          <w:tcPr>
            <w:tcW w:type="dxa" w:w="1728"/>
            <w:vAlign w:val="top"/>
          </w:tcPr>
          <w:p>
            <w:r>
              <w:rPr>
                <w:sz w:val="14"/>
              </w:rPr>
              <w:t>12 CFR part 217</w:t>
            </w:r>
          </w:p>
        </w:tc>
        <w:tc>
          <w:tcPr>
            <w:tcW w:type="dxa" w:w="4464"/>
            <w:vAlign w:val="top"/>
          </w:tcPr>
          <w:p>
            <w:r>
              <w:rPr>
                <w:sz w:val="14"/>
              </w:rPr>
              <w:t>Institution must maintain capital consistent with minimum capital requirements and overall capital adequacy standards; board governance occurs through risk and capital planning processes.</w:t>
            </w:r>
          </w:p>
        </w:tc>
        <w:tc>
          <w:tcPr>
            <w:tcW w:type="dxa" w:w="2016"/>
            <w:vAlign w:val="top"/>
          </w:tcPr>
          <w:p>
            <w:r>
              <w:rPr>
                <w:sz w:val="14"/>
              </w:rPr>
              <w:t>BHC/IDI board oversight.</w:t>
            </w:r>
          </w:p>
        </w:tc>
        <w:tc>
          <w:tcPr>
            <w:tcW w:type="dxa" w:w="1296"/>
            <w:vAlign w:val="top"/>
          </w:tcPr>
          <w:p>
            <w:r>
              <w:rPr>
                <w:sz w:val="14"/>
              </w:rPr>
              <w:t>Binding rule</w:t>
            </w:r>
          </w:p>
        </w:tc>
      </w:tr>
      <w:tr>
        <w:tc>
          <w:tcPr>
            <w:tcW w:type="dxa" w:w="2088"/>
            <w:vAlign w:val="top"/>
          </w:tcPr>
          <w:p>
            <w:r>
              <w:rPr>
                <w:sz w:val="14"/>
              </w:rPr>
              <w:t>Stress-testing processes</w:t>
            </w:r>
          </w:p>
        </w:tc>
        <w:tc>
          <w:tcPr>
            <w:tcW w:type="dxa" w:w="1728"/>
            <w:vAlign w:val="top"/>
          </w:tcPr>
          <w:p>
            <w:r>
              <w:rPr>
                <w:sz w:val="14"/>
              </w:rPr>
              <w:t>12 CFR part 252, subparts E and F</w:t>
            </w:r>
          </w:p>
        </w:tc>
        <w:tc>
          <w:tcPr>
            <w:tcW w:type="dxa" w:w="4464"/>
            <w:vAlign w:val="top"/>
          </w:tcPr>
          <w:p>
            <w:r>
              <w:rPr>
                <w:sz w:val="14"/>
              </w:rPr>
              <w:t>Covered companies are subject to supervisory and company-run stress-testing requirements; board duties arise through capital plan governance and supervisory expectations.</w:t>
            </w:r>
          </w:p>
        </w:tc>
        <w:tc>
          <w:tcPr>
            <w:tcW w:type="dxa" w:w="2016"/>
            <w:vAlign w:val="top"/>
          </w:tcPr>
          <w:p>
            <w:r>
              <w:rPr>
                <w:sz w:val="14"/>
              </w:rPr>
              <w:t>BHC board / risk committee / audit committee.</w:t>
            </w:r>
          </w:p>
        </w:tc>
        <w:tc>
          <w:tcPr>
            <w:tcW w:type="dxa" w:w="1296"/>
            <w:vAlign w:val="top"/>
          </w:tcPr>
          <w:p>
            <w:r>
              <w:rPr>
                <w:sz w:val="14"/>
              </w:rPr>
              <w:t>Binding rule plus guidance</w:t>
            </w:r>
          </w:p>
        </w:tc>
      </w:tr>
    </w:tbl>
    <w:p/>
    <w:p>
      <w:r>
        <w:rPr>
          <w:b w:val="0"/>
          <w:i w:val="0"/>
        </w:rPr>
        <w:t>Reform issue. Capital planning creates a recurring board-information cycle with multiple overlapping artifacts: capital policy, capital plan, stress-test results, stress capital buffer information, internal audit reports, model validation summaries, and management remediation tracking. A reform inventory should separate board approval of strategic capital actions from receipt of technical estimation-methodology reports that may be more appropriate for management and control committees.</w:t>
      </w:r>
    </w:p>
    <w:p>
      <w:pPr>
        <w:pStyle w:val="Heading1"/>
      </w:pPr>
      <w:r>
        <w:rPr>
          <w:b w:val="0"/>
          <w:i w:val="0"/>
        </w:rPr>
        <w:t>Chapter 3 — Liquidity Risk Management, Liquidity Stress Testing, LCR, and NSFR</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1800"/>
            <w:shd w:fill="D9EAF7"/>
            <w:vAlign w:val="center"/>
          </w:tcPr>
          <w:p>
            <w:pPr>
              <w:jc w:val="center"/>
            </w:pPr>
            <w:r>
              <w:rPr>
                <w:b/>
                <w:sz w:val="16"/>
              </w:rPr>
              <w:t>Obligation</w:t>
            </w:r>
          </w:p>
        </w:tc>
        <w:tc>
          <w:tcPr>
            <w:tcW w:type="dxa" w:w="1728"/>
            <w:shd w:fill="D9EAF7"/>
            <w:vAlign w:val="center"/>
          </w:tcPr>
          <w:p>
            <w:pPr>
              <w:jc w:val="center"/>
            </w:pPr>
            <w:r>
              <w:rPr>
                <w:b/>
                <w:sz w:val="16"/>
              </w:rPr>
              <w:t>Source</w:t>
            </w:r>
          </w:p>
        </w:tc>
        <w:tc>
          <w:tcPr>
            <w:tcW w:type="dxa" w:w="3816"/>
            <w:shd w:fill="D9EAF7"/>
            <w:vAlign w:val="center"/>
          </w:tcPr>
          <w:p>
            <w:pPr>
              <w:jc w:val="center"/>
            </w:pPr>
            <w:r>
              <w:rPr>
                <w:b/>
                <w:sz w:val="16"/>
              </w:rPr>
              <w:t>Duty</w:t>
            </w:r>
          </w:p>
        </w:tc>
        <w:tc>
          <w:tcPr>
            <w:tcW w:type="dxa" w:w="1584"/>
            <w:shd w:fill="D9EAF7"/>
            <w:vAlign w:val="center"/>
          </w:tcPr>
          <w:p>
            <w:pPr>
              <w:jc w:val="center"/>
            </w:pPr>
            <w:r>
              <w:rPr>
                <w:b/>
                <w:sz w:val="16"/>
              </w:rPr>
              <w:t>Actor</w:t>
            </w:r>
          </w:p>
        </w:tc>
        <w:tc>
          <w:tcPr>
            <w:tcW w:type="dxa" w:w="1584"/>
            <w:shd w:fill="D9EAF7"/>
            <w:vAlign w:val="center"/>
          </w:tcPr>
          <w:p>
            <w:pPr>
              <w:jc w:val="center"/>
            </w:pPr>
            <w:r>
              <w:rPr>
                <w:b/>
                <w:sz w:val="16"/>
              </w:rPr>
              <w:t>Director distinction</w:t>
            </w:r>
          </w:p>
        </w:tc>
        <w:tc>
          <w:tcPr>
            <w:tcW w:type="dxa" w:w="1080"/>
            <w:shd w:fill="D9EAF7"/>
            <w:vAlign w:val="center"/>
          </w:tcPr>
          <w:p>
            <w:pPr>
              <w:jc w:val="center"/>
            </w:pPr>
            <w:r>
              <w:rPr>
                <w:b/>
                <w:sz w:val="16"/>
              </w:rPr>
              <w:t>Status</w:t>
            </w:r>
          </w:p>
        </w:tc>
      </w:tr>
      <w:tr>
        <w:tc>
          <w:tcPr>
            <w:tcW w:type="dxa" w:w="1800"/>
            <w:vAlign w:val="top"/>
          </w:tcPr>
          <w:p>
            <w:r>
              <w:rPr>
                <w:sz w:val="14"/>
              </w:rPr>
              <w:t>Liquidity risk tolerance</w:t>
            </w:r>
          </w:p>
        </w:tc>
        <w:tc>
          <w:tcPr>
            <w:tcW w:type="dxa" w:w="1728"/>
            <w:vAlign w:val="top"/>
          </w:tcPr>
          <w:p>
            <w:r>
              <w:rPr>
                <w:sz w:val="14"/>
              </w:rPr>
              <w:t>12 CFR 252.34(a)</w:t>
            </w:r>
          </w:p>
        </w:tc>
        <w:tc>
          <w:tcPr>
            <w:tcW w:type="dxa" w:w="3816"/>
            <w:vAlign w:val="top"/>
          </w:tcPr>
          <w:p>
            <w:r>
              <w:rPr>
                <w:sz w:val="14"/>
              </w:rPr>
              <w:t>Board must approve liquidity risk tolerance at least annually, based on capital structure, risk profile, complexity, activities, size, and other risk factors.</w:t>
            </w:r>
          </w:p>
        </w:tc>
        <w:tc>
          <w:tcPr>
            <w:tcW w:type="dxa" w:w="1584"/>
            <w:vAlign w:val="top"/>
          </w:tcPr>
          <w:p>
            <w:r>
              <w:rPr>
                <w:sz w:val="14"/>
              </w:rPr>
              <w:t>BHC full board</w:t>
            </w:r>
          </w:p>
        </w:tc>
        <w:tc>
          <w:tcPr>
            <w:tcW w:type="dxa" w:w="1584"/>
            <w:vAlign w:val="top"/>
          </w:tcPr>
          <w:p>
            <w:r>
              <w:rPr>
                <w:sz w:val="14"/>
              </w:rPr>
              <w:t>No special liquidity independence rule; risk committee rules apply where committee acts.</w:t>
            </w:r>
          </w:p>
        </w:tc>
        <w:tc>
          <w:tcPr>
            <w:tcW w:type="dxa" w:w="1080"/>
            <w:vAlign w:val="top"/>
          </w:tcPr>
          <w:p>
            <w:r>
              <w:rPr>
                <w:sz w:val="14"/>
              </w:rPr>
              <w:t>Binding rule</w:t>
            </w:r>
          </w:p>
        </w:tc>
      </w:tr>
      <w:tr>
        <w:tc>
          <w:tcPr>
            <w:tcW w:type="dxa" w:w="1800"/>
            <w:vAlign w:val="top"/>
          </w:tcPr>
          <w:p>
            <w:r>
              <w:rPr>
                <w:sz w:val="14"/>
              </w:rPr>
              <w:t>Liquidity policies and procedures</w:t>
            </w:r>
          </w:p>
        </w:tc>
        <w:tc>
          <w:tcPr>
            <w:tcW w:type="dxa" w:w="1728"/>
            <w:vAlign w:val="top"/>
          </w:tcPr>
          <w:p>
            <w:r>
              <w:rPr>
                <w:sz w:val="14"/>
              </w:rPr>
              <w:t>12 CFR 252.34(a)</w:t>
            </w:r>
          </w:p>
        </w:tc>
        <w:tc>
          <w:tcPr>
            <w:tcW w:type="dxa" w:w="3816"/>
            <w:vAlign w:val="top"/>
          </w:tcPr>
          <w:p>
            <w:r>
              <w:rPr>
                <w:sz w:val="14"/>
              </w:rPr>
              <w:t>Board must approve and periodically review liquidity risk-management strategies, policies, and procedures established by senior management.</w:t>
            </w:r>
          </w:p>
        </w:tc>
        <w:tc>
          <w:tcPr>
            <w:tcW w:type="dxa" w:w="1584"/>
            <w:vAlign w:val="top"/>
          </w:tcPr>
          <w:p>
            <w:r>
              <w:rPr>
                <w:sz w:val="14"/>
              </w:rPr>
              <w:t>BHC full board</w:t>
            </w:r>
          </w:p>
        </w:tc>
        <w:tc>
          <w:tcPr>
            <w:tcW w:type="dxa" w:w="1584"/>
            <w:vAlign w:val="top"/>
          </w:tcPr>
          <w:p>
            <w:r>
              <w:rPr>
                <w:sz w:val="14"/>
              </w:rPr>
              <w:t>None additional.</w:t>
            </w:r>
          </w:p>
        </w:tc>
        <w:tc>
          <w:tcPr>
            <w:tcW w:type="dxa" w:w="1080"/>
            <w:vAlign w:val="top"/>
          </w:tcPr>
          <w:p>
            <w:r>
              <w:rPr>
                <w:sz w:val="14"/>
              </w:rPr>
              <w:t>Binding rule</w:t>
            </w:r>
          </w:p>
        </w:tc>
      </w:tr>
      <w:tr>
        <w:tc>
          <w:tcPr>
            <w:tcW w:type="dxa" w:w="1800"/>
            <w:vAlign w:val="top"/>
          </w:tcPr>
          <w:p>
            <w:r>
              <w:rPr>
                <w:sz w:val="14"/>
              </w:rPr>
              <w:t>Contingency funding plan approval</w:t>
            </w:r>
          </w:p>
        </w:tc>
        <w:tc>
          <w:tcPr>
            <w:tcW w:type="dxa" w:w="1728"/>
            <w:vAlign w:val="top"/>
          </w:tcPr>
          <w:p>
            <w:r>
              <w:rPr>
                <w:sz w:val="14"/>
              </w:rPr>
              <w:t>12 CFR 252.34(b)</w:t>
            </w:r>
          </w:p>
        </w:tc>
        <w:tc>
          <w:tcPr>
            <w:tcW w:type="dxa" w:w="3816"/>
            <w:vAlign w:val="top"/>
          </w:tcPr>
          <w:p>
            <w:r>
              <w:rPr>
                <w:sz w:val="14"/>
              </w:rPr>
              <w:t>Risk committee or designated board-member subcommittee must approve contingency funding plan at least annually and approve material revisions before implementation.</w:t>
            </w:r>
          </w:p>
        </w:tc>
        <w:tc>
          <w:tcPr>
            <w:tcW w:type="dxa" w:w="1584"/>
            <w:vAlign w:val="top"/>
          </w:tcPr>
          <w:p>
            <w:r>
              <w:rPr>
                <w:sz w:val="14"/>
              </w:rPr>
              <w:t>BHC risk committee or designated board subcommittee</w:t>
            </w:r>
          </w:p>
        </w:tc>
        <w:tc>
          <w:tcPr>
            <w:tcW w:type="dxa" w:w="1584"/>
            <w:vAlign w:val="top"/>
          </w:tcPr>
          <w:p>
            <w:r>
              <w:rPr>
                <w:sz w:val="14"/>
              </w:rPr>
              <w:t>Risk committee chair independence applies if risk committee acts.</w:t>
            </w:r>
          </w:p>
        </w:tc>
        <w:tc>
          <w:tcPr>
            <w:tcW w:type="dxa" w:w="1080"/>
            <w:vAlign w:val="top"/>
          </w:tcPr>
          <w:p>
            <w:r>
              <w:rPr>
                <w:sz w:val="14"/>
              </w:rPr>
              <w:t>Binding rule</w:t>
            </w:r>
          </w:p>
        </w:tc>
      </w:tr>
      <w:tr>
        <w:tc>
          <w:tcPr>
            <w:tcW w:type="dxa" w:w="1800"/>
            <w:vAlign w:val="top"/>
          </w:tcPr>
          <w:p>
            <w:r>
              <w:rPr>
                <w:sz w:val="14"/>
              </w:rPr>
              <w:t>Quarterly liquidity reporting</w:t>
            </w:r>
          </w:p>
        </w:tc>
        <w:tc>
          <w:tcPr>
            <w:tcW w:type="dxa" w:w="1728"/>
            <w:vAlign w:val="top"/>
          </w:tcPr>
          <w:p>
            <w:r>
              <w:rPr>
                <w:sz w:val="14"/>
              </w:rPr>
              <w:t>12 CFR 252.34(c)</w:t>
            </w:r>
          </w:p>
        </w:tc>
        <w:tc>
          <w:tcPr>
            <w:tcW w:type="dxa" w:w="3816"/>
            <w:vAlign w:val="top"/>
          </w:tcPr>
          <w:p>
            <w:r>
              <w:rPr>
                <w:sz w:val="14"/>
              </w:rPr>
              <w:t>Senior management must report to board or risk committee at least quarterly on liquidity risk profile and liquidity risk tolerance, more often as conditions warrant.</w:t>
            </w:r>
          </w:p>
        </w:tc>
        <w:tc>
          <w:tcPr>
            <w:tcW w:type="dxa" w:w="1584"/>
            <w:vAlign w:val="top"/>
          </w:tcPr>
          <w:p>
            <w:r>
              <w:rPr>
                <w:sz w:val="14"/>
              </w:rPr>
              <w:t>BHC board or risk committee</w:t>
            </w:r>
          </w:p>
        </w:tc>
        <w:tc>
          <w:tcPr>
            <w:tcW w:type="dxa" w:w="1584"/>
            <w:vAlign w:val="top"/>
          </w:tcPr>
          <w:p>
            <w:r>
              <w:rPr>
                <w:sz w:val="14"/>
              </w:rPr>
              <w:t>None additional.</w:t>
            </w:r>
          </w:p>
        </w:tc>
        <w:tc>
          <w:tcPr>
            <w:tcW w:type="dxa" w:w="1080"/>
            <w:vAlign w:val="top"/>
          </w:tcPr>
          <w:p>
            <w:r>
              <w:rPr>
                <w:sz w:val="14"/>
              </w:rPr>
              <w:t>Binding rule</w:t>
            </w:r>
          </w:p>
        </w:tc>
      </w:tr>
      <w:tr>
        <w:tc>
          <w:tcPr>
            <w:tcW w:type="dxa" w:w="1800"/>
            <w:vAlign w:val="top"/>
          </w:tcPr>
          <w:p>
            <w:r>
              <w:rPr>
                <w:sz w:val="14"/>
              </w:rPr>
              <w:t>Liquidity stress testing</w:t>
            </w:r>
          </w:p>
        </w:tc>
        <w:tc>
          <w:tcPr>
            <w:tcW w:type="dxa" w:w="1728"/>
            <w:vAlign w:val="top"/>
          </w:tcPr>
          <w:p>
            <w:r>
              <w:rPr>
                <w:sz w:val="14"/>
              </w:rPr>
              <w:t>12 CFR 252.35</w:t>
            </w:r>
          </w:p>
        </w:tc>
        <w:tc>
          <w:tcPr>
            <w:tcW w:type="dxa" w:w="3816"/>
            <w:vAlign w:val="top"/>
          </w:tcPr>
          <w:p>
            <w:r>
              <w:rPr>
                <w:sz w:val="14"/>
              </w:rPr>
              <w:t>Firm must conduct liquidity stress tests, establish policies and procedures, and maintain controls and oversight to ensure effectiveness.</w:t>
            </w:r>
          </w:p>
        </w:tc>
        <w:tc>
          <w:tcPr>
            <w:tcW w:type="dxa" w:w="1584"/>
            <w:vAlign w:val="top"/>
          </w:tcPr>
          <w:p>
            <w:r>
              <w:rPr>
                <w:sz w:val="14"/>
              </w:rPr>
              <w:t>BHC board oversight via liquidity policy/risk governance.</w:t>
            </w:r>
          </w:p>
        </w:tc>
        <w:tc>
          <w:tcPr>
            <w:tcW w:type="dxa" w:w="1584"/>
            <w:vAlign w:val="top"/>
          </w:tcPr>
          <w:p>
            <w:r>
              <w:rPr>
                <w:sz w:val="14"/>
              </w:rPr>
              <w:t>None additional.</w:t>
            </w:r>
          </w:p>
        </w:tc>
        <w:tc>
          <w:tcPr>
            <w:tcW w:type="dxa" w:w="1080"/>
            <w:vAlign w:val="top"/>
          </w:tcPr>
          <w:p>
            <w:r>
              <w:rPr>
                <w:sz w:val="14"/>
              </w:rPr>
              <w:t>Binding rule</w:t>
            </w:r>
          </w:p>
        </w:tc>
      </w:tr>
      <w:tr>
        <w:tc>
          <w:tcPr>
            <w:tcW w:type="dxa" w:w="1800"/>
            <w:vAlign w:val="top"/>
          </w:tcPr>
          <w:p>
            <w:r>
              <w:rPr>
                <w:sz w:val="14"/>
              </w:rPr>
              <w:t>Liquidity buffer</w:t>
            </w:r>
          </w:p>
        </w:tc>
        <w:tc>
          <w:tcPr>
            <w:tcW w:type="dxa" w:w="1728"/>
            <w:vAlign w:val="top"/>
          </w:tcPr>
          <w:p>
            <w:r>
              <w:rPr>
                <w:sz w:val="14"/>
              </w:rPr>
              <w:t>12 CFR 252.35</w:t>
            </w:r>
          </w:p>
        </w:tc>
        <w:tc>
          <w:tcPr>
            <w:tcW w:type="dxa" w:w="3816"/>
            <w:vAlign w:val="top"/>
          </w:tcPr>
          <w:p>
            <w:r>
              <w:rPr>
                <w:sz w:val="14"/>
              </w:rPr>
              <w:t>Firm must maintain a liquidity buffer sufficient to meet net stressed cash-flow need over the planning horizon.</w:t>
            </w:r>
          </w:p>
        </w:tc>
        <w:tc>
          <w:tcPr>
            <w:tcW w:type="dxa" w:w="1584"/>
            <w:vAlign w:val="top"/>
          </w:tcPr>
          <w:p>
            <w:r>
              <w:rPr>
                <w:sz w:val="14"/>
              </w:rPr>
              <w:t>BHC board oversight via risk tolerance and reporting.</w:t>
            </w:r>
          </w:p>
        </w:tc>
        <w:tc>
          <w:tcPr>
            <w:tcW w:type="dxa" w:w="1584"/>
            <w:vAlign w:val="top"/>
          </w:tcPr>
          <w:p>
            <w:r>
              <w:rPr>
                <w:sz w:val="14"/>
              </w:rPr>
              <w:t>None additional.</w:t>
            </w:r>
          </w:p>
        </w:tc>
        <w:tc>
          <w:tcPr>
            <w:tcW w:type="dxa" w:w="1080"/>
            <w:vAlign w:val="top"/>
          </w:tcPr>
          <w:p>
            <w:r>
              <w:rPr>
                <w:sz w:val="14"/>
              </w:rPr>
              <w:t>Binding rule</w:t>
            </w:r>
          </w:p>
        </w:tc>
      </w:tr>
      <w:tr>
        <w:tc>
          <w:tcPr>
            <w:tcW w:type="dxa" w:w="1800"/>
            <w:vAlign w:val="top"/>
          </w:tcPr>
          <w:p>
            <w:r>
              <w:rPr>
                <w:sz w:val="14"/>
              </w:rPr>
              <w:t>Liquidity coverage ratio</w:t>
            </w:r>
          </w:p>
        </w:tc>
        <w:tc>
          <w:tcPr>
            <w:tcW w:type="dxa" w:w="1728"/>
            <w:vAlign w:val="top"/>
          </w:tcPr>
          <w:p>
            <w:r>
              <w:rPr>
                <w:sz w:val="14"/>
              </w:rPr>
              <w:t>12 CFR part 249; OCC 12 CFR part 50; FDIC 12 CFR part 329</w:t>
            </w:r>
          </w:p>
        </w:tc>
        <w:tc>
          <w:tcPr>
            <w:tcW w:type="dxa" w:w="3816"/>
            <w:vAlign w:val="top"/>
          </w:tcPr>
          <w:p>
            <w:r>
              <w:rPr>
                <w:sz w:val="14"/>
              </w:rPr>
              <w:t>Quantitative liquidity standard applies to GSIB BHCs and GSIB IDIs; board role is governance and compliance oversight rather than separate approval in LCR text.</w:t>
            </w:r>
          </w:p>
        </w:tc>
        <w:tc>
          <w:tcPr>
            <w:tcW w:type="dxa" w:w="1584"/>
            <w:vAlign w:val="top"/>
          </w:tcPr>
          <w:p>
            <w:r>
              <w:rPr>
                <w:sz w:val="14"/>
              </w:rPr>
              <w:t>BHC and IDI boards through risk governance.</w:t>
            </w:r>
          </w:p>
        </w:tc>
        <w:tc>
          <w:tcPr>
            <w:tcW w:type="dxa" w:w="1584"/>
            <w:vAlign w:val="top"/>
          </w:tcPr>
          <w:p>
            <w:r>
              <w:rPr>
                <w:sz w:val="14"/>
              </w:rPr>
              <w:t>None in rule text.</w:t>
            </w:r>
          </w:p>
        </w:tc>
        <w:tc>
          <w:tcPr>
            <w:tcW w:type="dxa" w:w="1080"/>
            <w:vAlign w:val="top"/>
          </w:tcPr>
          <w:p>
            <w:r>
              <w:rPr>
                <w:sz w:val="14"/>
              </w:rPr>
              <w:t>Binding rule</w:t>
            </w:r>
          </w:p>
        </w:tc>
      </w:tr>
      <w:tr>
        <w:tc>
          <w:tcPr>
            <w:tcW w:type="dxa" w:w="1800"/>
            <w:vAlign w:val="top"/>
          </w:tcPr>
          <w:p>
            <w:r>
              <w:rPr>
                <w:sz w:val="14"/>
              </w:rPr>
              <w:t>Net stable funding ratio</w:t>
            </w:r>
          </w:p>
        </w:tc>
        <w:tc>
          <w:tcPr>
            <w:tcW w:type="dxa" w:w="1728"/>
            <w:vAlign w:val="top"/>
          </w:tcPr>
          <w:p>
            <w:r>
              <w:rPr>
                <w:sz w:val="14"/>
              </w:rPr>
              <w:t>12 CFR part 249; OCC 12 CFR part 50; FDIC 12 CFR part 329</w:t>
            </w:r>
          </w:p>
        </w:tc>
        <w:tc>
          <w:tcPr>
            <w:tcW w:type="dxa" w:w="3816"/>
            <w:vAlign w:val="top"/>
          </w:tcPr>
          <w:p>
            <w:r>
              <w:rPr>
                <w:sz w:val="14"/>
              </w:rPr>
              <w:t>Quantitative stable funding standard; board role through oversight of funding strategy, risk appetite, and compliance.</w:t>
            </w:r>
          </w:p>
        </w:tc>
        <w:tc>
          <w:tcPr>
            <w:tcW w:type="dxa" w:w="1584"/>
            <w:vAlign w:val="top"/>
          </w:tcPr>
          <w:p>
            <w:r>
              <w:rPr>
                <w:sz w:val="14"/>
              </w:rPr>
              <w:t>BHC and IDI boards.</w:t>
            </w:r>
          </w:p>
        </w:tc>
        <w:tc>
          <w:tcPr>
            <w:tcW w:type="dxa" w:w="1584"/>
            <w:vAlign w:val="top"/>
          </w:tcPr>
          <w:p>
            <w:r>
              <w:rPr>
                <w:sz w:val="14"/>
              </w:rPr>
              <w:t>None in rule text.</w:t>
            </w:r>
          </w:p>
        </w:tc>
        <w:tc>
          <w:tcPr>
            <w:tcW w:type="dxa" w:w="1080"/>
            <w:vAlign w:val="top"/>
          </w:tcPr>
          <w:p>
            <w:r>
              <w:rPr>
                <w:sz w:val="14"/>
              </w:rPr>
              <w:t>Binding rule</w:t>
            </w:r>
          </w:p>
        </w:tc>
      </w:tr>
    </w:tbl>
    <w:p/>
    <w:p>
      <w:r>
        <w:rPr>
          <w:b w:val="0"/>
          <w:i w:val="0"/>
        </w:rPr>
        <w:t>Reform issue. Liquidity governance is one of the clearest examples of layered board duties. The full board approves risk tolerance and policies; the risk committee or a board subcommittee approves the contingency funding plan; senior management reports quarterly; and the firm also operates under quantitative LCR and NSFR standards. A reform option would be to consolidate board-level liquidity approvals into a single annual liquidity governance package with exception-based interim updates.</w:t>
      </w:r>
    </w:p>
    <w:p>
      <w:pPr>
        <w:pStyle w:val="Heading1"/>
      </w:pPr>
      <w:r>
        <w:rPr>
          <w:b w:val="0"/>
          <w:i w:val="0"/>
        </w:rPr>
        <w:t>Chapter 4 — Resolution Planning, Recovery Planning, and Resolvability</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1800"/>
            <w:shd w:fill="D9EAF7"/>
            <w:vAlign w:val="center"/>
          </w:tcPr>
          <w:p>
            <w:pPr>
              <w:jc w:val="center"/>
            </w:pPr>
            <w:r>
              <w:rPr>
                <w:b/>
                <w:sz w:val="16"/>
              </w:rPr>
              <w:t>Obligation</w:t>
            </w:r>
          </w:p>
        </w:tc>
        <w:tc>
          <w:tcPr>
            <w:tcW w:type="dxa" w:w="1800"/>
            <w:shd w:fill="D9EAF7"/>
            <w:vAlign w:val="center"/>
          </w:tcPr>
          <w:p>
            <w:pPr>
              <w:jc w:val="center"/>
            </w:pPr>
            <w:r>
              <w:rPr>
                <w:b/>
                <w:sz w:val="16"/>
              </w:rPr>
              <w:t>Source</w:t>
            </w:r>
          </w:p>
        </w:tc>
        <w:tc>
          <w:tcPr>
            <w:tcW w:type="dxa" w:w="3888"/>
            <w:shd w:fill="D9EAF7"/>
            <w:vAlign w:val="center"/>
          </w:tcPr>
          <w:p>
            <w:pPr>
              <w:jc w:val="center"/>
            </w:pPr>
            <w:r>
              <w:rPr>
                <w:b/>
                <w:sz w:val="16"/>
              </w:rPr>
              <w:t>Duty</w:t>
            </w:r>
          </w:p>
        </w:tc>
        <w:tc>
          <w:tcPr>
            <w:tcW w:type="dxa" w:w="1512"/>
            <w:shd w:fill="D9EAF7"/>
            <w:vAlign w:val="center"/>
          </w:tcPr>
          <w:p>
            <w:pPr>
              <w:jc w:val="center"/>
            </w:pPr>
            <w:r>
              <w:rPr>
                <w:b/>
                <w:sz w:val="16"/>
              </w:rPr>
              <w:t>Actor</w:t>
            </w:r>
          </w:p>
        </w:tc>
        <w:tc>
          <w:tcPr>
            <w:tcW w:type="dxa" w:w="1368"/>
            <w:shd w:fill="D9EAF7"/>
            <w:vAlign w:val="center"/>
          </w:tcPr>
          <w:p>
            <w:pPr>
              <w:jc w:val="center"/>
            </w:pPr>
            <w:r>
              <w:rPr>
                <w:b/>
                <w:sz w:val="16"/>
              </w:rPr>
              <w:t>Director distinction</w:t>
            </w:r>
          </w:p>
        </w:tc>
        <w:tc>
          <w:tcPr>
            <w:tcW w:type="dxa" w:w="1224"/>
            <w:shd w:fill="D9EAF7"/>
            <w:vAlign w:val="center"/>
          </w:tcPr>
          <w:p>
            <w:pPr>
              <w:jc w:val="center"/>
            </w:pPr>
            <w:r>
              <w:rPr>
                <w:b/>
                <w:sz w:val="16"/>
              </w:rPr>
              <w:t>Status</w:t>
            </w:r>
          </w:p>
        </w:tc>
      </w:tr>
      <w:tr>
        <w:tc>
          <w:tcPr>
            <w:tcW w:type="dxa" w:w="1800"/>
            <w:vAlign w:val="top"/>
          </w:tcPr>
          <w:p>
            <w:r>
              <w:rPr>
                <w:sz w:val="14"/>
              </w:rPr>
              <w:t>Title I resolution plan approval</w:t>
            </w:r>
          </w:p>
        </w:tc>
        <w:tc>
          <w:tcPr>
            <w:tcW w:type="dxa" w:w="1800"/>
            <w:vAlign w:val="top"/>
          </w:tcPr>
          <w:p>
            <w:r>
              <w:rPr>
                <w:sz w:val="14"/>
              </w:rPr>
              <w:t>12 CFR 243.4(f); 12 CFR 381.4(f)</w:t>
            </w:r>
          </w:p>
        </w:tc>
        <w:tc>
          <w:tcPr>
            <w:tcW w:type="dxa" w:w="3888"/>
            <w:vAlign w:val="top"/>
          </w:tcPr>
          <w:p>
            <w:r>
              <w:rPr>
                <w:sz w:val="14"/>
              </w:rPr>
              <w:t>Before submission, covered company resolution plan must be approved by the covered company’s board and noted in the minutes.</w:t>
            </w:r>
          </w:p>
        </w:tc>
        <w:tc>
          <w:tcPr>
            <w:tcW w:type="dxa" w:w="1512"/>
            <w:vAlign w:val="top"/>
          </w:tcPr>
          <w:p>
            <w:r>
              <w:rPr>
                <w:sz w:val="14"/>
              </w:rPr>
              <w:t>BHC full board</w:t>
            </w:r>
          </w:p>
        </w:tc>
        <w:tc>
          <w:tcPr>
            <w:tcW w:type="dxa" w:w="1368"/>
            <w:vAlign w:val="top"/>
          </w:tcPr>
          <w:p>
            <w:r>
              <w:rPr>
                <w:sz w:val="14"/>
              </w:rPr>
              <w:t>No inside/outside distinction.</w:t>
            </w:r>
          </w:p>
        </w:tc>
        <w:tc>
          <w:tcPr>
            <w:tcW w:type="dxa" w:w="1224"/>
            <w:vAlign w:val="top"/>
          </w:tcPr>
          <w:p>
            <w:r>
              <w:rPr>
                <w:sz w:val="14"/>
              </w:rPr>
              <w:t>Binding rule</w:t>
            </w:r>
          </w:p>
        </w:tc>
      </w:tr>
      <w:tr>
        <w:tc>
          <w:tcPr>
            <w:tcW w:type="dxa" w:w="1800"/>
            <w:vAlign w:val="top"/>
          </w:tcPr>
          <w:p>
            <w:r>
              <w:rPr>
                <w:sz w:val="14"/>
              </w:rPr>
              <w:t>Full resolution plan governance information</w:t>
            </w:r>
          </w:p>
        </w:tc>
        <w:tc>
          <w:tcPr>
            <w:tcW w:type="dxa" w:w="1800"/>
            <w:vAlign w:val="top"/>
          </w:tcPr>
          <w:p>
            <w:r>
              <w:rPr>
                <w:sz w:val="14"/>
              </w:rPr>
              <w:t>12 CFR 243.5; 12 CFR 381.5</w:t>
            </w:r>
          </w:p>
        </w:tc>
        <w:tc>
          <w:tcPr>
            <w:tcW w:type="dxa" w:w="3888"/>
            <w:vAlign w:val="top"/>
          </w:tcPr>
          <w:p>
            <w:r>
              <w:rPr>
                <w:sz w:val="14"/>
              </w:rPr>
              <w:t>Full resolution plan must include governance mechanisms and information necessary to support orderly resolution strategy.</w:t>
            </w:r>
          </w:p>
        </w:tc>
        <w:tc>
          <w:tcPr>
            <w:tcW w:type="dxa" w:w="1512"/>
            <w:vAlign w:val="top"/>
          </w:tcPr>
          <w:p>
            <w:r>
              <w:rPr>
                <w:sz w:val="14"/>
              </w:rPr>
              <w:t>BHC board oversight; management prepares plan.</w:t>
            </w:r>
          </w:p>
        </w:tc>
        <w:tc>
          <w:tcPr>
            <w:tcW w:type="dxa" w:w="1368"/>
            <w:vAlign w:val="top"/>
          </w:tcPr>
          <w:p>
            <w:r>
              <w:rPr>
                <w:sz w:val="14"/>
              </w:rPr>
              <w:t>None.</w:t>
            </w:r>
          </w:p>
        </w:tc>
        <w:tc>
          <w:tcPr>
            <w:tcW w:type="dxa" w:w="1224"/>
            <w:vAlign w:val="top"/>
          </w:tcPr>
          <w:p>
            <w:r>
              <w:rPr>
                <w:sz w:val="14"/>
              </w:rPr>
              <w:t>Binding rule</w:t>
            </w:r>
          </w:p>
        </w:tc>
      </w:tr>
      <w:tr>
        <w:tc>
          <w:tcPr>
            <w:tcW w:type="dxa" w:w="1800"/>
            <w:vAlign w:val="top"/>
          </w:tcPr>
          <w:p>
            <w:r>
              <w:rPr>
                <w:sz w:val="14"/>
              </w:rPr>
              <w:t>IDI resolution submission approval</w:t>
            </w:r>
          </w:p>
        </w:tc>
        <w:tc>
          <w:tcPr>
            <w:tcW w:type="dxa" w:w="1800"/>
            <w:vAlign w:val="top"/>
          </w:tcPr>
          <w:p>
            <w:r>
              <w:rPr>
                <w:sz w:val="14"/>
              </w:rPr>
              <w:t>12 CFR 360.10</w:t>
            </w:r>
          </w:p>
        </w:tc>
        <w:tc>
          <w:tcPr>
            <w:tcW w:type="dxa" w:w="3888"/>
            <w:vAlign w:val="top"/>
          </w:tcPr>
          <w:p>
            <w:r>
              <w:rPr>
                <w:sz w:val="14"/>
              </w:rPr>
              <w:t>Covered IDI full resolution submission must be approved by CIDI board or authorized delegee for insured branch; approval/delegation noted in minutes.</w:t>
            </w:r>
          </w:p>
        </w:tc>
        <w:tc>
          <w:tcPr>
            <w:tcW w:type="dxa" w:w="1512"/>
            <w:vAlign w:val="top"/>
          </w:tcPr>
          <w:p>
            <w:r>
              <w:rPr>
                <w:sz w:val="14"/>
              </w:rPr>
              <w:t>IDI board</w:t>
            </w:r>
          </w:p>
        </w:tc>
        <w:tc>
          <w:tcPr>
            <w:tcW w:type="dxa" w:w="1368"/>
            <w:vAlign w:val="top"/>
          </w:tcPr>
          <w:p>
            <w:r>
              <w:rPr>
                <w:sz w:val="14"/>
              </w:rPr>
              <w:t>None.</w:t>
            </w:r>
          </w:p>
        </w:tc>
        <w:tc>
          <w:tcPr>
            <w:tcW w:type="dxa" w:w="1224"/>
            <w:vAlign w:val="top"/>
          </w:tcPr>
          <w:p>
            <w:r>
              <w:rPr>
                <w:sz w:val="14"/>
              </w:rPr>
              <w:t>Binding rule</w:t>
            </w:r>
          </w:p>
        </w:tc>
      </w:tr>
      <w:tr>
        <w:tc>
          <w:tcPr>
            <w:tcW w:type="dxa" w:w="1800"/>
            <w:vAlign w:val="top"/>
          </w:tcPr>
          <w:p>
            <w:r>
              <w:rPr>
                <w:sz w:val="14"/>
              </w:rPr>
              <w:t>GSIB-affiliated IDI filing cycle</w:t>
            </w:r>
          </w:p>
        </w:tc>
        <w:tc>
          <w:tcPr>
            <w:tcW w:type="dxa" w:w="1800"/>
            <w:vAlign w:val="top"/>
          </w:tcPr>
          <w:p>
            <w:r>
              <w:rPr>
                <w:sz w:val="14"/>
              </w:rPr>
              <w:t>FDIC 2024 final rule / 12 CFR 360.10</w:t>
            </w:r>
          </w:p>
        </w:tc>
        <w:tc>
          <w:tcPr>
            <w:tcW w:type="dxa" w:w="3888"/>
            <w:vAlign w:val="top"/>
          </w:tcPr>
          <w:p>
            <w:r>
              <w:rPr>
                <w:sz w:val="14"/>
              </w:rPr>
              <w:t>CIDIs affiliated with U.S. GSIBs are subject to the most frequent FDIC full-resolution submission cycle.</w:t>
            </w:r>
          </w:p>
        </w:tc>
        <w:tc>
          <w:tcPr>
            <w:tcW w:type="dxa" w:w="1512"/>
            <w:vAlign w:val="top"/>
          </w:tcPr>
          <w:p>
            <w:r>
              <w:rPr>
                <w:sz w:val="14"/>
              </w:rPr>
              <w:t>IDI board and management.</w:t>
            </w:r>
          </w:p>
        </w:tc>
        <w:tc>
          <w:tcPr>
            <w:tcW w:type="dxa" w:w="1368"/>
            <w:vAlign w:val="top"/>
          </w:tcPr>
          <w:p>
            <w:r>
              <w:rPr>
                <w:sz w:val="14"/>
              </w:rPr>
              <w:t>None.</w:t>
            </w:r>
          </w:p>
        </w:tc>
        <w:tc>
          <w:tcPr>
            <w:tcW w:type="dxa" w:w="1224"/>
            <w:vAlign w:val="top"/>
          </w:tcPr>
          <w:p>
            <w:r>
              <w:rPr>
                <w:sz w:val="14"/>
              </w:rPr>
              <w:t>Binding rule</w:t>
            </w:r>
          </w:p>
        </w:tc>
      </w:tr>
      <w:tr>
        <w:tc>
          <w:tcPr>
            <w:tcW w:type="dxa" w:w="1800"/>
            <w:vAlign w:val="top"/>
          </w:tcPr>
          <w:p>
            <w:r>
              <w:rPr>
                <w:sz w:val="14"/>
              </w:rPr>
              <w:t>Recovery planning</w:t>
            </w:r>
          </w:p>
        </w:tc>
        <w:tc>
          <w:tcPr>
            <w:tcW w:type="dxa" w:w="1800"/>
            <w:vAlign w:val="top"/>
          </w:tcPr>
          <w:p>
            <w:r>
              <w:rPr>
                <w:sz w:val="14"/>
              </w:rPr>
              <w:t>SR 14-8</w:t>
            </w:r>
          </w:p>
        </w:tc>
        <w:tc>
          <w:tcPr>
            <w:tcW w:type="dxa" w:w="3888"/>
            <w:vAlign w:val="top"/>
          </w:tcPr>
          <w:p>
            <w:r>
              <w:rPr>
                <w:sz w:val="14"/>
              </w:rPr>
              <w:t>Certain large BHCs expected to maintain recovery planning capabilities to respond to severe stress and restore financial strength.</w:t>
            </w:r>
          </w:p>
        </w:tc>
        <w:tc>
          <w:tcPr>
            <w:tcW w:type="dxa" w:w="1512"/>
            <w:vAlign w:val="top"/>
          </w:tcPr>
          <w:p>
            <w:r>
              <w:rPr>
                <w:sz w:val="14"/>
              </w:rPr>
              <w:t>BHC board and senior management.</w:t>
            </w:r>
          </w:p>
        </w:tc>
        <w:tc>
          <w:tcPr>
            <w:tcW w:type="dxa" w:w="1368"/>
            <w:vAlign w:val="top"/>
          </w:tcPr>
          <w:p>
            <w:r>
              <w:rPr>
                <w:sz w:val="14"/>
              </w:rPr>
              <w:t>None.</w:t>
            </w:r>
          </w:p>
        </w:tc>
        <w:tc>
          <w:tcPr>
            <w:tcW w:type="dxa" w:w="1224"/>
            <w:vAlign w:val="top"/>
          </w:tcPr>
          <w:p>
            <w:r>
              <w:rPr>
                <w:sz w:val="14"/>
              </w:rPr>
              <w:t>Supervisory guidance</w:t>
            </w:r>
          </w:p>
        </w:tc>
      </w:tr>
      <w:tr>
        <w:tc>
          <w:tcPr>
            <w:tcW w:type="dxa" w:w="1800"/>
            <w:vAlign w:val="top"/>
          </w:tcPr>
          <w:p>
            <w:r>
              <w:rPr>
                <w:sz w:val="14"/>
              </w:rPr>
              <w:t>Recovery and resolution preparedness</w:t>
            </w:r>
          </w:p>
        </w:tc>
        <w:tc>
          <w:tcPr>
            <w:tcW w:type="dxa" w:w="1800"/>
            <w:vAlign w:val="top"/>
          </w:tcPr>
          <w:p>
            <w:r>
              <w:rPr>
                <w:sz w:val="14"/>
              </w:rPr>
              <w:t>SR 14-1</w:t>
            </w:r>
          </w:p>
        </w:tc>
        <w:tc>
          <w:tcPr>
            <w:tcW w:type="dxa" w:w="3888"/>
            <w:vAlign w:val="top"/>
          </w:tcPr>
          <w:p>
            <w:r>
              <w:rPr>
                <w:sz w:val="14"/>
              </w:rPr>
              <w:t>Federal Reserve clarified heightened expectations for recovery and resolution preparedness for the largest domestic BHCs.</w:t>
            </w:r>
          </w:p>
        </w:tc>
        <w:tc>
          <w:tcPr>
            <w:tcW w:type="dxa" w:w="1512"/>
            <w:vAlign w:val="top"/>
          </w:tcPr>
          <w:p>
            <w:r>
              <w:rPr>
                <w:sz w:val="14"/>
              </w:rPr>
              <w:t>BHC board and management.</w:t>
            </w:r>
          </w:p>
        </w:tc>
        <w:tc>
          <w:tcPr>
            <w:tcW w:type="dxa" w:w="1368"/>
            <w:vAlign w:val="top"/>
          </w:tcPr>
          <w:p>
            <w:r>
              <w:rPr>
                <w:sz w:val="14"/>
              </w:rPr>
              <w:t>None.</w:t>
            </w:r>
          </w:p>
        </w:tc>
        <w:tc>
          <w:tcPr>
            <w:tcW w:type="dxa" w:w="1224"/>
            <w:vAlign w:val="top"/>
          </w:tcPr>
          <w:p>
            <w:r>
              <w:rPr>
                <w:sz w:val="14"/>
              </w:rPr>
              <w:t>Supervisory guidance</w:t>
            </w:r>
          </w:p>
        </w:tc>
      </w:tr>
      <w:tr>
        <w:tc>
          <w:tcPr>
            <w:tcW w:type="dxa" w:w="1800"/>
            <w:vAlign w:val="top"/>
          </w:tcPr>
          <w:p>
            <w:r>
              <w:rPr>
                <w:sz w:val="14"/>
              </w:rPr>
              <w:t>OCC recovery planning</w:t>
            </w:r>
          </w:p>
        </w:tc>
        <w:tc>
          <w:tcPr>
            <w:tcW w:type="dxa" w:w="1800"/>
            <w:vAlign w:val="top"/>
          </w:tcPr>
          <w:p>
            <w:r>
              <w:rPr>
                <w:sz w:val="14"/>
              </w:rPr>
              <w:t>Former 12 CFR part 30, appendix E</w:t>
            </w:r>
          </w:p>
        </w:tc>
        <w:tc>
          <w:tcPr>
            <w:tcW w:type="dxa" w:w="3888"/>
            <w:vAlign w:val="top"/>
          </w:tcPr>
          <w:p>
            <w:r>
              <w:rPr>
                <w:sz w:val="14"/>
              </w:rPr>
              <w:t>OCC rescinded the recovery-planning guidelines; not counted as a current in-force board obligation.</w:t>
            </w:r>
          </w:p>
        </w:tc>
        <w:tc>
          <w:tcPr>
            <w:tcW w:type="dxa" w:w="1512"/>
            <w:vAlign w:val="top"/>
          </w:tcPr>
          <w:p>
            <w:r>
              <w:rPr>
                <w:sz w:val="14"/>
              </w:rPr>
              <w:t>N/A</w:t>
            </w:r>
          </w:p>
        </w:tc>
        <w:tc>
          <w:tcPr>
            <w:tcW w:type="dxa" w:w="1368"/>
            <w:vAlign w:val="top"/>
          </w:tcPr>
          <w:p>
            <w:r>
              <w:rPr>
                <w:sz w:val="14"/>
              </w:rPr>
              <w:t>N/A</w:t>
            </w:r>
          </w:p>
        </w:tc>
        <w:tc>
          <w:tcPr>
            <w:tcW w:type="dxa" w:w="1224"/>
            <w:vAlign w:val="top"/>
          </w:tcPr>
          <w:p>
            <w:r>
              <w:rPr>
                <w:sz w:val="14"/>
              </w:rPr>
              <w:t>Rescinded</w:t>
            </w:r>
          </w:p>
        </w:tc>
      </w:tr>
    </w:tbl>
    <w:p/>
    <w:p>
      <w:r>
        <w:rPr>
          <w:b w:val="0"/>
          <w:i w:val="0"/>
        </w:rPr>
        <w:t>Reform issue. Resolution planning is the strongest example of entity-level duplication. The parent BHC board must approve the Title I plan, and major IDI subsidiary boards must approve their CIDI submissions. For firms whose preferred strategy, critical operations, shared services, liquidity, capital, and MIS are enterprise-wide, board work can be duplicative. Reform options include a shared board-resolution package, explicit cross-reliance by subsidiary boards on parent committees, or a single enterprise board certification supplemented by IDI-specific annexes.</w:t>
      </w:r>
    </w:p>
    <w:p>
      <w:pPr>
        <w:pStyle w:val="Heading1"/>
      </w:pPr>
      <w:r>
        <w:rPr>
          <w:b w:val="0"/>
          <w:i w:val="0"/>
        </w:rPr>
        <w:t>Chapter 5 — Audit Committee, Internal Audit, and Internal Controls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1800"/>
            <w:shd w:fill="D9EAF7"/>
            <w:vAlign w:val="center"/>
          </w:tcPr>
          <w:p>
            <w:pPr>
              <w:jc w:val="center"/>
            </w:pPr>
            <w:r>
              <w:rPr>
                <w:b/>
                <w:sz w:val="16"/>
              </w:rPr>
              <w:t>Obligation</w:t>
            </w:r>
          </w:p>
        </w:tc>
        <w:tc>
          <w:tcPr>
            <w:tcW w:type="dxa" w:w="1800"/>
            <w:shd w:fill="D9EAF7"/>
            <w:vAlign w:val="center"/>
          </w:tcPr>
          <w:p>
            <w:pPr>
              <w:jc w:val="center"/>
            </w:pPr>
            <w:r>
              <w:rPr>
                <w:b/>
                <w:sz w:val="16"/>
              </w:rPr>
              <w:t>Source</w:t>
            </w:r>
          </w:p>
        </w:tc>
        <w:tc>
          <w:tcPr>
            <w:tcW w:type="dxa" w:w="3888"/>
            <w:shd w:fill="D9EAF7"/>
            <w:vAlign w:val="center"/>
          </w:tcPr>
          <w:p>
            <w:pPr>
              <w:jc w:val="center"/>
            </w:pPr>
            <w:r>
              <w:rPr>
                <w:b/>
                <w:sz w:val="16"/>
              </w:rPr>
              <w:t>Duty</w:t>
            </w:r>
          </w:p>
        </w:tc>
        <w:tc>
          <w:tcPr>
            <w:tcW w:type="dxa" w:w="1440"/>
            <w:shd w:fill="D9EAF7"/>
            <w:vAlign w:val="center"/>
          </w:tcPr>
          <w:p>
            <w:pPr>
              <w:jc w:val="center"/>
            </w:pPr>
            <w:r>
              <w:rPr>
                <w:b/>
                <w:sz w:val="16"/>
              </w:rPr>
              <w:t>Actor</w:t>
            </w:r>
          </w:p>
        </w:tc>
        <w:tc>
          <w:tcPr>
            <w:tcW w:type="dxa" w:w="1656"/>
            <w:shd w:fill="D9EAF7"/>
            <w:vAlign w:val="center"/>
          </w:tcPr>
          <w:p>
            <w:pPr>
              <w:jc w:val="center"/>
            </w:pPr>
            <w:r>
              <w:rPr>
                <w:b/>
                <w:sz w:val="16"/>
              </w:rPr>
              <w:t>Director distinction</w:t>
            </w:r>
          </w:p>
        </w:tc>
        <w:tc>
          <w:tcPr>
            <w:tcW w:type="dxa" w:w="1224"/>
            <w:shd w:fill="D9EAF7"/>
            <w:vAlign w:val="center"/>
          </w:tcPr>
          <w:p>
            <w:pPr>
              <w:jc w:val="center"/>
            </w:pPr>
            <w:r>
              <w:rPr>
                <w:b/>
                <w:sz w:val="16"/>
              </w:rPr>
              <w:t>Status</w:t>
            </w:r>
          </w:p>
        </w:tc>
      </w:tr>
      <w:tr>
        <w:tc>
          <w:tcPr>
            <w:tcW w:type="dxa" w:w="1800"/>
            <w:vAlign w:val="top"/>
          </w:tcPr>
          <w:p>
            <w:r>
              <w:rPr>
                <w:sz w:val="14"/>
              </w:rPr>
              <w:t>Independent annual audit</w:t>
            </w:r>
          </w:p>
        </w:tc>
        <w:tc>
          <w:tcPr>
            <w:tcW w:type="dxa" w:w="1800"/>
            <w:vAlign w:val="top"/>
          </w:tcPr>
          <w:p>
            <w:r>
              <w:rPr>
                <w:sz w:val="14"/>
              </w:rPr>
              <w:t>12 CFR part 363</w:t>
            </w:r>
          </w:p>
        </w:tc>
        <w:tc>
          <w:tcPr>
            <w:tcW w:type="dxa" w:w="3888"/>
            <w:vAlign w:val="top"/>
          </w:tcPr>
          <w:p>
            <w:r>
              <w:rPr>
                <w:sz w:val="14"/>
              </w:rPr>
              <w:t>Large IDIs must prepare annual audited financial statements and management reports under FDICIA part 363.</w:t>
            </w:r>
          </w:p>
        </w:tc>
        <w:tc>
          <w:tcPr>
            <w:tcW w:type="dxa" w:w="1440"/>
            <w:vAlign w:val="top"/>
          </w:tcPr>
          <w:p>
            <w:r>
              <w:rPr>
                <w:sz w:val="14"/>
              </w:rPr>
              <w:t>IDI board/audit committee.</w:t>
            </w:r>
          </w:p>
        </w:tc>
        <w:tc>
          <w:tcPr>
            <w:tcW w:type="dxa" w:w="1656"/>
            <w:vAlign w:val="top"/>
          </w:tcPr>
          <w:p>
            <w:r>
              <w:rPr>
                <w:sz w:val="14"/>
              </w:rPr>
              <w:t>Audit committee composition rules apply.</w:t>
            </w:r>
          </w:p>
        </w:tc>
        <w:tc>
          <w:tcPr>
            <w:tcW w:type="dxa" w:w="1224"/>
            <w:vAlign w:val="top"/>
          </w:tcPr>
          <w:p>
            <w:r>
              <w:rPr>
                <w:sz w:val="14"/>
              </w:rPr>
              <w:t>Binding rule</w:t>
            </w:r>
          </w:p>
        </w:tc>
      </w:tr>
      <w:tr>
        <w:tc>
          <w:tcPr>
            <w:tcW w:type="dxa" w:w="1800"/>
            <w:vAlign w:val="top"/>
          </w:tcPr>
          <w:p>
            <w:r>
              <w:rPr>
                <w:sz w:val="14"/>
              </w:rPr>
              <w:t>Audit committee for $5B+ IDI</w:t>
            </w:r>
          </w:p>
        </w:tc>
        <w:tc>
          <w:tcPr>
            <w:tcW w:type="dxa" w:w="1800"/>
            <w:vAlign w:val="top"/>
          </w:tcPr>
          <w:p>
            <w:r>
              <w:rPr>
                <w:sz w:val="14"/>
              </w:rPr>
              <w:t>12 CFR 363.5(a)(1)</w:t>
            </w:r>
          </w:p>
        </w:tc>
        <w:tc>
          <w:tcPr>
            <w:tcW w:type="dxa" w:w="3888"/>
            <w:vAlign w:val="top"/>
          </w:tcPr>
          <w:p>
            <w:r>
              <w:rPr>
                <w:sz w:val="14"/>
              </w:rPr>
              <w:t>Each IDI with total assets of $5 billion or more must establish an independent audit committee of the board.</w:t>
            </w:r>
          </w:p>
        </w:tc>
        <w:tc>
          <w:tcPr>
            <w:tcW w:type="dxa" w:w="1440"/>
            <w:vAlign w:val="top"/>
          </w:tcPr>
          <w:p>
            <w:r>
              <w:rPr>
                <w:sz w:val="14"/>
              </w:rPr>
              <w:t>IDI audit committee.</w:t>
            </w:r>
          </w:p>
        </w:tc>
        <w:tc>
          <w:tcPr>
            <w:tcW w:type="dxa" w:w="1656"/>
            <w:vAlign w:val="top"/>
          </w:tcPr>
          <w:p>
            <w:r>
              <w:rPr>
                <w:sz w:val="14"/>
              </w:rPr>
              <w:t>Members must be outside directors independent of management.</w:t>
            </w:r>
          </w:p>
        </w:tc>
        <w:tc>
          <w:tcPr>
            <w:tcW w:type="dxa" w:w="1224"/>
            <w:vAlign w:val="top"/>
          </w:tcPr>
          <w:p>
            <w:r>
              <w:rPr>
                <w:sz w:val="14"/>
              </w:rPr>
              <w:t>Binding rule</w:t>
            </w:r>
          </w:p>
        </w:tc>
      </w:tr>
      <w:tr>
        <w:tc>
          <w:tcPr>
            <w:tcW w:type="dxa" w:w="1800"/>
            <w:vAlign w:val="top"/>
          </w:tcPr>
          <w:p>
            <w:r>
              <w:rPr>
                <w:sz w:val="14"/>
              </w:rPr>
              <w:t>Audit committee for $1B to &lt;$5B IDI</w:t>
            </w:r>
          </w:p>
        </w:tc>
        <w:tc>
          <w:tcPr>
            <w:tcW w:type="dxa" w:w="1800"/>
            <w:vAlign w:val="top"/>
          </w:tcPr>
          <w:p>
            <w:r>
              <w:rPr>
                <w:sz w:val="14"/>
              </w:rPr>
              <w:t>12 CFR 363.5(a)(2)</w:t>
            </w:r>
          </w:p>
        </w:tc>
        <w:tc>
          <w:tcPr>
            <w:tcW w:type="dxa" w:w="3888"/>
            <w:vAlign w:val="top"/>
          </w:tcPr>
          <w:p>
            <w:r>
              <w:rPr>
                <w:sz w:val="14"/>
              </w:rPr>
              <w:t>Each IDI with total assets of $1 billion or more but less than $5 billion must establish an audit committee.</w:t>
            </w:r>
          </w:p>
        </w:tc>
        <w:tc>
          <w:tcPr>
            <w:tcW w:type="dxa" w:w="1440"/>
            <w:vAlign w:val="top"/>
          </w:tcPr>
          <w:p>
            <w:r>
              <w:rPr>
                <w:sz w:val="14"/>
              </w:rPr>
              <w:t>IDI audit committee.</w:t>
            </w:r>
          </w:p>
        </w:tc>
        <w:tc>
          <w:tcPr>
            <w:tcW w:type="dxa" w:w="1656"/>
            <w:vAlign w:val="top"/>
          </w:tcPr>
          <w:p>
            <w:r>
              <w:rPr>
                <w:sz w:val="14"/>
              </w:rPr>
              <w:t>Members must be outside directors and a majority must be independent of management, subject to hardship relief.</w:t>
            </w:r>
          </w:p>
        </w:tc>
        <w:tc>
          <w:tcPr>
            <w:tcW w:type="dxa" w:w="1224"/>
            <w:vAlign w:val="top"/>
          </w:tcPr>
          <w:p>
            <w:r>
              <w:rPr>
                <w:sz w:val="14"/>
              </w:rPr>
              <w:t>Binding rule</w:t>
            </w:r>
          </w:p>
        </w:tc>
      </w:tr>
      <w:tr>
        <w:tc>
          <w:tcPr>
            <w:tcW w:type="dxa" w:w="1800"/>
            <w:vAlign w:val="top"/>
          </w:tcPr>
          <w:p>
            <w:r>
              <w:rPr>
                <w:sz w:val="14"/>
              </w:rPr>
              <w:t>Outside director definition</w:t>
            </w:r>
          </w:p>
        </w:tc>
        <w:tc>
          <w:tcPr>
            <w:tcW w:type="dxa" w:w="1800"/>
            <w:vAlign w:val="top"/>
          </w:tcPr>
          <w:p>
            <w:r>
              <w:rPr>
                <w:sz w:val="14"/>
              </w:rPr>
              <w:t>12 CFR part 363</w:t>
            </w:r>
          </w:p>
        </w:tc>
        <w:tc>
          <w:tcPr>
            <w:tcW w:type="dxa" w:w="3888"/>
            <w:vAlign w:val="top"/>
          </w:tcPr>
          <w:p>
            <w:r>
              <w:rPr>
                <w:sz w:val="14"/>
              </w:rPr>
              <w:t>Outside director is not, and in preceding fiscal year has not been, an officer or employee of the institution or affiliate.</w:t>
            </w:r>
          </w:p>
        </w:tc>
        <w:tc>
          <w:tcPr>
            <w:tcW w:type="dxa" w:w="1440"/>
            <w:vAlign w:val="top"/>
          </w:tcPr>
          <w:p>
            <w:r>
              <w:rPr>
                <w:sz w:val="14"/>
              </w:rPr>
              <w:t>Audit committee membership.</w:t>
            </w:r>
          </w:p>
        </w:tc>
        <w:tc>
          <w:tcPr>
            <w:tcW w:type="dxa" w:w="1656"/>
            <w:vAlign w:val="top"/>
          </w:tcPr>
          <w:p>
            <w:r>
              <w:rPr>
                <w:sz w:val="14"/>
              </w:rPr>
              <w:t>Outside status distinct from independence of management.</w:t>
            </w:r>
          </w:p>
        </w:tc>
        <w:tc>
          <w:tcPr>
            <w:tcW w:type="dxa" w:w="1224"/>
            <w:vAlign w:val="top"/>
          </w:tcPr>
          <w:p>
            <w:r>
              <w:rPr>
                <w:sz w:val="14"/>
              </w:rPr>
              <w:t>Binding rule</w:t>
            </w:r>
          </w:p>
        </w:tc>
      </w:tr>
      <w:tr>
        <w:tc>
          <w:tcPr>
            <w:tcW w:type="dxa" w:w="1800"/>
            <w:vAlign w:val="top"/>
          </w:tcPr>
          <w:p>
            <w:r>
              <w:rPr>
                <w:sz w:val="14"/>
              </w:rPr>
              <w:t>Internal audit under OCC heightened standards</w:t>
            </w:r>
          </w:p>
        </w:tc>
        <w:tc>
          <w:tcPr>
            <w:tcW w:type="dxa" w:w="1800"/>
            <w:vAlign w:val="top"/>
          </w:tcPr>
          <w:p>
            <w:r>
              <w:rPr>
                <w:sz w:val="14"/>
              </w:rPr>
              <w:t>12 CFR part 30, appendix D</w:t>
            </w:r>
          </w:p>
        </w:tc>
        <w:tc>
          <w:tcPr>
            <w:tcW w:type="dxa" w:w="3888"/>
            <w:vAlign w:val="top"/>
          </w:tcPr>
          <w:p>
            <w:r>
              <w:rPr>
                <w:sz w:val="14"/>
              </w:rPr>
              <w:t>Internal audit should maintain independence, assess risk-governance framework, and report material issues to board or audit committee.</w:t>
            </w:r>
          </w:p>
        </w:tc>
        <w:tc>
          <w:tcPr>
            <w:tcW w:type="dxa" w:w="1440"/>
            <w:vAlign w:val="top"/>
          </w:tcPr>
          <w:p>
            <w:r>
              <w:rPr>
                <w:sz w:val="14"/>
              </w:rPr>
              <w:t>IDI board/audit committee.</w:t>
            </w:r>
          </w:p>
        </w:tc>
        <w:tc>
          <w:tcPr>
            <w:tcW w:type="dxa" w:w="1656"/>
            <w:vAlign w:val="top"/>
          </w:tcPr>
          <w:p>
            <w:r>
              <w:rPr>
                <w:sz w:val="14"/>
              </w:rPr>
              <w:t>No separate director-composition requirement beyond audit rules.</w:t>
            </w:r>
          </w:p>
        </w:tc>
        <w:tc>
          <w:tcPr>
            <w:tcW w:type="dxa" w:w="1224"/>
            <w:vAlign w:val="top"/>
          </w:tcPr>
          <w:p>
            <w:r>
              <w:rPr>
                <w:sz w:val="14"/>
              </w:rPr>
              <w:t>Enforceable guideline</w:t>
            </w:r>
          </w:p>
        </w:tc>
      </w:tr>
      <w:tr>
        <w:tc>
          <w:tcPr>
            <w:tcW w:type="dxa" w:w="1800"/>
            <w:vAlign w:val="top"/>
          </w:tcPr>
          <w:p>
            <w:r>
              <w:rPr>
                <w:sz w:val="14"/>
              </w:rPr>
              <w:t>Advanced systems audit reporting</w:t>
            </w:r>
          </w:p>
        </w:tc>
        <w:tc>
          <w:tcPr>
            <w:tcW w:type="dxa" w:w="1800"/>
            <w:vAlign w:val="top"/>
          </w:tcPr>
          <w:p>
            <w:r>
              <w:rPr>
                <w:sz w:val="14"/>
              </w:rPr>
              <w:t>12 CFR part 217</w:t>
            </w:r>
          </w:p>
        </w:tc>
        <w:tc>
          <w:tcPr>
            <w:tcW w:type="dxa" w:w="3888"/>
            <w:vAlign w:val="top"/>
          </w:tcPr>
          <w:p>
            <w:r>
              <w:rPr>
                <w:sz w:val="14"/>
              </w:rPr>
              <w:t>Internal audit must annually review advanced systems and report findings to board or board committee.</w:t>
            </w:r>
          </w:p>
        </w:tc>
        <w:tc>
          <w:tcPr>
            <w:tcW w:type="dxa" w:w="1440"/>
            <w:vAlign w:val="top"/>
          </w:tcPr>
          <w:p>
            <w:r>
              <w:rPr>
                <w:sz w:val="14"/>
              </w:rPr>
              <w:t>Board or audit committee.</w:t>
            </w:r>
          </w:p>
        </w:tc>
        <w:tc>
          <w:tcPr>
            <w:tcW w:type="dxa" w:w="1656"/>
            <w:vAlign w:val="top"/>
          </w:tcPr>
          <w:p>
            <w:r>
              <w:rPr>
                <w:sz w:val="14"/>
              </w:rPr>
              <w:t>None specific.</w:t>
            </w:r>
          </w:p>
        </w:tc>
        <w:tc>
          <w:tcPr>
            <w:tcW w:type="dxa" w:w="1224"/>
            <w:vAlign w:val="top"/>
          </w:tcPr>
          <w:p>
            <w:r>
              <w:rPr>
                <w:sz w:val="14"/>
              </w:rPr>
              <w:t>Binding rule</w:t>
            </w:r>
          </w:p>
        </w:tc>
      </w:tr>
      <w:tr>
        <w:tc>
          <w:tcPr>
            <w:tcW w:type="dxa" w:w="1800"/>
            <w:vAlign w:val="top"/>
          </w:tcPr>
          <w:p>
            <w:r>
              <w:rPr>
                <w:sz w:val="14"/>
              </w:rPr>
              <w:t>Information-security reporting</w:t>
            </w:r>
          </w:p>
        </w:tc>
        <w:tc>
          <w:tcPr>
            <w:tcW w:type="dxa" w:w="1800"/>
            <w:vAlign w:val="top"/>
          </w:tcPr>
          <w:p>
            <w:r>
              <w:rPr>
                <w:sz w:val="14"/>
              </w:rPr>
              <w:t>12 CFR part 30 appendix B; 12 CFR part 364 appendix B; 12 CFR part 225 appendix F</w:t>
            </w:r>
          </w:p>
        </w:tc>
        <w:tc>
          <w:tcPr>
            <w:tcW w:type="dxa" w:w="3888"/>
            <w:vAlign w:val="top"/>
          </w:tcPr>
          <w:p>
            <w:r>
              <w:rPr>
                <w:sz w:val="14"/>
              </w:rPr>
              <w:t>Board or committee reviews reports from management regarding information-security program.</w:t>
            </w:r>
          </w:p>
        </w:tc>
        <w:tc>
          <w:tcPr>
            <w:tcW w:type="dxa" w:w="1440"/>
            <w:vAlign w:val="top"/>
          </w:tcPr>
          <w:p>
            <w:r>
              <w:rPr>
                <w:sz w:val="14"/>
              </w:rPr>
              <w:t>Board or appropriate committee.</w:t>
            </w:r>
          </w:p>
        </w:tc>
        <w:tc>
          <w:tcPr>
            <w:tcW w:type="dxa" w:w="1656"/>
            <w:vAlign w:val="top"/>
          </w:tcPr>
          <w:p>
            <w:r>
              <w:rPr>
                <w:sz w:val="14"/>
              </w:rPr>
              <w:t>None specific.</w:t>
            </w:r>
          </w:p>
        </w:tc>
        <w:tc>
          <w:tcPr>
            <w:tcW w:type="dxa" w:w="1224"/>
            <w:vAlign w:val="top"/>
          </w:tcPr>
          <w:p>
            <w:r>
              <w:rPr>
                <w:sz w:val="14"/>
              </w:rPr>
              <w:t>Enforceable guideline</w:t>
            </w:r>
          </w:p>
        </w:tc>
      </w:tr>
    </w:tbl>
    <w:p/>
    <w:p>
      <w:r>
        <w:rPr>
          <w:b w:val="0"/>
          <w:i w:val="0"/>
        </w:rPr>
        <w:t>Reform issue. Audit committees receive financial reporting, internal control, advanced approaches, information-security, BSA/AML audit, model validation, and consumer compliance audit findings. Some of these reports are legal requirements; others are supervisory expectations. Reform could distinguish mandatory audit committee approvals from information flows that can be consolidated into enterprise control dashboards.</w:t>
      </w:r>
    </w:p>
    <w:p>
      <w:pPr>
        <w:pStyle w:val="Heading1"/>
      </w:pPr>
      <w:r>
        <w:rPr>
          <w:b w:val="0"/>
          <w:i w:val="0"/>
        </w:rPr>
        <w:t>Chapter 6 — Operational Resilience, Cybersecurity, Information Security, and Incident Response</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1728"/>
            <w:shd w:fill="D9EAF7"/>
            <w:vAlign w:val="center"/>
          </w:tcPr>
          <w:p>
            <w:pPr>
              <w:jc w:val="center"/>
            </w:pPr>
            <w:r>
              <w:rPr>
                <w:b/>
                <w:sz w:val="16"/>
              </w:rPr>
              <w:t>Obligation</w:t>
            </w:r>
          </w:p>
        </w:tc>
        <w:tc>
          <w:tcPr>
            <w:tcW w:type="dxa" w:w="1944"/>
            <w:shd w:fill="D9EAF7"/>
            <w:vAlign w:val="center"/>
          </w:tcPr>
          <w:p>
            <w:pPr>
              <w:jc w:val="center"/>
            </w:pPr>
            <w:r>
              <w:rPr>
                <w:b/>
                <w:sz w:val="16"/>
              </w:rPr>
              <w:t>Source</w:t>
            </w:r>
          </w:p>
        </w:tc>
        <w:tc>
          <w:tcPr>
            <w:tcW w:type="dxa" w:w="3888"/>
            <w:shd w:fill="D9EAF7"/>
            <w:vAlign w:val="center"/>
          </w:tcPr>
          <w:p>
            <w:pPr>
              <w:jc w:val="center"/>
            </w:pPr>
            <w:r>
              <w:rPr>
                <w:b/>
                <w:sz w:val="16"/>
              </w:rPr>
              <w:t>Duty</w:t>
            </w:r>
          </w:p>
        </w:tc>
        <w:tc>
          <w:tcPr>
            <w:tcW w:type="dxa" w:w="1512"/>
            <w:shd w:fill="D9EAF7"/>
            <w:vAlign w:val="center"/>
          </w:tcPr>
          <w:p>
            <w:pPr>
              <w:jc w:val="center"/>
            </w:pPr>
            <w:r>
              <w:rPr>
                <w:b/>
                <w:sz w:val="16"/>
              </w:rPr>
              <w:t>Actor</w:t>
            </w:r>
          </w:p>
        </w:tc>
        <w:tc>
          <w:tcPr>
            <w:tcW w:type="dxa" w:w="1440"/>
            <w:shd w:fill="D9EAF7"/>
            <w:vAlign w:val="center"/>
          </w:tcPr>
          <w:p>
            <w:pPr>
              <w:jc w:val="center"/>
            </w:pPr>
            <w:r>
              <w:rPr>
                <w:b/>
                <w:sz w:val="16"/>
              </w:rPr>
              <w:t>Director distinction</w:t>
            </w:r>
          </w:p>
        </w:tc>
        <w:tc>
          <w:tcPr>
            <w:tcW w:type="dxa" w:w="1224"/>
            <w:shd w:fill="D9EAF7"/>
            <w:vAlign w:val="center"/>
          </w:tcPr>
          <w:p>
            <w:pPr>
              <w:jc w:val="center"/>
            </w:pPr>
            <w:r>
              <w:rPr>
                <w:b/>
                <w:sz w:val="16"/>
              </w:rPr>
              <w:t>Status</w:t>
            </w:r>
          </w:p>
        </w:tc>
      </w:tr>
      <w:tr>
        <w:tc>
          <w:tcPr>
            <w:tcW w:type="dxa" w:w="1728"/>
            <w:vAlign w:val="top"/>
          </w:tcPr>
          <w:p>
            <w:r>
              <w:rPr>
                <w:sz w:val="14"/>
              </w:rPr>
              <w:t>Customer information-security program</w:t>
            </w:r>
          </w:p>
        </w:tc>
        <w:tc>
          <w:tcPr>
            <w:tcW w:type="dxa" w:w="1944"/>
            <w:vAlign w:val="top"/>
          </w:tcPr>
          <w:p>
            <w:r>
              <w:rPr>
                <w:sz w:val="14"/>
              </w:rPr>
              <w:t>12 CFR part 30 appendix B; 12 CFR part 364 appendix B; 12 CFR part 225 appendix F</w:t>
            </w:r>
          </w:p>
        </w:tc>
        <w:tc>
          <w:tcPr>
            <w:tcW w:type="dxa" w:w="3888"/>
            <w:vAlign w:val="top"/>
          </w:tcPr>
          <w:p>
            <w:r>
              <w:rPr>
                <w:sz w:val="14"/>
              </w:rPr>
              <w:t>Board or appropriate committee must approve written information-security program and oversee development, implementation, and maintenance, including assigning responsibility and reviewing management reports.</w:t>
            </w:r>
          </w:p>
        </w:tc>
        <w:tc>
          <w:tcPr>
            <w:tcW w:type="dxa" w:w="1512"/>
            <w:vAlign w:val="top"/>
          </w:tcPr>
          <w:p>
            <w:r>
              <w:rPr>
                <w:sz w:val="14"/>
              </w:rPr>
              <w:t>Board or appropriate committee</w:t>
            </w:r>
          </w:p>
        </w:tc>
        <w:tc>
          <w:tcPr>
            <w:tcW w:type="dxa" w:w="1440"/>
            <w:vAlign w:val="top"/>
          </w:tcPr>
          <w:p>
            <w:r>
              <w:rPr>
                <w:sz w:val="14"/>
              </w:rPr>
              <w:t>No director independence rule.</w:t>
            </w:r>
          </w:p>
        </w:tc>
        <w:tc>
          <w:tcPr>
            <w:tcW w:type="dxa" w:w="1224"/>
            <w:vAlign w:val="top"/>
          </w:tcPr>
          <w:p>
            <w:r>
              <w:rPr>
                <w:sz w:val="14"/>
              </w:rPr>
              <w:t>Enforceable guideline</w:t>
            </w:r>
          </w:p>
        </w:tc>
      </w:tr>
      <w:tr>
        <w:tc>
          <w:tcPr>
            <w:tcW w:type="dxa" w:w="1728"/>
            <w:vAlign w:val="top"/>
          </w:tcPr>
          <w:p>
            <w:r>
              <w:rPr>
                <w:sz w:val="14"/>
              </w:rPr>
              <w:t>Risk assessment for information security</w:t>
            </w:r>
          </w:p>
        </w:tc>
        <w:tc>
          <w:tcPr>
            <w:tcW w:type="dxa" w:w="1944"/>
            <w:vAlign w:val="top"/>
          </w:tcPr>
          <w:p>
            <w:r>
              <w:rPr>
                <w:sz w:val="14"/>
              </w:rPr>
              <w:t>Same interagency guidelines</w:t>
            </w:r>
          </w:p>
        </w:tc>
        <w:tc>
          <w:tcPr>
            <w:tcW w:type="dxa" w:w="3888"/>
            <w:vAlign w:val="top"/>
          </w:tcPr>
          <w:p>
            <w:r>
              <w:rPr>
                <w:sz w:val="14"/>
              </w:rPr>
              <w:t>Institution must identify reasonably foreseeable internal and external threats, likelihood and potential damage, and sufficiency of policies/procedures/systems. Board oversees program.</w:t>
            </w:r>
          </w:p>
        </w:tc>
        <w:tc>
          <w:tcPr>
            <w:tcW w:type="dxa" w:w="1512"/>
            <w:vAlign w:val="top"/>
          </w:tcPr>
          <w:p>
            <w:r>
              <w:rPr>
                <w:sz w:val="14"/>
              </w:rPr>
              <w:t>Board/committee oversight; management executes.</w:t>
            </w:r>
          </w:p>
        </w:tc>
        <w:tc>
          <w:tcPr>
            <w:tcW w:type="dxa" w:w="1440"/>
            <w:vAlign w:val="top"/>
          </w:tcPr>
          <w:p>
            <w:r>
              <w:rPr>
                <w:sz w:val="14"/>
              </w:rPr>
              <w:t>None.</w:t>
            </w:r>
          </w:p>
        </w:tc>
        <w:tc>
          <w:tcPr>
            <w:tcW w:type="dxa" w:w="1224"/>
            <w:vAlign w:val="top"/>
          </w:tcPr>
          <w:p>
            <w:r>
              <w:rPr>
                <w:sz w:val="14"/>
              </w:rPr>
              <w:t>Enforceable guideline</w:t>
            </w:r>
          </w:p>
        </w:tc>
      </w:tr>
      <w:tr>
        <w:tc>
          <w:tcPr>
            <w:tcW w:type="dxa" w:w="1728"/>
            <w:vAlign w:val="top"/>
          </w:tcPr>
          <w:p>
            <w:r>
              <w:rPr>
                <w:sz w:val="14"/>
              </w:rPr>
              <w:t>Security program and security officer — OCC</w:t>
            </w:r>
          </w:p>
        </w:tc>
        <w:tc>
          <w:tcPr>
            <w:tcW w:type="dxa" w:w="1944"/>
            <w:vAlign w:val="top"/>
          </w:tcPr>
          <w:p>
            <w:r>
              <w:rPr>
                <w:sz w:val="14"/>
              </w:rPr>
              <w:t>12 CFR part 21, subpart A</w:t>
            </w:r>
          </w:p>
        </w:tc>
        <w:tc>
          <w:tcPr>
            <w:tcW w:type="dxa" w:w="3888"/>
            <w:vAlign w:val="top"/>
          </w:tcPr>
          <w:p>
            <w:r>
              <w:rPr>
                <w:sz w:val="14"/>
              </w:rPr>
              <w:t>National bank must designate security officer and develop written security program; security officer reports at least annually to board on program effectiveness, and substance is reflected in minutes.</w:t>
            </w:r>
          </w:p>
        </w:tc>
        <w:tc>
          <w:tcPr>
            <w:tcW w:type="dxa" w:w="1512"/>
            <w:vAlign w:val="top"/>
          </w:tcPr>
          <w:p>
            <w:r>
              <w:rPr>
                <w:sz w:val="14"/>
              </w:rPr>
              <w:t>IDI board</w:t>
            </w:r>
          </w:p>
        </w:tc>
        <w:tc>
          <w:tcPr>
            <w:tcW w:type="dxa" w:w="1440"/>
            <w:vAlign w:val="top"/>
          </w:tcPr>
          <w:p>
            <w:r>
              <w:rPr>
                <w:sz w:val="14"/>
              </w:rPr>
              <w:t>None.</w:t>
            </w:r>
          </w:p>
        </w:tc>
        <w:tc>
          <w:tcPr>
            <w:tcW w:type="dxa" w:w="1224"/>
            <w:vAlign w:val="top"/>
          </w:tcPr>
          <w:p>
            <w:r>
              <w:rPr>
                <w:sz w:val="14"/>
              </w:rPr>
              <w:t>Binding rule</w:t>
            </w:r>
          </w:p>
        </w:tc>
      </w:tr>
      <w:tr>
        <w:tc>
          <w:tcPr>
            <w:tcW w:type="dxa" w:w="1728"/>
            <w:vAlign w:val="top"/>
          </w:tcPr>
          <w:p>
            <w:r>
              <w:rPr>
                <w:sz w:val="14"/>
              </w:rPr>
              <w:t>Incident notification</w:t>
            </w:r>
          </w:p>
        </w:tc>
        <w:tc>
          <w:tcPr>
            <w:tcW w:type="dxa" w:w="1944"/>
            <w:vAlign w:val="top"/>
          </w:tcPr>
          <w:p>
            <w:r>
              <w:rPr>
                <w:sz w:val="14"/>
              </w:rPr>
              <w:t>12 CFR part 53; 12 CFR part 225 subpart N; 12 CFR part 304 subpart C</w:t>
            </w:r>
          </w:p>
        </w:tc>
        <w:tc>
          <w:tcPr>
            <w:tcW w:type="dxa" w:w="3888"/>
            <w:vAlign w:val="top"/>
          </w:tcPr>
          <w:p>
            <w:r>
              <w:rPr>
                <w:sz w:val="14"/>
              </w:rPr>
              <w:t>Banking organization must notify primary federal regulator of computer-security incident that rises to notification incident threshold. Board duty is indirect through governance and escalation.</w:t>
            </w:r>
          </w:p>
        </w:tc>
        <w:tc>
          <w:tcPr>
            <w:tcW w:type="dxa" w:w="1512"/>
            <w:vAlign w:val="top"/>
          </w:tcPr>
          <w:p>
            <w:r>
              <w:rPr>
                <w:sz w:val="14"/>
              </w:rPr>
              <w:t>Board or committee may receive reports; rule imposes operational notification duty.</w:t>
            </w:r>
          </w:p>
        </w:tc>
        <w:tc>
          <w:tcPr>
            <w:tcW w:type="dxa" w:w="1440"/>
            <w:vAlign w:val="top"/>
          </w:tcPr>
          <w:p>
            <w:r>
              <w:rPr>
                <w:sz w:val="14"/>
              </w:rPr>
              <w:t>None.</w:t>
            </w:r>
          </w:p>
        </w:tc>
        <w:tc>
          <w:tcPr>
            <w:tcW w:type="dxa" w:w="1224"/>
            <w:vAlign w:val="top"/>
          </w:tcPr>
          <w:p>
            <w:r>
              <w:rPr>
                <w:sz w:val="14"/>
              </w:rPr>
              <w:t>Binding rule</w:t>
            </w:r>
          </w:p>
        </w:tc>
      </w:tr>
      <w:tr>
        <w:tc>
          <w:tcPr>
            <w:tcW w:type="dxa" w:w="1728"/>
            <w:vAlign w:val="top"/>
          </w:tcPr>
          <w:p>
            <w:r>
              <w:rPr>
                <w:sz w:val="14"/>
              </w:rPr>
              <w:t>Operational resilience under consolidated supervision</w:t>
            </w:r>
          </w:p>
        </w:tc>
        <w:tc>
          <w:tcPr>
            <w:tcW w:type="dxa" w:w="1944"/>
            <w:vAlign w:val="top"/>
          </w:tcPr>
          <w:p>
            <w:r>
              <w:rPr>
                <w:sz w:val="14"/>
              </w:rPr>
              <w:t>SR 12-17; Fed large financial institution framework</w:t>
            </w:r>
          </w:p>
        </w:tc>
        <w:tc>
          <w:tcPr>
            <w:tcW w:type="dxa" w:w="3888"/>
            <w:vAlign w:val="top"/>
          </w:tcPr>
          <w:p>
            <w:r>
              <w:rPr>
                <w:sz w:val="14"/>
              </w:rPr>
              <w:t>Large firms expected to maintain resiliency and continuity capabilities commensurate with systemic footprint.</w:t>
            </w:r>
          </w:p>
        </w:tc>
        <w:tc>
          <w:tcPr>
            <w:tcW w:type="dxa" w:w="1512"/>
            <w:vAlign w:val="top"/>
          </w:tcPr>
          <w:p>
            <w:r>
              <w:rPr>
                <w:sz w:val="14"/>
              </w:rPr>
              <w:t>BHC board oversight.</w:t>
            </w:r>
          </w:p>
        </w:tc>
        <w:tc>
          <w:tcPr>
            <w:tcW w:type="dxa" w:w="1440"/>
            <w:vAlign w:val="top"/>
          </w:tcPr>
          <w:p>
            <w:r>
              <w:rPr>
                <w:sz w:val="14"/>
              </w:rPr>
              <w:t>None.</w:t>
            </w:r>
          </w:p>
        </w:tc>
        <w:tc>
          <w:tcPr>
            <w:tcW w:type="dxa" w:w="1224"/>
            <w:vAlign w:val="top"/>
          </w:tcPr>
          <w:p>
            <w:r>
              <w:rPr>
                <w:sz w:val="14"/>
              </w:rPr>
              <w:t>Supervisory guidance</w:t>
            </w:r>
          </w:p>
        </w:tc>
      </w:tr>
      <w:tr>
        <w:tc>
          <w:tcPr>
            <w:tcW w:type="dxa" w:w="1728"/>
            <w:vAlign w:val="top"/>
          </w:tcPr>
          <w:p>
            <w:r>
              <w:rPr>
                <w:sz w:val="14"/>
              </w:rPr>
              <w:t>Third-party cyber risk</w:t>
            </w:r>
          </w:p>
        </w:tc>
        <w:tc>
          <w:tcPr>
            <w:tcW w:type="dxa" w:w="1944"/>
            <w:vAlign w:val="top"/>
          </w:tcPr>
          <w:p>
            <w:r>
              <w:rPr>
                <w:sz w:val="14"/>
              </w:rPr>
              <w:t>2023 interagency TPRM guidance</w:t>
            </w:r>
          </w:p>
        </w:tc>
        <w:tc>
          <w:tcPr>
            <w:tcW w:type="dxa" w:w="3888"/>
            <w:vAlign w:val="top"/>
          </w:tcPr>
          <w:p>
            <w:r>
              <w:rPr>
                <w:sz w:val="14"/>
              </w:rPr>
              <w:t>Board and senior management oversight of third-party risk should include technology, information security, operational resilience, and subcontractor risk where relevant.</w:t>
            </w:r>
          </w:p>
        </w:tc>
        <w:tc>
          <w:tcPr>
            <w:tcW w:type="dxa" w:w="1512"/>
            <w:vAlign w:val="top"/>
          </w:tcPr>
          <w:p>
            <w:r>
              <w:rPr>
                <w:sz w:val="14"/>
              </w:rPr>
              <w:t>Board/committee oversight.</w:t>
            </w:r>
          </w:p>
        </w:tc>
        <w:tc>
          <w:tcPr>
            <w:tcW w:type="dxa" w:w="1440"/>
            <w:vAlign w:val="top"/>
          </w:tcPr>
          <w:p>
            <w:r>
              <w:rPr>
                <w:sz w:val="14"/>
              </w:rPr>
              <w:t>None.</w:t>
            </w:r>
          </w:p>
        </w:tc>
        <w:tc>
          <w:tcPr>
            <w:tcW w:type="dxa" w:w="1224"/>
            <w:vAlign w:val="top"/>
          </w:tcPr>
          <w:p>
            <w:r>
              <w:rPr>
                <w:sz w:val="14"/>
              </w:rPr>
              <w:t>Supervisory guidance</w:t>
            </w:r>
          </w:p>
        </w:tc>
      </w:tr>
    </w:tbl>
    <w:p/>
    <w:p>
      <w:r>
        <w:rPr>
          <w:b w:val="0"/>
          <w:i w:val="0"/>
        </w:rPr>
        <w:t>Reform issue. Cyber and operational resilience obligations are fragmented. The GLBA safeguards guidelines impose program approval and reporting; incident notification rules impose rapid regulatory reporting; third-party guidance introduces vendor-resilience oversight; and CFPB CMR-IT adds consumer-compliance-oriented IT oversight. A reform effort should map these into one cyber/operational-resilience board calendar.</w:t>
      </w:r>
    </w:p>
    <w:p>
      <w:pPr>
        <w:pStyle w:val="Heading1"/>
      </w:pPr>
      <w:r>
        <w:rPr>
          <w:b w:val="0"/>
          <w:i w:val="0"/>
        </w:rPr>
        <w:t>Chapter 7 — Third-Party Risk Management</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1728"/>
            <w:shd w:fill="D9EAF7"/>
            <w:vAlign w:val="center"/>
          </w:tcPr>
          <w:p>
            <w:pPr>
              <w:jc w:val="center"/>
            </w:pPr>
            <w:r>
              <w:rPr>
                <w:b/>
                <w:sz w:val="16"/>
              </w:rPr>
              <w:t>Obligation</w:t>
            </w:r>
          </w:p>
        </w:tc>
        <w:tc>
          <w:tcPr>
            <w:tcW w:type="dxa" w:w="2088"/>
            <w:shd w:fill="D9EAF7"/>
            <w:vAlign w:val="center"/>
          </w:tcPr>
          <w:p>
            <w:pPr>
              <w:jc w:val="center"/>
            </w:pPr>
            <w:r>
              <w:rPr>
                <w:b/>
                <w:sz w:val="16"/>
              </w:rPr>
              <w:t>Source</w:t>
            </w:r>
          </w:p>
        </w:tc>
        <w:tc>
          <w:tcPr>
            <w:tcW w:type="dxa" w:w="3816"/>
            <w:shd w:fill="D9EAF7"/>
            <w:vAlign w:val="center"/>
          </w:tcPr>
          <w:p>
            <w:pPr>
              <w:jc w:val="center"/>
            </w:pPr>
            <w:r>
              <w:rPr>
                <w:b/>
                <w:sz w:val="16"/>
              </w:rPr>
              <w:t>Duty</w:t>
            </w:r>
          </w:p>
        </w:tc>
        <w:tc>
          <w:tcPr>
            <w:tcW w:type="dxa" w:w="1512"/>
            <w:shd w:fill="D9EAF7"/>
            <w:vAlign w:val="center"/>
          </w:tcPr>
          <w:p>
            <w:pPr>
              <w:jc w:val="center"/>
            </w:pPr>
            <w:r>
              <w:rPr>
                <w:b/>
                <w:sz w:val="16"/>
              </w:rPr>
              <w:t>Actor</w:t>
            </w:r>
          </w:p>
        </w:tc>
        <w:tc>
          <w:tcPr>
            <w:tcW w:type="dxa" w:w="1368"/>
            <w:shd w:fill="D9EAF7"/>
            <w:vAlign w:val="center"/>
          </w:tcPr>
          <w:p>
            <w:pPr>
              <w:jc w:val="center"/>
            </w:pPr>
            <w:r>
              <w:rPr>
                <w:b/>
                <w:sz w:val="16"/>
              </w:rPr>
              <w:t>Director distinction</w:t>
            </w:r>
          </w:p>
        </w:tc>
        <w:tc>
          <w:tcPr>
            <w:tcW w:type="dxa" w:w="1296"/>
            <w:shd w:fill="D9EAF7"/>
            <w:vAlign w:val="center"/>
          </w:tcPr>
          <w:p>
            <w:pPr>
              <w:jc w:val="center"/>
            </w:pPr>
            <w:r>
              <w:rPr>
                <w:b/>
                <w:sz w:val="16"/>
              </w:rPr>
              <w:t>Status</w:t>
            </w:r>
          </w:p>
        </w:tc>
      </w:tr>
      <w:tr>
        <w:tc>
          <w:tcPr>
            <w:tcW w:type="dxa" w:w="1728"/>
            <w:vAlign w:val="top"/>
          </w:tcPr>
          <w:p>
            <w:r>
              <w:rPr>
                <w:sz w:val="14"/>
              </w:rPr>
              <w:t>Risk-management life cycle</w:t>
            </w:r>
          </w:p>
        </w:tc>
        <w:tc>
          <w:tcPr>
            <w:tcW w:type="dxa" w:w="2088"/>
            <w:vAlign w:val="top"/>
          </w:tcPr>
          <w:p>
            <w:r>
              <w:rPr>
                <w:sz w:val="14"/>
              </w:rPr>
              <w:t>Interagency Guidance on Third-Party Relationships, 88 Fed. Reg. 37920; SR 23-4; OCC Bulletin 2023-17; FDIC FIL-29-2023</w:t>
            </w:r>
          </w:p>
        </w:tc>
        <w:tc>
          <w:tcPr>
            <w:tcW w:type="dxa" w:w="3816"/>
            <w:vAlign w:val="top"/>
          </w:tcPr>
          <w:p>
            <w:r>
              <w:rPr>
                <w:sz w:val="14"/>
              </w:rPr>
              <w:t>Guidance addresses planning, due diligence, contract negotiation, ongoing monitoring, and termination for third-party relationships.</w:t>
            </w:r>
          </w:p>
        </w:tc>
        <w:tc>
          <w:tcPr>
            <w:tcW w:type="dxa" w:w="1512"/>
            <w:vAlign w:val="top"/>
          </w:tcPr>
          <w:p>
            <w:r>
              <w:rPr>
                <w:sz w:val="14"/>
              </w:rPr>
              <w:t>Board and senior management oversight; management executes.</w:t>
            </w:r>
          </w:p>
        </w:tc>
        <w:tc>
          <w:tcPr>
            <w:tcW w:type="dxa" w:w="1368"/>
            <w:vAlign w:val="top"/>
          </w:tcPr>
          <w:p>
            <w:r>
              <w:rPr>
                <w:sz w:val="14"/>
              </w:rPr>
              <w:t>None.</w:t>
            </w:r>
          </w:p>
        </w:tc>
        <w:tc>
          <w:tcPr>
            <w:tcW w:type="dxa" w:w="1296"/>
            <w:vAlign w:val="top"/>
          </w:tcPr>
          <w:p>
            <w:r>
              <w:rPr>
                <w:sz w:val="14"/>
              </w:rPr>
              <w:t>Supervisory guidance</w:t>
            </w:r>
          </w:p>
        </w:tc>
      </w:tr>
      <w:tr>
        <w:tc>
          <w:tcPr>
            <w:tcW w:type="dxa" w:w="1728"/>
            <w:vAlign w:val="top"/>
          </w:tcPr>
          <w:p>
            <w:r>
              <w:rPr>
                <w:sz w:val="14"/>
              </w:rPr>
              <w:t>Responsibility not outsourced</w:t>
            </w:r>
          </w:p>
        </w:tc>
        <w:tc>
          <w:tcPr>
            <w:tcW w:type="dxa" w:w="2088"/>
            <w:vAlign w:val="top"/>
          </w:tcPr>
          <w:p>
            <w:r>
              <w:rPr>
                <w:sz w:val="14"/>
              </w:rPr>
              <w:t>Interagency TPRM guidance</w:t>
            </w:r>
          </w:p>
        </w:tc>
        <w:tc>
          <w:tcPr>
            <w:tcW w:type="dxa" w:w="3816"/>
            <w:vAlign w:val="top"/>
          </w:tcPr>
          <w:p>
            <w:r>
              <w:rPr>
                <w:sz w:val="14"/>
              </w:rPr>
              <w:t>Use of third parties does not diminish banking organization responsibility to operate safely and soundly and comply with laws and regulations.</w:t>
            </w:r>
          </w:p>
        </w:tc>
        <w:tc>
          <w:tcPr>
            <w:tcW w:type="dxa" w:w="1512"/>
            <w:vAlign w:val="top"/>
          </w:tcPr>
          <w:p>
            <w:r>
              <w:rPr>
                <w:sz w:val="14"/>
              </w:rPr>
              <w:t>Board oversight principle.</w:t>
            </w:r>
          </w:p>
        </w:tc>
        <w:tc>
          <w:tcPr>
            <w:tcW w:type="dxa" w:w="1368"/>
            <w:vAlign w:val="top"/>
          </w:tcPr>
          <w:p>
            <w:r>
              <w:rPr>
                <w:sz w:val="14"/>
              </w:rPr>
              <w:t>None.</w:t>
            </w:r>
          </w:p>
        </w:tc>
        <w:tc>
          <w:tcPr>
            <w:tcW w:type="dxa" w:w="1296"/>
            <w:vAlign w:val="top"/>
          </w:tcPr>
          <w:p>
            <w:r>
              <w:rPr>
                <w:sz w:val="14"/>
              </w:rPr>
              <w:t>Supervisory guidance</w:t>
            </w:r>
          </w:p>
        </w:tc>
      </w:tr>
      <w:tr>
        <w:tc>
          <w:tcPr>
            <w:tcW w:type="dxa" w:w="1728"/>
            <w:vAlign w:val="top"/>
          </w:tcPr>
          <w:p>
            <w:r>
              <w:rPr>
                <w:sz w:val="14"/>
              </w:rPr>
              <w:t>Critical activities and risk-based oversight</w:t>
            </w:r>
          </w:p>
        </w:tc>
        <w:tc>
          <w:tcPr>
            <w:tcW w:type="dxa" w:w="2088"/>
            <w:vAlign w:val="top"/>
          </w:tcPr>
          <w:p>
            <w:r>
              <w:rPr>
                <w:sz w:val="14"/>
              </w:rPr>
              <w:t>Interagency TPRM guidance</w:t>
            </w:r>
          </w:p>
        </w:tc>
        <w:tc>
          <w:tcPr>
            <w:tcW w:type="dxa" w:w="3816"/>
            <w:vAlign w:val="top"/>
          </w:tcPr>
          <w:p>
            <w:r>
              <w:rPr>
                <w:sz w:val="14"/>
              </w:rPr>
              <w:t>More comprehensive and rigorous oversight is expected for third-party relationships that support critical activities or pose elevated risk.</w:t>
            </w:r>
          </w:p>
        </w:tc>
        <w:tc>
          <w:tcPr>
            <w:tcW w:type="dxa" w:w="1512"/>
            <w:vAlign w:val="top"/>
          </w:tcPr>
          <w:p>
            <w:r>
              <w:rPr>
                <w:sz w:val="14"/>
              </w:rPr>
              <w:t>Board/committee may approve or review risk appetite, policies, and reporting.</w:t>
            </w:r>
          </w:p>
        </w:tc>
        <w:tc>
          <w:tcPr>
            <w:tcW w:type="dxa" w:w="1368"/>
            <w:vAlign w:val="top"/>
          </w:tcPr>
          <w:p>
            <w:r>
              <w:rPr>
                <w:sz w:val="14"/>
              </w:rPr>
              <w:t>None.</w:t>
            </w:r>
          </w:p>
        </w:tc>
        <w:tc>
          <w:tcPr>
            <w:tcW w:type="dxa" w:w="1296"/>
            <w:vAlign w:val="top"/>
          </w:tcPr>
          <w:p>
            <w:r>
              <w:rPr>
                <w:sz w:val="14"/>
              </w:rPr>
              <w:t>Supervisory guidance</w:t>
            </w:r>
          </w:p>
        </w:tc>
      </w:tr>
      <w:tr>
        <w:tc>
          <w:tcPr>
            <w:tcW w:type="dxa" w:w="1728"/>
            <w:vAlign w:val="top"/>
          </w:tcPr>
          <w:p>
            <w:r>
              <w:rPr>
                <w:sz w:val="14"/>
              </w:rPr>
              <w:t>Service-provider consumer compliance</w:t>
            </w:r>
          </w:p>
        </w:tc>
        <w:tc>
          <w:tcPr>
            <w:tcW w:type="dxa" w:w="2088"/>
            <w:vAlign w:val="top"/>
          </w:tcPr>
          <w:p>
            <w:r>
              <w:rPr>
                <w:sz w:val="14"/>
              </w:rPr>
              <w:t>CFPB CMR procedures; CFPB service-provider guidance</w:t>
            </w:r>
          </w:p>
        </w:tc>
        <w:tc>
          <w:tcPr>
            <w:tcW w:type="dxa" w:w="3816"/>
            <w:vAlign w:val="top"/>
          </w:tcPr>
          <w:p>
            <w:r>
              <w:rPr>
                <w:sz w:val="14"/>
              </w:rPr>
              <w:t>CFPB evaluates whether supervised entities maintain oversight and due diligence over service providers affecting consumer compliance.</w:t>
            </w:r>
          </w:p>
        </w:tc>
        <w:tc>
          <w:tcPr>
            <w:tcW w:type="dxa" w:w="1512"/>
            <w:vAlign w:val="top"/>
          </w:tcPr>
          <w:p>
            <w:r>
              <w:rPr>
                <w:sz w:val="14"/>
              </w:rPr>
              <w:t>Board and management oversight.</w:t>
            </w:r>
          </w:p>
        </w:tc>
        <w:tc>
          <w:tcPr>
            <w:tcW w:type="dxa" w:w="1368"/>
            <w:vAlign w:val="top"/>
          </w:tcPr>
          <w:p>
            <w:r>
              <w:rPr>
                <w:sz w:val="14"/>
              </w:rPr>
              <w:t>None.</w:t>
            </w:r>
          </w:p>
        </w:tc>
        <w:tc>
          <w:tcPr>
            <w:tcW w:type="dxa" w:w="1296"/>
            <w:vAlign w:val="top"/>
          </w:tcPr>
          <w:p>
            <w:r>
              <w:rPr>
                <w:sz w:val="14"/>
              </w:rPr>
              <w:t>Examination expectation / guidance</w:t>
            </w:r>
          </w:p>
        </w:tc>
      </w:tr>
      <w:tr>
        <w:tc>
          <w:tcPr>
            <w:tcW w:type="dxa" w:w="1728"/>
            <w:vAlign w:val="top"/>
          </w:tcPr>
          <w:p>
            <w:r>
              <w:rPr>
                <w:sz w:val="14"/>
              </w:rPr>
              <w:t>Fintech due diligence</w:t>
            </w:r>
          </w:p>
        </w:tc>
        <w:tc>
          <w:tcPr>
            <w:tcW w:type="dxa" w:w="2088"/>
            <w:vAlign w:val="top"/>
          </w:tcPr>
          <w:p>
            <w:r>
              <w:rPr>
                <w:sz w:val="14"/>
              </w:rPr>
              <w:t>Interagency due diligence guide for fintech relationships</w:t>
            </w:r>
          </w:p>
        </w:tc>
        <w:tc>
          <w:tcPr>
            <w:tcW w:type="dxa" w:w="3816"/>
            <w:vAlign w:val="top"/>
          </w:tcPr>
          <w:p>
            <w:r>
              <w:rPr>
                <w:sz w:val="14"/>
              </w:rPr>
              <w:t>Resource for community banks but principles overlap with larger-bank TPRM expectations: business experience, financial condition, legal/regulatory compliance, risk management, controls, information security, operations, subcontractors.</w:t>
            </w:r>
          </w:p>
        </w:tc>
        <w:tc>
          <w:tcPr>
            <w:tcW w:type="dxa" w:w="1512"/>
            <w:vAlign w:val="top"/>
          </w:tcPr>
          <w:p>
            <w:r>
              <w:rPr>
                <w:sz w:val="14"/>
              </w:rPr>
              <w:t>Board informed through TPRM governance.</w:t>
            </w:r>
          </w:p>
        </w:tc>
        <w:tc>
          <w:tcPr>
            <w:tcW w:type="dxa" w:w="1368"/>
            <w:vAlign w:val="top"/>
          </w:tcPr>
          <w:p>
            <w:r>
              <w:rPr>
                <w:sz w:val="14"/>
              </w:rPr>
              <w:t>None.</w:t>
            </w:r>
          </w:p>
        </w:tc>
        <w:tc>
          <w:tcPr>
            <w:tcW w:type="dxa" w:w="1296"/>
            <w:vAlign w:val="top"/>
          </w:tcPr>
          <w:p>
            <w:r>
              <w:rPr>
                <w:sz w:val="14"/>
              </w:rPr>
              <w:t>Nonbinding resource</w:t>
            </w:r>
          </w:p>
        </w:tc>
      </w:tr>
    </w:tbl>
    <w:p/>
    <w:p>
      <w:r>
        <w:rPr>
          <w:b w:val="0"/>
          <w:i w:val="0"/>
        </w:rPr>
        <w:t>Reform issue. TPRM is a supervisory overlay rather than a single board-approval rule, yet it can generate extensive board reporting because third-party risk intersects with cyber, AML, consumer compliance, model risk, cloud, AI, data, and operational resilience. A reform approach should define which third-party relationships require board-level visibility and which can remain within management governance, subject to exception reporting.</w:t>
      </w:r>
    </w:p>
    <w:p>
      <w:pPr>
        <w:pStyle w:val="Heading1"/>
      </w:pPr>
      <w:r>
        <w:rPr>
          <w:b w:val="0"/>
          <w:i w:val="0"/>
        </w:rPr>
        <w:t>Chapter 8 — Model Risk Governance, AI, and Quantitative Controls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1728"/>
            <w:shd w:fill="D9EAF7"/>
            <w:vAlign w:val="center"/>
          </w:tcPr>
          <w:p>
            <w:pPr>
              <w:jc w:val="center"/>
            </w:pPr>
            <w:r>
              <w:rPr>
                <w:b/>
                <w:sz w:val="16"/>
              </w:rPr>
              <w:t>Obligation</w:t>
            </w:r>
          </w:p>
        </w:tc>
        <w:tc>
          <w:tcPr>
            <w:tcW w:type="dxa" w:w="2088"/>
            <w:shd w:fill="D9EAF7"/>
            <w:vAlign w:val="center"/>
          </w:tcPr>
          <w:p>
            <w:pPr>
              <w:jc w:val="center"/>
            </w:pPr>
            <w:r>
              <w:rPr>
                <w:b/>
                <w:sz w:val="16"/>
              </w:rPr>
              <w:t>Source</w:t>
            </w:r>
          </w:p>
        </w:tc>
        <w:tc>
          <w:tcPr>
            <w:tcW w:type="dxa" w:w="3816"/>
            <w:shd w:fill="D9EAF7"/>
            <w:vAlign w:val="center"/>
          </w:tcPr>
          <w:p>
            <w:pPr>
              <w:jc w:val="center"/>
            </w:pPr>
            <w:r>
              <w:rPr>
                <w:b/>
                <w:sz w:val="16"/>
              </w:rPr>
              <w:t>Duty</w:t>
            </w:r>
          </w:p>
        </w:tc>
        <w:tc>
          <w:tcPr>
            <w:tcW w:type="dxa" w:w="1512"/>
            <w:shd w:fill="D9EAF7"/>
            <w:vAlign w:val="center"/>
          </w:tcPr>
          <w:p>
            <w:pPr>
              <w:jc w:val="center"/>
            </w:pPr>
            <w:r>
              <w:rPr>
                <w:b/>
                <w:sz w:val="16"/>
              </w:rPr>
              <w:t>Actor</w:t>
            </w:r>
          </w:p>
        </w:tc>
        <w:tc>
          <w:tcPr>
            <w:tcW w:type="dxa" w:w="1440"/>
            <w:shd w:fill="D9EAF7"/>
            <w:vAlign w:val="center"/>
          </w:tcPr>
          <w:p>
            <w:pPr>
              <w:jc w:val="center"/>
            </w:pPr>
            <w:r>
              <w:rPr>
                <w:b/>
                <w:sz w:val="16"/>
              </w:rPr>
              <w:t>Director distinction</w:t>
            </w:r>
          </w:p>
        </w:tc>
        <w:tc>
          <w:tcPr>
            <w:tcW w:type="dxa" w:w="1224"/>
            <w:shd w:fill="D9EAF7"/>
            <w:vAlign w:val="center"/>
          </w:tcPr>
          <w:p>
            <w:pPr>
              <w:jc w:val="center"/>
            </w:pPr>
            <w:r>
              <w:rPr>
                <w:b/>
                <w:sz w:val="16"/>
              </w:rPr>
              <w:t>Status</w:t>
            </w:r>
          </w:p>
        </w:tc>
      </w:tr>
      <w:tr>
        <w:tc>
          <w:tcPr>
            <w:tcW w:type="dxa" w:w="1728"/>
            <w:vAlign w:val="top"/>
          </w:tcPr>
          <w:p>
            <w:r>
              <w:rPr>
                <w:sz w:val="14"/>
              </w:rPr>
              <w:t>Model risk governance framework</w:t>
            </w:r>
          </w:p>
        </w:tc>
        <w:tc>
          <w:tcPr>
            <w:tcW w:type="dxa" w:w="2088"/>
            <w:vAlign w:val="top"/>
          </w:tcPr>
          <w:p>
            <w:r>
              <w:rPr>
                <w:sz w:val="14"/>
              </w:rPr>
              <w:t>SR 26-2 / revised supervisory guidance on model risk management</w:t>
            </w:r>
          </w:p>
        </w:tc>
        <w:tc>
          <w:tcPr>
            <w:tcW w:type="dxa" w:w="3816"/>
            <w:vAlign w:val="top"/>
          </w:tcPr>
          <w:p>
            <w:r>
              <w:rPr>
                <w:sz w:val="14"/>
              </w:rPr>
              <w:t>Model risk management includes board and senior management oversight, policies and procedures, controls and compliance, validation, and appropriate incentives and organizational structure.</w:t>
            </w:r>
          </w:p>
        </w:tc>
        <w:tc>
          <w:tcPr>
            <w:tcW w:type="dxa" w:w="1512"/>
            <w:vAlign w:val="top"/>
          </w:tcPr>
          <w:p>
            <w:r>
              <w:rPr>
                <w:sz w:val="14"/>
              </w:rPr>
              <w:t>Board and senior management oversight.</w:t>
            </w:r>
          </w:p>
        </w:tc>
        <w:tc>
          <w:tcPr>
            <w:tcW w:type="dxa" w:w="1440"/>
            <w:vAlign w:val="top"/>
          </w:tcPr>
          <w:p>
            <w:r>
              <w:rPr>
                <w:sz w:val="14"/>
              </w:rPr>
              <w:t>None.</w:t>
            </w:r>
          </w:p>
        </w:tc>
        <w:tc>
          <w:tcPr>
            <w:tcW w:type="dxa" w:w="1224"/>
            <w:vAlign w:val="top"/>
          </w:tcPr>
          <w:p>
            <w:r>
              <w:rPr>
                <w:sz w:val="14"/>
              </w:rPr>
              <w:t>Supervisory guidance</w:t>
            </w:r>
          </w:p>
        </w:tc>
      </w:tr>
      <w:tr>
        <w:tc>
          <w:tcPr>
            <w:tcW w:type="dxa" w:w="1728"/>
            <w:vAlign w:val="top"/>
          </w:tcPr>
          <w:p>
            <w:r>
              <w:rPr>
                <w:sz w:val="14"/>
              </w:rPr>
              <w:t>Risk-based tailoring</w:t>
            </w:r>
          </w:p>
        </w:tc>
        <w:tc>
          <w:tcPr>
            <w:tcW w:type="dxa" w:w="2088"/>
            <w:vAlign w:val="top"/>
          </w:tcPr>
          <w:p>
            <w:r>
              <w:rPr>
                <w:sz w:val="14"/>
              </w:rPr>
              <w:t>SR 26-2</w:t>
            </w:r>
          </w:p>
        </w:tc>
        <w:tc>
          <w:tcPr>
            <w:tcW w:type="dxa" w:w="3816"/>
            <w:vAlign w:val="top"/>
          </w:tcPr>
          <w:p>
            <w:r>
              <w:rPr>
                <w:sz w:val="14"/>
              </w:rPr>
              <w:t>Model risk management practices should vary based on the banking organization’s risk profile and model usage.</w:t>
            </w:r>
          </w:p>
        </w:tc>
        <w:tc>
          <w:tcPr>
            <w:tcW w:type="dxa" w:w="1512"/>
            <w:vAlign w:val="top"/>
          </w:tcPr>
          <w:p>
            <w:r>
              <w:rPr>
                <w:sz w:val="14"/>
              </w:rPr>
              <w:t>Board oversight of model risk appetite and governance.</w:t>
            </w:r>
          </w:p>
        </w:tc>
        <w:tc>
          <w:tcPr>
            <w:tcW w:type="dxa" w:w="1440"/>
            <w:vAlign w:val="top"/>
          </w:tcPr>
          <w:p>
            <w:r>
              <w:rPr>
                <w:sz w:val="14"/>
              </w:rPr>
              <w:t>None.</w:t>
            </w:r>
          </w:p>
        </w:tc>
        <w:tc>
          <w:tcPr>
            <w:tcW w:type="dxa" w:w="1224"/>
            <w:vAlign w:val="top"/>
          </w:tcPr>
          <w:p>
            <w:r>
              <w:rPr>
                <w:sz w:val="14"/>
              </w:rPr>
              <w:t>Supervisory guidance</w:t>
            </w:r>
          </w:p>
        </w:tc>
      </w:tr>
      <w:tr>
        <w:tc>
          <w:tcPr>
            <w:tcW w:type="dxa" w:w="1728"/>
            <w:vAlign w:val="top"/>
          </w:tcPr>
          <w:p>
            <w:r>
              <w:rPr>
                <w:sz w:val="14"/>
              </w:rPr>
              <w:t>Model validation independence</w:t>
            </w:r>
          </w:p>
        </w:tc>
        <w:tc>
          <w:tcPr>
            <w:tcW w:type="dxa" w:w="2088"/>
            <w:vAlign w:val="top"/>
          </w:tcPr>
          <w:p>
            <w:r>
              <w:rPr>
                <w:sz w:val="14"/>
              </w:rPr>
              <w:t>SR 26-2 / model risk guidance</w:t>
            </w:r>
          </w:p>
        </w:tc>
        <w:tc>
          <w:tcPr>
            <w:tcW w:type="dxa" w:w="3816"/>
            <w:vAlign w:val="top"/>
          </w:tcPr>
          <w:p>
            <w:r>
              <w:rPr>
                <w:sz w:val="14"/>
              </w:rPr>
              <w:t>Effective model risk management includes independent validation and controls over model development, implementation, use, and change management.</w:t>
            </w:r>
          </w:p>
        </w:tc>
        <w:tc>
          <w:tcPr>
            <w:tcW w:type="dxa" w:w="1512"/>
            <w:vAlign w:val="top"/>
          </w:tcPr>
          <w:p>
            <w:r>
              <w:rPr>
                <w:sz w:val="14"/>
              </w:rPr>
              <w:t>Board receives reporting; management executes.</w:t>
            </w:r>
          </w:p>
        </w:tc>
        <w:tc>
          <w:tcPr>
            <w:tcW w:type="dxa" w:w="1440"/>
            <w:vAlign w:val="top"/>
          </w:tcPr>
          <w:p>
            <w:r>
              <w:rPr>
                <w:sz w:val="14"/>
              </w:rPr>
              <w:t>Independence relates to validation function, not directors.</w:t>
            </w:r>
          </w:p>
        </w:tc>
        <w:tc>
          <w:tcPr>
            <w:tcW w:type="dxa" w:w="1224"/>
            <w:vAlign w:val="top"/>
          </w:tcPr>
          <w:p>
            <w:r>
              <w:rPr>
                <w:sz w:val="14"/>
              </w:rPr>
              <w:t>Supervisory guidance</w:t>
            </w:r>
          </w:p>
        </w:tc>
      </w:tr>
      <w:tr>
        <w:tc>
          <w:tcPr>
            <w:tcW w:type="dxa" w:w="1728"/>
            <w:vAlign w:val="top"/>
          </w:tcPr>
          <w:p>
            <w:r>
              <w:rPr>
                <w:sz w:val="14"/>
              </w:rPr>
              <w:t>Capital and stress-testing models</w:t>
            </w:r>
          </w:p>
        </w:tc>
        <w:tc>
          <w:tcPr>
            <w:tcW w:type="dxa" w:w="2088"/>
            <w:vAlign w:val="top"/>
          </w:tcPr>
          <w:p>
            <w:r>
              <w:rPr>
                <w:sz w:val="14"/>
              </w:rPr>
              <w:t>SR 15-18; 12 CFR 225.8; 12 CFR part 252</w:t>
            </w:r>
          </w:p>
        </w:tc>
        <w:tc>
          <w:tcPr>
            <w:tcW w:type="dxa" w:w="3816"/>
            <w:vAlign w:val="top"/>
          </w:tcPr>
          <w:p>
            <w:r>
              <w:rPr>
                <w:sz w:val="14"/>
              </w:rPr>
              <w:t>Capital planning and stress-testing expectations create governance expectations for projection methodologies, scenario design, internal controls, and model overlays.</w:t>
            </w:r>
          </w:p>
        </w:tc>
        <w:tc>
          <w:tcPr>
            <w:tcW w:type="dxa" w:w="1512"/>
            <w:vAlign w:val="top"/>
          </w:tcPr>
          <w:p>
            <w:r>
              <w:rPr>
                <w:sz w:val="14"/>
              </w:rPr>
              <w:t>BHC board/risk/audit committees.</w:t>
            </w:r>
          </w:p>
        </w:tc>
        <w:tc>
          <w:tcPr>
            <w:tcW w:type="dxa" w:w="1440"/>
            <w:vAlign w:val="top"/>
          </w:tcPr>
          <w:p>
            <w:r>
              <w:rPr>
                <w:sz w:val="14"/>
              </w:rPr>
              <w:t>None.</w:t>
            </w:r>
          </w:p>
        </w:tc>
        <w:tc>
          <w:tcPr>
            <w:tcW w:type="dxa" w:w="1224"/>
            <w:vAlign w:val="top"/>
          </w:tcPr>
          <w:p>
            <w:r>
              <w:rPr>
                <w:sz w:val="14"/>
              </w:rPr>
              <w:t>Rule plus guidance</w:t>
            </w:r>
          </w:p>
        </w:tc>
      </w:tr>
      <w:tr>
        <w:tc>
          <w:tcPr>
            <w:tcW w:type="dxa" w:w="1728"/>
            <w:vAlign w:val="top"/>
          </w:tcPr>
          <w:p>
            <w:r>
              <w:rPr>
                <w:sz w:val="14"/>
              </w:rPr>
              <w:t>Advanced approaches models</w:t>
            </w:r>
          </w:p>
        </w:tc>
        <w:tc>
          <w:tcPr>
            <w:tcW w:type="dxa" w:w="2088"/>
            <w:vAlign w:val="top"/>
          </w:tcPr>
          <w:p>
            <w:r>
              <w:rPr>
                <w:sz w:val="14"/>
              </w:rPr>
              <w:t>12 CFR part 217</w:t>
            </w:r>
          </w:p>
        </w:tc>
        <w:tc>
          <w:tcPr>
            <w:tcW w:type="dxa" w:w="3816"/>
            <w:vAlign w:val="top"/>
          </w:tcPr>
          <w:p>
            <w:r>
              <w:rPr>
                <w:sz w:val="14"/>
              </w:rPr>
              <w:t>Implementation plans and internal audit reports for advanced systems reach board or committee.</w:t>
            </w:r>
          </w:p>
        </w:tc>
        <w:tc>
          <w:tcPr>
            <w:tcW w:type="dxa" w:w="1512"/>
            <w:vAlign w:val="top"/>
          </w:tcPr>
          <w:p>
            <w:r>
              <w:rPr>
                <w:sz w:val="14"/>
              </w:rPr>
              <w:t>Board or committee.</w:t>
            </w:r>
          </w:p>
        </w:tc>
        <w:tc>
          <w:tcPr>
            <w:tcW w:type="dxa" w:w="1440"/>
            <w:vAlign w:val="top"/>
          </w:tcPr>
          <w:p>
            <w:r>
              <w:rPr>
                <w:sz w:val="14"/>
              </w:rPr>
              <w:t>None.</w:t>
            </w:r>
          </w:p>
        </w:tc>
        <w:tc>
          <w:tcPr>
            <w:tcW w:type="dxa" w:w="1224"/>
            <w:vAlign w:val="top"/>
          </w:tcPr>
          <w:p>
            <w:r>
              <w:rPr>
                <w:sz w:val="14"/>
              </w:rPr>
              <w:t>Binding rule</w:t>
            </w:r>
          </w:p>
        </w:tc>
      </w:tr>
      <w:tr>
        <w:tc>
          <w:tcPr>
            <w:tcW w:type="dxa" w:w="1728"/>
            <w:vAlign w:val="top"/>
          </w:tcPr>
          <w:p>
            <w:r>
              <w:rPr>
                <w:sz w:val="14"/>
              </w:rPr>
              <w:t>BSA/AML and consumer models</w:t>
            </w:r>
          </w:p>
        </w:tc>
        <w:tc>
          <w:tcPr>
            <w:tcW w:type="dxa" w:w="2088"/>
            <w:vAlign w:val="top"/>
          </w:tcPr>
          <w:p>
            <w:r>
              <w:rPr>
                <w:sz w:val="14"/>
              </w:rPr>
              <w:t>BSA regulations; CFPB fair lending/CMS procedures; SR 26-2 where models are in scope</w:t>
            </w:r>
          </w:p>
        </w:tc>
        <w:tc>
          <w:tcPr>
            <w:tcW w:type="dxa" w:w="3816"/>
            <w:vAlign w:val="top"/>
          </w:tcPr>
          <w:p>
            <w:r>
              <w:rPr>
                <w:sz w:val="14"/>
              </w:rPr>
              <w:t>Board oversight arises through BSA program approval, CMS oversight, and model-risk governance.</w:t>
            </w:r>
          </w:p>
        </w:tc>
        <w:tc>
          <w:tcPr>
            <w:tcW w:type="dxa" w:w="1512"/>
            <w:vAlign w:val="top"/>
          </w:tcPr>
          <w:p>
            <w:r>
              <w:rPr>
                <w:sz w:val="14"/>
              </w:rPr>
              <w:t>IDI board; BHC/IDI committees.</w:t>
            </w:r>
          </w:p>
        </w:tc>
        <w:tc>
          <w:tcPr>
            <w:tcW w:type="dxa" w:w="1440"/>
            <w:vAlign w:val="top"/>
          </w:tcPr>
          <w:p>
            <w:r>
              <w:rPr>
                <w:sz w:val="14"/>
              </w:rPr>
              <w:t>None.</w:t>
            </w:r>
          </w:p>
        </w:tc>
        <w:tc>
          <w:tcPr>
            <w:tcW w:type="dxa" w:w="1224"/>
            <w:vAlign w:val="top"/>
          </w:tcPr>
          <w:p>
            <w:r>
              <w:rPr>
                <w:sz w:val="14"/>
              </w:rPr>
              <w:t>Mixed</w:t>
            </w:r>
          </w:p>
        </w:tc>
      </w:tr>
    </w:tbl>
    <w:p/>
    <w:p>
      <w:r>
        <w:rPr>
          <w:b w:val="0"/>
          <w:i w:val="0"/>
        </w:rPr>
        <w:t>Reform issue. Model risk is a classic “horizontal overlay.” The same board may see model issues through capital planning, stress testing, fair lending, AML surveillance, liquidity, fraud, and AI governance. Reform should avoid adding a freestanding AI board package unless it replaces or rationalizes existing model, operational-risk, cyber, TPRM, and consumer-compliance reporting.</w:t>
      </w:r>
    </w:p>
    <w:p>
      <w:pPr>
        <w:pStyle w:val="Heading1"/>
      </w:pPr>
      <w:r>
        <w:rPr>
          <w:b w:val="0"/>
          <w:i w:val="0"/>
        </w:rPr>
        <w:t>Chapter 9 — Incentive Compensation</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1728"/>
            <w:shd w:fill="D9EAF7"/>
            <w:vAlign w:val="center"/>
          </w:tcPr>
          <w:p>
            <w:pPr>
              <w:jc w:val="center"/>
            </w:pPr>
            <w:r>
              <w:rPr>
                <w:b/>
                <w:sz w:val="16"/>
              </w:rPr>
              <w:t>Obligation</w:t>
            </w:r>
          </w:p>
        </w:tc>
        <w:tc>
          <w:tcPr>
            <w:tcW w:type="dxa" w:w="2088"/>
            <w:shd w:fill="D9EAF7"/>
            <w:vAlign w:val="center"/>
          </w:tcPr>
          <w:p>
            <w:pPr>
              <w:jc w:val="center"/>
            </w:pPr>
            <w:r>
              <w:rPr>
                <w:b/>
                <w:sz w:val="16"/>
              </w:rPr>
              <w:t>Source</w:t>
            </w:r>
          </w:p>
        </w:tc>
        <w:tc>
          <w:tcPr>
            <w:tcW w:type="dxa" w:w="3816"/>
            <w:shd w:fill="D9EAF7"/>
            <w:vAlign w:val="center"/>
          </w:tcPr>
          <w:p>
            <w:pPr>
              <w:jc w:val="center"/>
            </w:pPr>
            <w:r>
              <w:rPr>
                <w:b/>
                <w:sz w:val="16"/>
              </w:rPr>
              <w:t>Duty</w:t>
            </w:r>
          </w:p>
        </w:tc>
        <w:tc>
          <w:tcPr>
            <w:tcW w:type="dxa" w:w="1512"/>
            <w:shd w:fill="D9EAF7"/>
            <w:vAlign w:val="center"/>
          </w:tcPr>
          <w:p>
            <w:pPr>
              <w:jc w:val="center"/>
            </w:pPr>
            <w:r>
              <w:rPr>
                <w:b/>
                <w:sz w:val="16"/>
              </w:rPr>
              <w:t>Actor</w:t>
            </w:r>
          </w:p>
        </w:tc>
        <w:tc>
          <w:tcPr>
            <w:tcW w:type="dxa" w:w="1440"/>
            <w:shd w:fill="D9EAF7"/>
            <w:vAlign w:val="center"/>
          </w:tcPr>
          <w:p>
            <w:pPr>
              <w:jc w:val="center"/>
            </w:pPr>
            <w:r>
              <w:rPr>
                <w:b/>
                <w:sz w:val="16"/>
              </w:rPr>
              <w:t>Director distinction</w:t>
            </w:r>
          </w:p>
        </w:tc>
        <w:tc>
          <w:tcPr>
            <w:tcW w:type="dxa" w:w="1224"/>
            <w:shd w:fill="D9EAF7"/>
            <w:vAlign w:val="center"/>
          </w:tcPr>
          <w:p>
            <w:pPr>
              <w:jc w:val="center"/>
            </w:pPr>
            <w:r>
              <w:rPr>
                <w:b/>
                <w:sz w:val="16"/>
              </w:rPr>
              <w:t>Status</w:t>
            </w:r>
          </w:p>
        </w:tc>
      </w:tr>
      <w:tr>
        <w:tc>
          <w:tcPr>
            <w:tcW w:type="dxa" w:w="1728"/>
            <w:vAlign w:val="top"/>
          </w:tcPr>
          <w:p>
            <w:r>
              <w:rPr>
                <w:sz w:val="14"/>
              </w:rPr>
              <w:t>Sound incentive compensation principles</w:t>
            </w:r>
          </w:p>
        </w:tc>
        <w:tc>
          <w:tcPr>
            <w:tcW w:type="dxa" w:w="2088"/>
            <w:vAlign w:val="top"/>
          </w:tcPr>
          <w:p>
            <w:r>
              <w:rPr>
                <w:sz w:val="14"/>
              </w:rPr>
              <w:t>Interagency Guidance on Sound Incentive Compensation Policies, 75 Fed. Reg. 36395; OCC Bulletin 2010-24</w:t>
            </w:r>
          </w:p>
        </w:tc>
        <w:tc>
          <w:tcPr>
            <w:tcW w:type="dxa" w:w="3816"/>
            <w:vAlign w:val="top"/>
          </w:tcPr>
          <w:p>
            <w:r>
              <w:rPr>
                <w:sz w:val="14"/>
              </w:rPr>
              <w:t>Incentive compensation arrangements should not encourage imprudent risk-taking and should be consistent with safety and soundness.</w:t>
            </w:r>
          </w:p>
        </w:tc>
        <w:tc>
          <w:tcPr>
            <w:tcW w:type="dxa" w:w="1512"/>
            <w:vAlign w:val="top"/>
          </w:tcPr>
          <w:p>
            <w:r>
              <w:rPr>
                <w:sz w:val="14"/>
              </w:rPr>
              <w:t>Board and compensation committee oversight.</w:t>
            </w:r>
          </w:p>
        </w:tc>
        <w:tc>
          <w:tcPr>
            <w:tcW w:type="dxa" w:w="1440"/>
            <w:vAlign w:val="top"/>
          </w:tcPr>
          <w:p>
            <w:r>
              <w:rPr>
                <w:sz w:val="14"/>
              </w:rPr>
              <w:t>No banking-law independent director rule in guidance.</w:t>
            </w:r>
          </w:p>
        </w:tc>
        <w:tc>
          <w:tcPr>
            <w:tcW w:type="dxa" w:w="1224"/>
            <w:vAlign w:val="top"/>
          </w:tcPr>
          <w:p>
            <w:r>
              <w:rPr>
                <w:sz w:val="14"/>
              </w:rPr>
              <w:t>Supervisory guidance</w:t>
            </w:r>
          </w:p>
        </w:tc>
      </w:tr>
      <w:tr>
        <w:tc>
          <w:tcPr>
            <w:tcW w:type="dxa" w:w="1728"/>
            <w:vAlign w:val="top"/>
          </w:tcPr>
          <w:p>
            <w:r>
              <w:rPr>
                <w:sz w:val="14"/>
              </w:rPr>
              <w:t>Three principles</w:t>
            </w:r>
          </w:p>
        </w:tc>
        <w:tc>
          <w:tcPr>
            <w:tcW w:type="dxa" w:w="2088"/>
            <w:vAlign w:val="top"/>
          </w:tcPr>
          <w:p>
            <w:r>
              <w:rPr>
                <w:sz w:val="14"/>
              </w:rPr>
              <w:t>2010 interagency guidance</w:t>
            </w:r>
          </w:p>
        </w:tc>
        <w:tc>
          <w:tcPr>
            <w:tcW w:type="dxa" w:w="3816"/>
            <w:vAlign w:val="top"/>
          </w:tcPr>
          <w:p>
            <w:r>
              <w:rPr>
                <w:sz w:val="14"/>
              </w:rPr>
              <w:t>Arrangements should balance risk and reward, be compatible with controls and risk management, and be supported by strong corporate governance.</w:t>
            </w:r>
          </w:p>
        </w:tc>
        <w:tc>
          <w:tcPr>
            <w:tcW w:type="dxa" w:w="1512"/>
            <w:vAlign w:val="top"/>
          </w:tcPr>
          <w:p>
            <w:r>
              <w:rPr>
                <w:sz w:val="14"/>
              </w:rPr>
              <w:t>Board/committee oversight.</w:t>
            </w:r>
          </w:p>
        </w:tc>
        <w:tc>
          <w:tcPr>
            <w:tcW w:type="dxa" w:w="1440"/>
            <w:vAlign w:val="top"/>
          </w:tcPr>
          <w:p>
            <w:r>
              <w:rPr>
                <w:sz w:val="14"/>
              </w:rPr>
              <w:t>None.</w:t>
            </w:r>
          </w:p>
        </w:tc>
        <w:tc>
          <w:tcPr>
            <w:tcW w:type="dxa" w:w="1224"/>
            <w:vAlign w:val="top"/>
          </w:tcPr>
          <w:p>
            <w:r>
              <w:rPr>
                <w:sz w:val="14"/>
              </w:rPr>
              <w:t>Supervisory guidance</w:t>
            </w:r>
          </w:p>
        </w:tc>
      </w:tr>
      <w:tr>
        <w:tc>
          <w:tcPr>
            <w:tcW w:type="dxa" w:w="1728"/>
            <w:vAlign w:val="top"/>
          </w:tcPr>
          <w:p>
            <w:r>
              <w:rPr>
                <w:sz w:val="14"/>
              </w:rPr>
              <w:t>Board expertise and resources</w:t>
            </w:r>
          </w:p>
        </w:tc>
        <w:tc>
          <w:tcPr>
            <w:tcW w:type="dxa" w:w="2088"/>
            <w:vAlign w:val="top"/>
          </w:tcPr>
          <w:p>
            <w:r>
              <w:rPr>
                <w:sz w:val="14"/>
              </w:rPr>
              <w:t>2010 interagency guidance</w:t>
            </w:r>
          </w:p>
        </w:tc>
        <w:tc>
          <w:tcPr>
            <w:tcW w:type="dxa" w:w="3816"/>
            <w:vAlign w:val="top"/>
          </w:tcPr>
          <w:p>
            <w:r>
              <w:rPr>
                <w:sz w:val="14"/>
              </w:rPr>
              <w:t>Board organization, composition, and resources should permit effective oversight; board should have or have access to risk-management and compensation expertise appropriate to firm complexity.</w:t>
            </w:r>
          </w:p>
        </w:tc>
        <w:tc>
          <w:tcPr>
            <w:tcW w:type="dxa" w:w="1512"/>
            <w:vAlign w:val="top"/>
          </w:tcPr>
          <w:p>
            <w:r>
              <w:rPr>
                <w:sz w:val="14"/>
              </w:rPr>
              <w:t>Board/compensation committee.</w:t>
            </w:r>
          </w:p>
        </w:tc>
        <w:tc>
          <w:tcPr>
            <w:tcW w:type="dxa" w:w="1440"/>
            <w:vAlign w:val="top"/>
          </w:tcPr>
          <w:p>
            <w:r>
              <w:rPr>
                <w:sz w:val="14"/>
              </w:rPr>
              <w:t>No specific independence test.</w:t>
            </w:r>
          </w:p>
        </w:tc>
        <w:tc>
          <w:tcPr>
            <w:tcW w:type="dxa" w:w="1224"/>
            <w:vAlign w:val="top"/>
          </w:tcPr>
          <w:p>
            <w:r>
              <w:rPr>
                <w:sz w:val="14"/>
              </w:rPr>
              <w:t>Supervisory guidance</w:t>
            </w:r>
          </w:p>
        </w:tc>
      </w:tr>
      <w:tr>
        <w:tc>
          <w:tcPr>
            <w:tcW w:type="dxa" w:w="1728"/>
            <w:vAlign w:val="top"/>
          </w:tcPr>
          <w:p>
            <w:r>
              <w:rPr>
                <w:sz w:val="14"/>
              </w:rPr>
              <w:t>Large firm expectations</w:t>
            </w:r>
          </w:p>
        </w:tc>
        <w:tc>
          <w:tcPr>
            <w:tcW w:type="dxa" w:w="2088"/>
            <w:vAlign w:val="top"/>
          </w:tcPr>
          <w:p>
            <w:r>
              <w:rPr>
                <w:sz w:val="14"/>
              </w:rPr>
              <w:t>2010 interagency guidance</w:t>
            </w:r>
          </w:p>
        </w:tc>
        <w:tc>
          <w:tcPr>
            <w:tcW w:type="dxa" w:w="3816"/>
            <w:vAlign w:val="top"/>
          </w:tcPr>
          <w:p>
            <w:r>
              <w:rPr>
                <w:sz w:val="14"/>
              </w:rPr>
              <w:t>Large banking organizations should have systematic and formalized processes covering executive officers and non-executive employees who can expose firm to material risk.</w:t>
            </w:r>
          </w:p>
        </w:tc>
        <w:tc>
          <w:tcPr>
            <w:tcW w:type="dxa" w:w="1512"/>
            <w:vAlign w:val="top"/>
          </w:tcPr>
          <w:p>
            <w:r>
              <w:rPr>
                <w:sz w:val="14"/>
              </w:rPr>
              <w:t>Board/compensation committee; control functions.</w:t>
            </w:r>
          </w:p>
        </w:tc>
        <w:tc>
          <w:tcPr>
            <w:tcW w:type="dxa" w:w="1440"/>
            <w:vAlign w:val="top"/>
          </w:tcPr>
          <w:p>
            <w:r>
              <w:rPr>
                <w:sz w:val="14"/>
              </w:rPr>
              <w:t>None.</w:t>
            </w:r>
          </w:p>
        </w:tc>
        <w:tc>
          <w:tcPr>
            <w:tcW w:type="dxa" w:w="1224"/>
            <w:vAlign w:val="top"/>
          </w:tcPr>
          <w:p>
            <w:r>
              <w:rPr>
                <w:sz w:val="14"/>
              </w:rPr>
              <w:t>Supervisory guidance</w:t>
            </w:r>
          </w:p>
        </w:tc>
      </w:tr>
      <w:tr>
        <w:tc>
          <w:tcPr>
            <w:tcW w:type="dxa" w:w="1728"/>
            <w:vAlign w:val="top"/>
          </w:tcPr>
          <w:p>
            <w:r>
              <w:rPr>
                <w:sz w:val="14"/>
              </w:rPr>
              <w:t>Dodd-Frank section 956 rules</w:t>
            </w:r>
          </w:p>
        </w:tc>
        <w:tc>
          <w:tcPr>
            <w:tcW w:type="dxa" w:w="2088"/>
            <w:vAlign w:val="top"/>
          </w:tcPr>
          <w:p>
            <w:r>
              <w:rPr>
                <w:sz w:val="14"/>
              </w:rPr>
              <w:t>Not final as of current draft</w:t>
            </w:r>
          </w:p>
        </w:tc>
        <w:tc>
          <w:tcPr>
            <w:tcW w:type="dxa" w:w="3816"/>
            <w:vAlign w:val="top"/>
          </w:tcPr>
          <w:p>
            <w:r>
              <w:rPr>
                <w:sz w:val="14"/>
              </w:rPr>
              <w:t>Proposed rules are not counted as current in-force obligations.</w:t>
            </w:r>
          </w:p>
        </w:tc>
        <w:tc>
          <w:tcPr>
            <w:tcW w:type="dxa" w:w="1512"/>
            <w:vAlign w:val="top"/>
          </w:tcPr>
          <w:p>
            <w:r>
              <w:rPr>
                <w:sz w:val="14"/>
              </w:rPr>
              <w:t>N/A</w:t>
            </w:r>
          </w:p>
        </w:tc>
        <w:tc>
          <w:tcPr>
            <w:tcW w:type="dxa" w:w="1440"/>
            <w:vAlign w:val="top"/>
          </w:tcPr>
          <w:p>
            <w:r>
              <w:rPr>
                <w:sz w:val="14"/>
              </w:rPr>
              <w:t>N/A</w:t>
            </w:r>
          </w:p>
        </w:tc>
        <w:tc>
          <w:tcPr>
            <w:tcW w:type="dxa" w:w="1224"/>
            <w:vAlign w:val="top"/>
          </w:tcPr>
          <w:p>
            <w:r>
              <w:rPr>
                <w:sz w:val="14"/>
              </w:rPr>
              <w:t>Excluded</w:t>
            </w:r>
          </w:p>
        </w:tc>
      </w:tr>
    </w:tbl>
    <w:p/>
    <w:p>
      <w:r>
        <w:rPr>
          <w:b w:val="0"/>
          <w:i w:val="0"/>
        </w:rPr>
        <w:t>Reform issue. Incentive-compensation expectations overlap with risk appetite, performance management, culture, conduct risk, and accountability. The most useful reform would not remove board oversight but clarify how risk committee, compensation committee, and control functions should coordinate without duplicative presentations.</w:t>
      </w:r>
    </w:p>
    <w:p>
      <w:pPr>
        <w:pStyle w:val="Heading1"/>
      </w:pPr>
      <w:r>
        <w:rPr>
          <w:b w:val="0"/>
          <w:i w:val="0"/>
        </w:rPr>
        <w:t>Chapter 10 — BSA/AML, Sanctions-Adjacent Controls, and Financial Crime Governance</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1728"/>
            <w:shd w:fill="D9EAF7"/>
            <w:vAlign w:val="center"/>
          </w:tcPr>
          <w:p>
            <w:pPr>
              <w:jc w:val="center"/>
            </w:pPr>
            <w:r>
              <w:rPr>
                <w:b/>
                <w:sz w:val="16"/>
              </w:rPr>
              <w:t>Obligation</w:t>
            </w:r>
          </w:p>
        </w:tc>
        <w:tc>
          <w:tcPr>
            <w:tcW w:type="dxa" w:w="2088"/>
            <w:shd w:fill="D9EAF7"/>
            <w:vAlign w:val="center"/>
          </w:tcPr>
          <w:p>
            <w:pPr>
              <w:jc w:val="center"/>
            </w:pPr>
            <w:r>
              <w:rPr>
                <w:b/>
                <w:sz w:val="16"/>
              </w:rPr>
              <w:t>Source</w:t>
            </w:r>
          </w:p>
        </w:tc>
        <w:tc>
          <w:tcPr>
            <w:tcW w:type="dxa" w:w="3816"/>
            <w:shd w:fill="D9EAF7"/>
            <w:vAlign w:val="center"/>
          </w:tcPr>
          <w:p>
            <w:pPr>
              <w:jc w:val="center"/>
            </w:pPr>
            <w:r>
              <w:rPr>
                <w:b/>
                <w:sz w:val="16"/>
              </w:rPr>
              <w:t>Duty</w:t>
            </w:r>
          </w:p>
        </w:tc>
        <w:tc>
          <w:tcPr>
            <w:tcW w:type="dxa" w:w="1512"/>
            <w:shd w:fill="D9EAF7"/>
            <w:vAlign w:val="center"/>
          </w:tcPr>
          <w:p>
            <w:pPr>
              <w:jc w:val="center"/>
            </w:pPr>
            <w:r>
              <w:rPr>
                <w:b/>
                <w:sz w:val="16"/>
              </w:rPr>
              <w:t>Actor</w:t>
            </w:r>
          </w:p>
        </w:tc>
        <w:tc>
          <w:tcPr>
            <w:tcW w:type="dxa" w:w="1440"/>
            <w:shd w:fill="D9EAF7"/>
            <w:vAlign w:val="center"/>
          </w:tcPr>
          <w:p>
            <w:pPr>
              <w:jc w:val="center"/>
            </w:pPr>
            <w:r>
              <w:rPr>
                <w:b/>
                <w:sz w:val="16"/>
              </w:rPr>
              <w:t>Director distinction</w:t>
            </w:r>
          </w:p>
        </w:tc>
        <w:tc>
          <w:tcPr>
            <w:tcW w:type="dxa" w:w="1224"/>
            <w:shd w:fill="D9EAF7"/>
            <w:vAlign w:val="center"/>
          </w:tcPr>
          <w:p>
            <w:pPr>
              <w:jc w:val="center"/>
            </w:pPr>
            <w:r>
              <w:rPr>
                <w:b/>
                <w:sz w:val="16"/>
              </w:rPr>
              <w:t>Status</w:t>
            </w:r>
          </w:p>
        </w:tc>
      </w:tr>
      <w:tr>
        <w:tc>
          <w:tcPr>
            <w:tcW w:type="dxa" w:w="1728"/>
            <w:vAlign w:val="top"/>
          </w:tcPr>
          <w:p>
            <w:r>
              <w:rPr>
                <w:sz w:val="14"/>
              </w:rPr>
              <w:t>OCC BSA program approval</w:t>
            </w:r>
          </w:p>
        </w:tc>
        <w:tc>
          <w:tcPr>
            <w:tcW w:type="dxa" w:w="2088"/>
            <w:vAlign w:val="top"/>
          </w:tcPr>
          <w:p>
            <w:r>
              <w:rPr>
                <w:sz w:val="14"/>
              </w:rPr>
              <w:t>12 CFR 21.21</w:t>
            </w:r>
          </w:p>
        </w:tc>
        <w:tc>
          <w:tcPr>
            <w:tcW w:type="dxa" w:w="3816"/>
            <w:vAlign w:val="top"/>
          </w:tcPr>
          <w:p>
            <w:r>
              <w:rPr>
                <w:sz w:val="14"/>
              </w:rPr>
              <w:t>BSA compliance program must be written, approved by national bank or savings association board, and reflected in minutes.</w:t>
            </w:r>
          </w:p>
        </w:tc>
        <w:tc>
          <w:tcPr>
            <w:tcW w:type="dxa" w:w="1512"/>
            <w:vAlign w:val="top"/>
          </w:tcPr>
          <w:p>
            <w:r>
              <w:rPr>
                <w:sz w:val="14"/>
              </w:rPr>
              <w:t>IDI full board</w:t>
            </w:r>
          </w:p>
        </w:tc>
        <w:tc>
          <w:tcPr>
            <w:tcW w:type="dxa" w:w="1440"/>
            <w:vAlign w:val="top"/>
          </w:tcPr>
          <w:p>
            <w:r>
              <w:rPr>
                <w:sz w:val="14"/>
              </w:rPr>
              <w:t>No independence distinction.</w:t>
            </w:r>
          </w:p>
        </w:tc>
        <w:tc>
          <w:tcPr>
            <w:tcW w:type="dxa" w:w="1224"/>
            <w:vAlign w:val="top"/>
          </w:tcPr>
          <w:p>
            <w:r>
              <w:rPr>
                <w:sz w:val="14"/>
              </w:rPr>
              <w:t>Binding rule</w:t>
            </w:r>
          </w:p>
        </w:tc>
      </w:tr>
      <w:tr>
        <w:tc>
          <w:tcPr>
            <w:tcW w:type="dxa" w:w="1728"/>
            <w:vAlign w:val="top"/>
          </w:tcPr>
          <w:p>
            <w:r>
              <w:rPr>
                <w:sz w:val="14"/>
              </w:rPr>
              <w:t>Federal Reserve state member bank BSA program</w:t>
            </w:r>
          </w:p>
        </w:tc>
        <w:tc>
          <w:tcPr>
            <w:tcW w:type="dxa" w:w="2088"/>
            <w:vAlign w:val="top"/>
          </w:tcPr>
          <w:p>
            <w:r>
              <w:rPr>
                <w:sz w:val="14"/>
              </w:rPr>
              <w:t>12 CFR 208.63</w:t>
            </w:r>
          </w:p>
        </w:tc>
        <w:tc>
          <w:tcPr>
            <w:tcW w:type="dxa" w:w="3816"/>
            <w:vAlign w:val="top"/>
          </w:tcPr>
          <w:p>
            <w:r>
              <w:rPr>
                <w:sz w:val="14"/>
              </w:rPr>
              <w:t>BSA compliance program must be reduced to writing, approved by board, and noted in minutes.</w:t>
            </w:r>
          </w:p>
        </w:tc>
        <w:tc>
          <w:tcPr>
            <w:tcW w:type="dxa" w:w="1512"/>
            <w:vAlign w:val="top"/>
          </w:tcPr>
          <w:p>
            <w:r>
              <w:rPr>
                <w:sz w:val="14"/>
              </w:rPr>
              <w:t>State member bank board</w:t>
            </w:r>
          </w:p>
        </w:tc>
        <w:tc>
          <w:tcPr>
            <w:tcW w:type="dxa" w:w="1440"/>
            <w:vAlign w:val="top"/>
          </w:tcPr>
          <w:p>
            <w:r>
              <w:rPr>
                <w:sz w:val="14"/>
              </w:rPr>
              <w:t>No independence distinction.</w:t>
            </w:r>
          </w:p>
        </w:tc>
        <w:tc>
          <w:tcPr>
            <w:tcW w:type="dxa" w:w="1224"/>
            <w:vAlign w:val="top"/>
          </w:tcPr>
          <w:p>
            <w:r>
              <w:rPr>
                <w:sz w:val="14"/>
              </w:rPr>
              <w:t>Binding rule</w:t>
            </w:r>
          </w:p>
        </w:tc>
      </w:tr>
      <w:tr>
        <w:tc>
          <w:tcPr>
            <w:tcW w:type="dxa" w:w="1728"/>
            <w:vAlign w:val="top"/>
          </w:tcPr>
          <w:p>
            <w:r>
              <w:rPr>
                <w:sz w:val="14"/>
              </w:rPr>
              <w:t>FDIC BSA program approval</w:t>
            </w:r>
          </w:p>
        </w:tc>
        <w:tc>
          <w:tcPr>
            <w:tcW w:type="dxa" w:w="2088"/>
            <w:vAlign w:val="top"/>
          </w:tcPr>
          <w:p>
            <w:r>
              <w:rPr>
                <w:sz w:val="14"/>
              </w:rPr>
              <w:t>12 CFR 326.8</w:t>
            </w:r>
          </w:p>
        </w:tc>
        <w:tc>
          <w:tcPr>
            <w:tcW w:type="dxa" w:w="3816"/>
            <w:vAlign w:val="top"/>
          </w:tcPr>
          <w:p>
            <w:r>
              <w:rPr>
                <w:sz w:val="14"/>
              </w:rPr>
              <w:t>BSA compliance program must be written, approved by institution board, and noted in minutes.</w:t>
            </w:r>
          </w:p>
        </w:tc>
        <w:tc>
          <w:tcPr>
            <w:tcW w:type="dxa" w:w="1512"/>
            <w:vAlign w:val="top"/>
          </w:tcPr>
          <w:p>
            <w:r>
              <w:rPr>
                <w:sz w:val="14"/>
              </w:rPr>
              <w:t>State nonmember bank board</w:t>
            </w:r>
          </w:p>
        </w:tc>
        <w:tc>
          <w:tcPr>
            <w:tcW w:type="dxa" w:w="1440"/>
            <w:vAlign w:val="top"/>
          </w:tcPr>
          <w:p>
            <w:r>
              <w:rPr>
                <w:sz w:val="14"/>
              </w:rPr>
              <w:t>No independence distinction.</w:t>
            </w:r>
          </w:p>
        </w:tc>
        <w:tc>
          <w:tcPr>
            <w:tcW w:type="dxa" w:w="1224"/>
            <w:vAlign w:val="top"/>
          </w:tcPr>
          <w:p>
            <w:r>
              <w:rPr>
                <w:sz w:val="14"/>
              </w:rPr>
              <w:t>Binding rule</w:t>
            </w:r>
          </w:p>
        </w:tc>
      </w:tr>
      <w:tr>
        <w:tc>
          <w:tcPr>
            <w:tcW w:type="dxa" w:w="1728"/>
            <w:vAlign w:val="top"/>
          </w:tcPr>
          <w:p>
            <w:r>
              <w:rPr>
                <w:sz w:val="14"/>
              </w:rPr>
              <w:t>BSA program contents</w:t>
            </w:r>
          </w:p>
        </w:tc>
        <w:tc>
          <w:tcPr>
            <w:tcW w:type="dxa" w:w="2088"/>
            <w:vAlign w:val="top"/>
          </w:tcPr>
          <w:p>
            <w:r>
              <w:rPr>
                <w:sz w:val="14"/>
              </w:rPr>
              <w:t>12 CFR 21.21; 12 CFR 208.63; 12 CFR 326.8</w:t>
            </w:r>
          </w:p>
        </w:tc>
        <w:tc>
          <w:tcPr>
            <w:tcW w:type="dxa" w:w="3816"/>
            <w:vAlign w:val="top"/>
          </w:tcPr>
          <w:p>
            <w:r>
              <w:rPr>
                <w:sz w:val="14"/>
              </w:rPr>
              <w:t>Program must include internal controls, independent testing, designated BSA officer, training, and customer identification program elements.</w:t>
            </w:r>
          </w:p>
        </w:tc>
        <w:tc>
          <w:tcPr>
            <w:tcW w:type="dxa" w:w="1512"/>
            <w:vAlign w:val="top"/>
          </w:tcPr>
          <w:p>
            <w:r>
              <w:rPr>
                <w:sz w:val="14"/>
              </w:rPr>
              <w:t>Board approves program; management operates.</w:t>
            </w:r>
          </w:p>
        </w:tc>
        <w:tc>
          <w:tcPr>
            <w:tcW w:type="dxa" w:w="1440"/>
            <w:vAlign w:val="top"/>
          </w:tcPr>
          <w:p>
            <w:r>
              <w:rPr>
                <w:sz w:val="14"/>
              </w:rPr>
              <w:t>No director distinction.</w:t>
            </w:r>
          </w:p>
        </w:tc>
        <w:tc>
          <w:tcPr>
            <w:tcW w:type="dxa" w:w="1224"/>
            <w:vAlign w:val="top"/>
          </w:tcPr>
          <w:p>
            <w:r>
              <w:rPr>
                <w:sz w:val="14"/>
              </w:rPr>
              <w:t>Binding rule</w:t>
            </w:r>
          </w:p>
        </w:tc>
      </w:tr>
      <w:tr>
        <w:tc>
          <w:tcPr>
            <w:tcW w:type="dxa" w:w="1728"/>
            <w:vAlign w:val="top"/>
          </w:tcPr>
          <w:p>
            <w:r>
              <w:rPr>
                <w:sz w:val="14"/>
              </w:rPr>
              <w:t>BSA compliance officer designation</w:t>
            </w:r>
          </w:p>
        </w:tc>
        <w:tc>
          <w:tcPr>
            <w:tcW w:type="dxa" w:w="2088"/>
            <w:vAlign w:val="top"/>
          </w:tcPr>
          <w:p>
            <w:r>
              <w:rPr>
                <w:sz w:val="14"/>
              </w:rPr>
              <w:t>Interagency BSA guidance / resource-sharing statement</w:t>
            </w:r>
          </w:p>
        </w:tc>
        <w:tc>
          <w:tcPr>
            <w:tcW w:type="dxa" w:w="3816"/>
            <w:vAlign w:val="top"/>
          </w:tcPr>
          <w:p>
            <w:r>
              <w:rPr>
                <w:sz w:val="14"/>
              </w:rPr>
              <w:t>Bank board must designate qualified BSA compliance officer or officers.</w:t>
            </w:r>
          </w:p>
        </w:tc>
        <w:tc>
          <w:tcPr>
            <w:tcW w:type="dxa" w:w="1512"/>
            <w:vAlign w:val="top"/>
          </w:tcPr>
          <w:p>
            <w:r>
              <w:rPr>
                <w:sz w:val="14"/>
              </w:rPr>
              <w:t>IDI board</w:t>
            </w:r>
          </w:p>
        </w:tc>
        <w:tc>
          <w:tcPr>
            <w:tcW w:type="dxa" w:w="1440"/>
            <w:vAlign w:val="top"/>
          </w:tcPr>
          <w:p>
            <w:r>
              <w:rPr>
                <w:sz w:val="14"/>
              </w:rPr>
              <w:t>No distinction.</w:t>
            </w:r>
          </w:p>
        </w:tc>
        <w:tc>
          <w:tcPr>
            <w:tcW w:type="dxa" w:w="1224"/>
            <w:vAlign w:val="top"/>
          </w:tcPr>
          <w:p>
            <w:r>
              <w:rPr>
                <w:sz w:val="14"/>
              </w:rPr>
              <w:t>Guidance interpreting regulatory program requirement</w:t>
            </w:r>
          </w:p>
        </w:tc>
      </w:tr>
      <w:tr>
        <w:tc>
          <w:tcPr>
            <w:tcW w:type="dxa" w:w="1728"/>
            <w:vAlign w:val="top"/>
          </w:tcPr>
          <w:p>
            <w:r>
              <w:rPr>
                <w:sz w:val="14"/>
              </w:rPr>
              <w:t>AML/CFT modernization proposals</w:t>
            </w:r>
          </w:p>
        </w:tc>
        <w:tc>
          <w:tcPr>
            <w:tcW w:type="dxa" w:w="2088"/>
            <w:vAlign w:val="top"/>
          </w:tcPr>
          <w:p>
            <w:r>
              <w:rPr>
                <w:sz w:val="14"/>
              </w:rPr>
              <w:t>FinCEN/agencies proposed rules</w:t>
            </w:r>
          </w:p>
        </w:tc>
        <w:tc>
          <w:tcPr>
            <w:tcW w:type="dxa" w:w="3816"/>
            <w:vAlign w:val="top"/>
          </w:tcPr>
          <w:p>
            <w:r>
              <w:rPr>
                <w:sz w:val="14"/>
              </w:rPr>
              <w:t>Not counted as current in-force obligations until finalized.</w:t>
            </w:r>
          </w:p>
        </w:tc>
        <w:tc>
          <w:tcPr>
            <w:tcW w:type="dxa" w:w="1512"/>
            <w:vAlign w:val="top"/>
          </w:tcPr>
          <w:p>
            <w:r>
              <w:rPr>
                <w:sz w:val="14"/>
              </w:rPr>
              <w:t>N/A</w:t>
            </w:r>
          </w:p>
        </w:tc>
        <w:tc>
          <w:tcPr>
            <w:tcW w:type="dxa" w:w="1440"/>
            <w:vAlign w:val="top"/>
          </w:tcPr>
          <w:p>
            <w:r>
              <w:rPr>
                <w:sz w:val="14"/>
              </w:rPr>
              <w:t>N/A</w:t>
            </w:r>
          </w:p>
        </w:tc>
        <w:tc>
          <w:tcPr>
            <w:tcW w:type="dxa" w:w="1224"/>
            <w:vAlign w:val="top"/>
          </w:tcPr>
          <w:p>
            <w:r>
              <w:rPr>
                <w:sz w:val="14"/>
              </w:rPr>
              <w:t>Excluded</w:t>
            </w:r>
          </w:p>
        </w:tc>
      </w:tr>
    </w:tbl>
    <w:p/>
    <w:p>
      <w:r>
        <w:rPr>
          <w:b w:val="0"/>
          <w:i w:val="0"/>
        </w:rPr>
        <w:t>Reform issue. BSA is one of the clearest full-board approval regimes. Because the board approval and minutes requirement is explicit, reform would likely require regulatory amendment rather than merely supervisory clarification. However, agencies could clarify that annual board approval of a BSA program can be integrated with broader financial-crimes risk appetite and control reporting, with management responsible for detailed procedural updates.</w:t>
      </w:r>
    </w:p>
    <w:p>
      <w:pPr>
        <w:pStyle w:val="Heading1"/>
      </w:pPr>
      <w:r>
        <w:rPr>
          <w:b w:val="0"/>
          <w:i w:val="0"/>
        </w:rPr>
        <w:t>Chapter 11 — Consumer Compliance, Fair Lending, UDAAP, and CFPB Examination Expectations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1728"/>
            <w:shd w:fill="D9EAF7"/>
            <w:vAlign w:val="center"/>
          </w:tcPr>
          <w:p>
            <w:pPr>
              <w:jc w:val="center"/>
            </w:pPr>
            <w:r>
              <w:rPr>
                <w:b/>
                <w:sz w:val="16"/>
              </w:rPr>
              <w:t>Obligation</w:t>
            </w:r>
          </w:p>
        </w:tc>
        <w:tc>
          <w:tcPr>
            <w:tcW w:type="dxa" w:w="2088"/>
            <w:shd w:fill="D9EAF7"/>
            <w:vAlign w:val="center"/>
          </w:tcPr>
          <w:p>
            <w:pPr>
              <w:jc w:val="center"/>
            </w:pPr>
            <w:r>
              <w:rPr>
                <w:b/>
                <w:sz w:val="16"/>
              </w:rPr>
              <w:t>Source</w:t>
            </w:r>
          </w:p>
        </w:tc>
        <w:tc>
          <w:tcPr>
            <w:tcW w:type="dxa" w:w="3816"/>
            <w:shd w:fill="D9EAF7"/>
            <w:vAlign w:val="center"/>
          </w:tcPr>
          <w:p>
            <w:pPr>
              <w:jc w:val="center"/>
            </w:pPr>
            <w:r>
              <w:rPr>
                <w:b/>
                <w:sz w:val="16"/>
              </w:rPr>
              <w:t>Duty</w:t>
            </w:r>
          </w:p>
        </w:tc>
        <w:tc>
          <w:tcPr>
            <w:tcW w:type="dxa" w:w="1512"/>
            <w:shd w:fill="D9EAF7"/>
            <w:vAlign w:val="center"/>
          </w:tcPr>
          <w:p>
            <w:pPr>
              <w:jc w:val="center"/>
            </w:pPr>
            <w:r>
              <w:rPr>
                <w:b/>
                <w:sz w:val="16"/>
              </w:rPr>
              <w:t>Actor</w:t>
            </w:r>
          </w:p>
        </w:tc>
        <w:tc>
          <w:tcPr>
            <w:tcW w:type="dxa" w:w="1440"/>
            <w:shd w:fill="D9EAF7"/>
            <w:vAlign w:val="center"/>
          </w:tcPr>
          <w:p>
            <w:pPr>
              <w:jc w:val="center"/>
            </w:pPr>
            <w:r>
              <w:rPr>
                <w:b/>
                <w:sz w:val="16"/>
              </w:rPr>
              <w:t>Director distinction</w:t>
            </w:r>
          </w:p>
        </w:tc>
        <w:tc>
          <w:tcPr>
            <w:tcW w:type="dxa" w:w="1224"/>
            <w:shd w:fill="D9EAF7"/>
            <w:vAlign w:val="center"/>
          </w:tcPr>
          <w:p>
            <w:pPr>
              <w:jc w:val="center"/>
            </w:pPr>
            <w:r>
              <w:rPr>
                <w:b/>
                <w:sz w:val="16"/>
              </w:rPr>
              <w:t>Status</w:t>
            </w:r>
          </w:p>
        </w:tc>
      </w:tr>
      <w:tr>
        <w:tc>
          <w:tcPr>
            <w:tcW w:type="dxa" w:w="1728"/>
            <w:vAlign w:val="top"/>
          </w:tcPr>
          <w:p>
            <w:r>
              <w:rPr>
                <w:sz w:val="14"/>
              </w:rPr>
              <w:t>Compliance management system</w:t>
            </w:r>
          </w:p>
        </w:tc>
        <w:tc>
          <w:tcPr>
            <w:tcW w:type="dxa" w:w="2088"/>
            <w:vAlign w:val="top"/>
          </w:tcPr>
          <w:p>
            <w:r>
              <w:rPr>
                <w:sz w:val="14"/>
              </w:rPr>
              <w:t>CFPB Compliance Management Review examination procedures</w:t>
            </w:r>
          </w:p>
        </w:tc>
        <w:tc>
          <w:tcPr>
            <w:tcW w:type="dxa" w:w="3816"/>
            <w:vAlign w:val="top"/>
          </w:tcPr>
          <w:p>
            <w:r>
              <w:rPr>
                <w:sz w:val="14"/>
              </w:rPr>
              <w:t>CFPB CMR manual evaluates Board and Management Oversight, Compliance Program, Service Provider Oversight, Violations of Law and Consumer Harm, and Examiner Conclusions.</w:t>
            </w:r>
          </w:p>
        </w:tc>
        <w:tc>
          <w:tcPr>
            <w:tcW w:type="dxa" w:w="1512"/>
            <w:vAlign w:val="top"/>
          </w:tcPr>
          <w:p>
            <w:r>
              <w:rPr>
                <w:sz w:val="14"/>
              </w:rPr>
              <w:t>Board and management oversight.</w:t>
            </w:r>
          </w:p>
        </w:tc>
        <w:tc>
          <w:tcPr>
            <w:tcW w:type="dxa" w:w="1440"/>
            <w:vAlign w:val="top"/>
          </w:tcPr>
          <w:p>
            <w:r>
              <w:rPr>
                <w:sz w:val="14"/>
              </w:rPr>
              <w:t>No director distinction.</w:t>
            </w:r>
          </w:p>
        </w:tc>
        <w:tc>
          <w:tcPr>
            <w:tcW w:type="dxa" w:w="1224"/>
            <w:vAlign w:val="top"/>
          </w:tcPr>
          <w:p>
            <w:r>
              <w:rPr>
                <w:sz w:val="14"/>
              </w:rPr>
              <w:t>Examination procedures</w:t>
            </w:r>
          </w:p>
        </w:tc>
      </w:tr>
      <w:tr>
        <w:tc>
          <w:tcPr>
            <w:tcW w:type="dxa" w:w="1728"/>
            <w:vAlign w:val="top"/>
          </w:tcPr>
          <w:p>
            <w:r>
              <w:rPr>
                <w:sz w:val="14"/>
              </w:rPr>
              <w:t>Board minutes and compliance matters</w:t>
            </w:r>
          </w:p>
        </w:tc>
        <w:tc>
          <w:tcPr>
            <w:tcW w:type="dxa" w:w="2088"/>
            <w:vAlign w:val="top"/>
          </w:tcPr>
          <w:p>
            <w:r>
              <w:rPr>
                <w:sz w:val="14"/>
              </w:rPr>
              <w:t>CFPB CMR procedures</w:t>
            </w:r>
          </w:p>
        </w:tc>
        <w:tc>
          <w:tcPr>
            <w:tcW w:type="dxa" w:w="3816"/>
            <w:vAlign w:val="top"/>
          </w:tcPr>
          <w:p>
            <w:r>
              <w:rPr>
                <w:sz w:val="14"/>
              </w:rPr>
              <w:t>Examiners review board minutes and supporting materials for coverage of compliance matters during review period.</w:t>
            </w:r>
          </w:p>
        </w:tc>
        <w:tc>
          <w:tcPr>
            <w:tcW w:type="dxa" w:w="1512"/>
            <w:vAlign w:val="top"/>
          </w:tcPr>
          <w:p>
            <w:r>
              <w:rPr>
                <w:sz w:val="14"/>
              </w:rPr>
              <w:t>Board; committees if delegated.</w:t>
            </w:r>
          </w:p>
        </w:tc>
        <w:tc>
          <w:tcPr>
            <w:tcW w:type="dxa" w:w="1440"/>
            <w:vAlign w:val="top"/>
          </w:tcPr>
          <w:p>
            <w:r>
              <w:rPr>
                <w:sz w:val="14"/>
              </w:rPr>
              <w:t>None.</w:t>
            </w:r>
          </w:p>
        </w:tc>
        <w:tc>
          <w:tcPr>
            <w:tcW w:type="dxa" w:w="1224"/>
            <w:vAlign w:val="top"/>
          </w:tcPr>
          <w:p>
            <w:r>
              <w:rPr>
                <w:sz w:val="14"/>
              </w:rPr>
              <w:t>Examination procedure</w:t>
            </w:r>
          </w:p>
        </w:tc>
      </w:tr>
      <w:tr>
        <w:tc>
          <w:tcPr>
            <w:tcW w:type="dxa" w:w="1728"/>
            <w:vAlign w:val="top"/>
          </w:tcPr>
          <w:p>
            <w:r>
              <w:rPr>
                <w:sz w:val="14"/>
              </w:rPr>
              <w:t>Consumer compliance program</w:t>
            </w:r>
          </w:p>
        </w:tc>
        <w:tc>
          <w:tcPr>
            <w:tcW w:type="dxa" w:w="2088"/>
            <w:vAlign w:val="top"/>
          </w:tcPr>
          <w:p>
            <w:r>
              <w:rPr>
                <w:sz w:val="14"/>
              </w:rPr>
              <w:t>CFPB CMR / prudential consumer compliance rating system</w:t>
            </w:r>
          </w:p>
        </w:tc>
        <w:tc>
          <w:tcPr>
            <w:tcW w:type="dxa" w:w="3816"/>
            <w:vAlign w:val="top"/>
          </w:tcPr>
          <w:p>
            <w:r>
              <w:rPr>
                <w:sz w:val="14"/>
              </w:rPr>
              <w:t>Effective CMS includes policies and procedures, training, monitoring/audit, and consumer complaint response.</w:t>
            </w:r>
          </w:p>
        </w:tc>
        <w:tc>
          <w:tcPr>
            <w:tcW w:type="dxa" w:w="1512"/>
            <w:vAlign w:val="top"/>
          </w:tcPr>
          <w:p>
            <w:r>
              <w:rPr>
                <w:sz w:val="14"/>
              </w:rPr>
              <w:t>Board and management oversight.</w:t>
            </w:r>
          </w:p>
        </w:tc>
        <w:tc>
          <w:tcPr>
            <w:tcW w:type="dxa" w:w="1440"/>
            <w:vAlign w:val="top"/>
          </w:tcPr>
          <w:p>
            <w:r>
              <w:rPr>
                <w:sz w:val="14"/>
              </w:rPr>
              <w:t>None.</w:t>
            </w:r>
          </w:p>
        </w:tc>
        <w:tc>
          <w:tcPr>
            <w:tcW w:type="dxa" w:w="1224"/>
            <w:vAlign w:val="top"/>
          </w:tcPr>
          <w:p>
            <w:r>
              <w:rPr>
                <w:sz w:val="14"/>
              </w:rPr>
              <w:t>Examination expectation</w:t>
            </w:r>
          </w:p>
        </w:tc>
      </w:tr>
      <w:tr>
        <w:tc>
          <w:tcPr>
            <w:tcW w:type="dxa" w:w="1728"/>
            <w:vAlign w:val="top"/>
          </w:tcPr>
          <w:p>
            <w:r>
              <w:rPr>
                <w:sz w:val="14"/>
              </w:rPr>
              <w:t>Service-provider oversight</w:t>
            </w:r>
          </w:p>
        </w:tc>
        <w:tc>
          <w:tcPr>
            <w:tcW w:type="dxa" w:w="2088"/>
            <w:vAlign w:val="top"/>
          </w:tcPr>
          <w:p>
            <w:r>
              <w:rPr>
                <w:sz w:val="14"/>
              </w:rPr>
              <w:t>CFPB CMR procedures</w:t>
            </w:r>
          </w:p>
        </w:tc>
        <w:tc>
          <w:tcPr>
            <w:tcW w:type="dxa" w:w="3816"/>
            <w:vAlign w:val="top"/>
          </w:tcPr>
          <w:p>
            <w:r>
              <w:rPr>
                <w:sz w:val="14"/>
              </w:rPr>
              <w:t>CFPB evaluates service-provider oversight and due diligence where third parties affect compliance with Federal consumer financial laws.</w:t>
            </w:r>
          </w:p>
        </w:tc>
        <w:tc>
          <w:tcPr>
            <w:tcW w:type="dxa" w:w="1512"/>
            <w:vAlign w:val="top"/>
          </w:tcPr>
          <w:p>
            <w:r>
              <w:rPr>
                <w:sz w:val="14"/>
              </w:rPr>
              <w:t>Board and management oversight.</w:t>
            </w:r>
          </w:p>
        </w:tc>
        <w:tc>
          <w:tcPr>
            <w:tcW w:type="dxa" w:w="1440"/>
            <w:vAlign w:val="top"/>
          </w:tcPr>
          <w:p>
            <w:r>
              <w:rPr>
                <w:sz w:val="14"/>
              </w:rPr>
              <w:t>None.</w:t>
            </w:r>
          </w:p>
        </w:tc>
        <w:tc>
          <w:tcPr>
            <w:tcW w:type="dxa" w:w="1224"/>
            <w:vAlign w:val="top"/>
          </w:tcPr>
          <w:p>
            <w:r>
              <w:rPr>
                <w:sz w:val="14"/>
              </w:rPr>
              <w:t>Examination expectation</w:t>
            </w:r>
          </w:p>
        </w:tc>
      </w:tr>
      <w:tr>
        <w:tc>
          <w:tcPr>
            <w:tcW w:type="dxa" w:w="1728"/>
            <w:vAlign w:val="top"/>
          </w:tcPr>
          <w:p>
            <w:r>
              <w:rPr>
                <w:sz w:val="14"/>
              </w:rPr>
              <w:t>Fair lending CMS</w:t>
            </w:r>
          </w:p>
        </w:tc>
        <w:tc>
          <w:tcPr>
            <w:tcW w:type="dxa" w:w="2088"/>
            <w:vAlign w:val="top"/>
          </w:tcPr>
          <w:p>
            <w:r>
              <w:rPr>
                <w:sz w:val="14"/>
              </w:rPr>
              <w:t>CFPB ECOA baseline procedures</w:t>
            </w:r>
          </w:p>
        </w:tc>
        <w:tc>
          <w:tcPr>
            <w:tcW w:type="dxa" w:w="3816"/>
            <w:vAlign w:val="top"/>
          </w:tcPr>
          <w:p>
            <w:r>
              <w:rPr>
                <w:sz w:val="14"/>
              </w:rPr>
              <w:t>Examiners evaluate fair lending CMS, including board and management oversight, policies/procedures, training, monitoring/audit, complaints, and service-provider risk.</w:t>
            </w:r>
          </w:p>
        </w:tc>
        <w:tc>
          <w:tcPr>
            <w:tcW w:type="dxa" w:w="1512"/>
            <w:vAlign w:val="top"/>
          </w:tcPr>
          <w:p>
            <w:r>
              <w:rPr>
                <w:sz w:val="14"/>
              </w:rPr>
              <w:t>Board and management oversight.</w:t>
            </w:r>
          </w:p>
        </w:tc>
        <w:tc>
          <w:tcPr>
            <w:tcW w:type="dxa" w:w="1440"/>
            <w:vAlign w:val="top"/>
          </w:tcPr>
          <w:p>
            <w:r>
              <w:rPr>
                <w:sz w:val="14"/>
              </w:rPr>
              <w:t>None.</w:t>
            </w:r>
          </w:p>
        </w:tc>
        <w:tc>
          <w:tcPr>
            <w:tcW w:type="dxa" w:w="1224"/>
            <w:vAlign w:val="top"/>
          </w:tcPr>
          <w:p>
            <w:r>
              <w:rPr>
                <w:sz w:val="14"/>
              </w:rPr>
              <w:t>Examination procedure</w:t>
            </w:r>
          </w:p>
        </w:tc>
      </w:tr>
      <w:tr>
        <w:tc>
          <w:tcPr>
            <w:tcW w:type="dxa" w:w="1728"/>
            <w:vAlign w:val="top"/>
          </w:tcPr>
          <w:p>
            <w:r>
              <w:rPr>
                <w:sz w:val="14"/>
              </w:rPr>
              <w:t>UDAAP risk oversight</w:t>
            </w:r>
          </w:p>
        </w:tc>
        <w:tc>
          <w:tcPr>
            <w:tcW w:type="dxa" w:w="2088"/>
            <w:vAlign w:val="top"/>
          </w:tcPr>
          <w:p>
            <w:r>
              <w:rPr>
                <w:sz w:val="14"/>
              </w:rPr>
              <w:t>CFPB UDAAP examination procedures</w:t>
            </w:r>
          </w:p>
        </w:tc>
        <w:tc>
          <w:tcPr>
            <w:tcW w:type="dxa" w:w="3816"/>
            <w:vAlign w:val="top"/>
          </w:tcPr>
          <w:p>
            <w:r>
              <w:rPr>
                <w:sz w:val="14"/>
              </w:rPr>
              <w:t>Board duty is indirect through CMS, risk assessment, issue escalation, corrective action, and consumer harm remediation.</w:t>
            </w:r>
          </w:p>
        </w:tc>
        <w:tc>
          <w:tcPr>
            <w:tcW w:type="dxa" w:w="1512"/>
            <w:vAlign w:val="top"/>
          </w:tcPr>
          <w:p>
            <w:r>
              <w:rPr>
                <w:sz w:val="14"/>
              </w:rPr>
              <w:t>Board and management oversight.</w:t>
            </w:r>
          </w:p>
        </w:tc>
        <w:tc>
          <w:tcPr>
            <w:tcW w:type="dxa" w:w="1440"/>
            <w:vAlign w:val="top"/>
          </w:tcPr>
          <w:p>
            <w:r>
              <w:rPr>
                <w:sz w:val="14"/>
              </w:rPr>
              <w:t>None.</w:t>
            </w:r>
          </w:p>
        </w:tc>
        <w:tc>
          <w:tcPr>
            <w:tcW w:type="dxa" w:w="1224"/>
            <w:vAlign w:val="top"/>
          </w:tcPr>
          <w:p>
            <w:r>
              <w:rPr>
                <w:sz w:val="14"/>
              </w:rPr>
              <w:t>Examination procedure</w:t>
            </w:r>
          </w:p>
        </w:tc>
      </w:tr>
    </w:tbl>
    <w:p/>
    <w:p>
      <w:r>
        <w:rPr>
          <w:b w:val="0"/>
          <w:i w:val="0"/>
        </w:rPr>
        <w:t>Reform issue. CFPB materials generally do not create hard board-approval requirements comparable to BSA or resolution planning. Their practical effect, however, is significant: institutions structure compliance reporting so board minutes demonstrate oversight. Reform should focus on evidence of board attention to material consumer risks rather than exhaustive product-level reporting.</w:t>
      </w:r>
    </w:p>
    <w:p>
      <w:pPr>
        <w:pStyle w:val="Heading1"/>
      </w:pPr>
      <w:r>
        <w:rPr>
          <w:b w:val="0"/>
          <w:i w:val="0"/>
        </w:rPr>
        <w:t>Chapter 12 — Director Status, Independence, and Committee Composition</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1800"/>
            <w:shd w:fill="D9EAF7"/>
            <w:vAlign w:val="center"/>
          </w:tcPr>
          <w:p>
            <w:pPr>
              <w:jc w:val="center"/>
            </w:pPr>
            <w:r>
              <w:rPr>
                <w:b/>
                <w:sz w:val="16"/>
              </w:rPr>
              <w:t>Requirement</w:t>
            </w:r>
          </w:p>
        </w:tc>
        <w:tc>
          <w:tcPr>
            <w:tcW w:type="dxa" w:w="1800"/>
            <w:shd w:fill="D9EAF7"/>
            <w:vAlign w:val="center"/>
          </w:tcPr>
          <w:p>
            <w:pPr>
              <w:jc w:val="center"/>
            </w:pPr>
            <w:r>
              <w:rPr>
                <w:b/>
                <w:sz w:val="16"/>
              </w:rPr>
              <w:t>Source</w:t>
            </w:r>
          </w:p>
        </w:tc>
        <w:tc>
          <w:tcPr>
            <w:tcW w:type="dxa" w:w="3816"/>
            <w:shd w:fill="D9EAF7"/>
            <w:vAlign w:val="center"/>
          </w:tcPr>
          <w:p>
            <w:pPr>
              <w:jc w:val="center"/>
            </w:pPr>
            <w:r>
              <w:rPr>
                <w:b/>
                <w:sz w:val="16"/>
              </w:rPr>
              <w:t>Content</w:t>
            </w:r>
          </w:p>
        </w:tc>
        <w:tc>
          <w:tcPr>
            <w:tcW w:type="dxa" w:w="1440"/>
            <w:shd w:fill="D9EAF7"/>
            <w:vAlign w:val="center"/>
          </w:tcPr>
          <w:p>
            <w:pPr>
              <w:jc w:val="center"/>
            </w:pPr>
            <w:r>
              <w:rPr>
                <w:b/>
                <w:sz w:val="16"/>
              </w:rPr>
              <w:t>Actor</w:t>
            </w:r>
          </w:p>
        </w:tc>
        <w:tc>
          <w:tcPr>
            <w:tcW w:type="dxa" w:w="1584"/>
            <w:shd w:fill="D9EAF7"/>
            <w:vAlign w:val="center"/>
          </w:tcPr>
          <w:p>
            <w:pPr>
              <w:jc w:val="center"/>
            </w:pPr>
            <w:r>
              <w:rPr>
                <w:b/>
                <w:sz w:val="16"/>
              </w:rPr>
              <w:t>Distinction</w:t>
            </w:r>
          </w:p>
        </w:tc>
        <w:tc>
          <w:tcPr>
            <w:tcW w:type="dxa" w:w="1224"/>
            <w:shd w:fill="D9EAF7"/>
            <w:vAlign w:val="center"/>
          </w:tcPr>
          <w:p>
            <w:pPr>
              <w:jc w:val="center"/>
            </w:pPr>
            <w:r>
              <w:rPr>
                <w:b/>
                <w:sz w:val="16"/>
              </w:rPr>
              <w:t>Status</w:t>
            </w:r>
          </w:p>
        </w:tc>
      </w:tr>
      <w:tr>
        <w:tc>
          <w:tcPr>
            <w:tcW w:type="dxa" w:w="1800"/>
            <w:vAlign w:val="top"/>
          </w:tcPr>
          <w:p>
            <w:r>
              <w:rPr>
                <w:sz w:val="14"/>
              </w:rPr>
              <w:t>BHC risk committee</w:t>
            </w:r>
          </w:p>
        </w:tc>
        <w:tc>
          <w:tcPr>
            <w:tcW w:type="dxa" w:w="1800"/>
            <w:vAlign w:val="top"/>
          </w:tcPr>
          <w:p>
            <w:r>
              <w:rPr>
                <w:sz w:val="14"/>
              </w:rPr>
              <w:t>12 CFR 252.33</w:t>
            </w:r>
          </w:p>
        </w:tc>
        <w:tc>
          <w:tcPr>
            <w:tcW w:type="dxa" w:w="3816"/>
            <w:vAlign w:val="top"/>
          </w:tcPr>
          <w:p>
            <w:r>
              <w:rPr>
                <w:sz w:val="14"/>
              </w:rPr>
              <w:t>Risk committee must be chaired by independent director and include at least one member with risk-management expertise.</w:t>
            </w:r>
          </w:p>
        </w:tc>
        <w:tc>
          <w:tcPr>
            <w:tcW w:type="dxa" w:w="1440"/>
            <w:vAlign w:val="top"/>
          </w:tcPr>
          <w:p>
            <w:r>
              <w:rPr>
                <w:sz w:val="14"/>
              </w:rPr>
              <w:t>BHC risk committee</w:t>
            </w:r>
          </w:p>
        </w:tc>
        <w:tc>
          <w:tcPr>
            <w:tcW w:type="dxa" w:w="1584"/>
            <w:vAlign w:val="top"/>
          </w:tcPr>
          <w:p>
            <w:r>
              <w:rPr>
                <w:sz w:val="14"/>
              </w:rPr>
              <w:t>Independent chair; risk expert required.</w:t>
            </w:r>
          </w:p>
        </w:tc>
        <w:tc>
          <w:tcPr>
            <w:tcW w:type="dxa" w:w="1224"/>
            <w:vAlign w:val="top"/>
          </w:tcPr>
          <w:p>
            <w:r>
              <w:rPr>
                <w:sz w:val="14"/>
              </w:rPr>
              <w:t>Binding rule</w:t>
            </w:r>
          </w:p>
        </w:tc>
      </w:tr>
      <w:tr>
        <w:tc>
          <w:tcPr>
            <w:tcW w:type="dxa" w:w="1800"/>
            <w:vAlign w:val="top"/>
          </w:tcPr>
          <w:p>
            <w:r>
              <w:rPr>
                <w:sz w:val="14"/>
              </w:rPr>
              <w:t>Exchange-listing independence reference</w:t>
            </w:r>
          </w:p>
        </w:tc>
        <w:tc>
          <w:tcPr>
            <w:tcW w:type="dxa" w:w="1800"/>
            <w:vAlign w:val="top"/>
          </w:tcPr>
          <w:p>
            <w:r>
              <w:rPr>
                <w:sz w:val="14"/>
              </w:rPr>
              <w:t>12 CFR 252.33</w:t>
            </w:r>
          </w:p>
        </w:tc>
        <w:tc>
          <w:tcPr>
            <w:tcW w:type="dxa" w:w="3816"/>
            <w:vAlign w:val="top"/>
          </w:tcPr>
          <w:p>
            <w:r>
              <w:rPr>
                <w:sz w:val="14"/>
              </w:rPr>
              <w:t>Independence is tied to national securities exchange listing standards or equivalent demonstration for non-listed entities.</w:t>
            </w:r>
          </w:p>
        </w:tc>
        <w:tc>
          <w:tcPr>
            <w:tcW w:type="dxa" w:w="1440"/>
            <w:vAlign w:val="top"/>
          </w:tcPr>
          <w:p>
            <w:r>
              <w:rPr>
                <w:sz w:val="14"/>
              </w:rPr>
              <w:t>Risk committee chair</w:t>
            </w:r>
          </w:p>
        </w:tc>
        <w:tc>
          <w:tcPr>
            <w:tcW w:type="dxa" w:w="1584"/>
            <w:vAlign w:val="top"/>
          </w:tcPr>
          <w:p>
            <w:r>
              <w:rPr>
                <w:sz w:val="14"/>
              </w:rPr>
              <w:t>Independent director standard.</w:t>
            </w:r>
          </w:p>
        </w:tc>
        <w:tc>
          <w:tcPr>
            <w:tcW w:type="dxa" w:w="1224"/>
            <w:vAlign w:val="top"/>
          </w:tcPr>
          <w:p>
            <w:r>
              <w:rPr>
                <w:sz w:val="14"/>
              </w:rPr>
              <w:t>Binding rule</w:t>
            </w:r>
          </w:p>
        </w:tc>
      </w:tr>
      <w:tr>
        <w:tc>
          <w:tcPr>
            <w:tcW w:type="dxa" w:w="1800"/>
            <w:vAlign w:val="top"/>
          </w:tcPr>
          <w:p>
            <w:r>
              <w:rPr>
                <w:sz w:val="14"/>
              </w:rPr>
              <w:t>OCC heightened standards</w:t>
            </w:r>
          </w:p>
        </w:tc>
        <w:tc>
          <w:tcPr>
            <w:tcW w:type="dxa" w:w="1800"/>
            <w:vAlign w:val="top"/>
          </w:tcPr>
          <w:p>
            <w:r>
              <w:rPr>
                <w:sz w:val="14"/>
              </w:rPr>
              <w:t>12 CFR part 30 appendix D</w:t>
            </w:r>
          </w:p>
        </w:tc>
        <w:tc>
          <w:tcPr>
            <w:tcW w:type="dxa" w:w="3816"/>
            <w:vAlign w:val="top"/>
          </w:tcPr>
          <w:p>
            <w:r>
              <w:rPr>
                <w:sz w:val="14"/>
              </w:rPr>
              <w:t>Covered bank board should include at least two independent directors; each director should exercise independent judgment.</w:t>
            </w:r>
          </w:p>
        </w:tc>
        <w:tc>
          <w:tcPr>
            <w:tcW w:type="dxa" w:w="1440"/>
            <w:vAlign w:val="top"/>
          </w:tcPr>
          <w:p>
            <w:r>
              <w:rPr>
                <w:sz w:val="14"/>
              </w:rPr>
              <w:t>IDI board</w:t>
            </w:r>
          </w:p>
        </w:tc>
        <w:tc>
          <w:tcPr>
            <w:tcW w:type="dxa" w:w="1584"/>
            <w:vAlign w:val="top"/>
          </w:tcPr>
          <w:p>
            <w:r>
              <w:rPr>
                <w:sz w:val="14"/>
              </w:rPr>
              <w:t>Independent directors expected; independent judgment for all.</w:t>
            </w:r>
          </w:p>
        </w:tc>
        <w:tc>
          <w:tcPr>
            <w:tcW w:type="dxa" w:w="1224"/>
            <w:vAlign w:val="top"/>
          </w:tcPr>
          <w:p>
            <w:r>
              <w:rPr>
                <w:sz w:val="14"/>
              </w:rPr>
              <w:t>Enforceable guideline</w:t>
            </w:r>
          </w:p>
        </w:tc>
      </w:tr>
      <w:tr>
        <w:tc>
          <w:tcPr>
            <w:tcW w:type="dxa" w:w="1800"/>
            <w:vAlign w:val="top"/>
          </w:tcPr>
          <w:p>
            <w:r>
              <w:rPr>
                <w:sz w:val="14"/>
              </w:rPr>
              <w:t>FDICIA audit committee $5B+</w:t>
            </w:r>
          </w:p>
        </w:tc>
        <w:tc>
          <w:tcPr>
            <w:tcW w:type="dxa" w:w="1800"/>
            <w:vAlign w:val="top"/>
          </w:tcPr>
          <w:p>
            <w:r>
              <w:rPr>
                <w:sz w:val="14"/>
              </w:rPr>
              <w:t>12 CFR 363.5</w:t>
            </w:r>
          </w:p>
        </w:tc>
        <w:tc>
          <w:tcPr>
            <w:tcW w:type="dxa" w:w="3816"/>
            <w:vAlign w:val="top"/>
          </w:tcPr>
          <w:p>
            <w:r>
              <w:rPr>
                <w:sz w:val="14"/>
              </w:rPr>
              <w:t>Audit committee members must be outside directors independent of management.</w:t>
            </w:r>
          </w:p>
        </w:tc>
        <w:tc>
          <w:tcPr>
            <w:tcW w:type="dxa" w:w="1440"/>
            <w:vAlign w:val="top"/>
          </w:tcPr>
          <w:p>
            <w:r>
              <w:rPr>
                <w:sz w:val="14"/>
              </w:rPr>
              <w:t>IDI audit committee</w:t>
            </w:r>
          </w:p>
        </w:tc>
        <w:tc>
          <w:tcPr>
            <w:tcW w:type="dxa" w:w="1584"/>
            <w:vAlign w:val="top"/>
          </w:tcPr>
          <w:p>
            <w:r>
              <w:rPr>
                <w:sz w:val="14"/>
              </w:rPr>
              <w:t>Outside and independent of management.</w:t>
            </w:r>
          </w:p>
        </w:tc>
        <w:tc>
          <w:tcPr>
            <w:tcW w:type="dxa" w:w="1224"/>
            <w:vAlign w:val="top"/>
          </w:tcPr>
          <w:p>
            <w:r>
              <w:rPr>
                <w:sz w:val="14"/>
              </w:rPr>
              <w:t>Binding rule</w:t>
            </w:r>
          </w:p>
        </w:tc>
      </w:tr>
      <w:tr>
        <w:tc>
          <w:tcPr>
            <w:tcW w:type="dxa" w:w="1800"/>
            <w:vAlign w:val="top"/>
          </w:tcPr>
          <w:p>
            <w:r>
              <w:rPr>
                <w:sz w:val="14"/>
              </w:rPr>
              <w:t>FDICIA audit committee $1B-$5B</w:t>
            </w:r>
          </w:p>
        </w:tc>
        <w:tc>
          <w:tcPr>
            <w:tcW w:type="dxa" w:w="1800"/>
            <w:vAlign w:val="top"/>
          </w:tcPr>
          <w:p>
            <w:r>
              <w:rPr>
                <w:sz w:val="14"/>
              </w:rPr>
              <w:t>12 CFR 363.5</w:t>
            </w:r>
          </w:p>
        </w:tc>
        <w:tc>
          <w:tcPr>
            <w:tcW w:type="dxa" w:w="3816"/>
            <w:vAlign w:val="top"/>
          </w:tcPr>
          <w:p>
            <w:r>
              <w:rPr>
                <w:sz w:val="14"/>
              </w:rPr>
              <w:t>Audit committee members must be outside directors; majority independent of management.</w:t>
            </w:r>
          </w:p>
        </w:tc>
        <w:tc>
          <w:tcPr>
            <w:tcW w:type="dxa" w:w="1440"/>
            <w:vAlign w:val="top"/>
          </w:tcPr>
          <w:p>
            <w:r>
              <w:rPr>
                <w:sz w:val="14"/>
              </w:rPr>
              <w:t>IDI audit committee</w:t>
            </w:r>
          </w:p>
        </w:tc>
        <w:tc>
          <w:tcPr>
            <w:tcW w:type="dxa" w:w="1584"/>
            <w:vAlign w:val="top"/>
          </w:tcPr>
          <w:p>
            <w:r>
              <w:rPr>
                <w:sz w:val="14"/>
              </w:rPr>
              <w:t>Outside; majority independent.</w:t>
            </w:r>
          </w:p>
        </w:tc>
        <w:tc>
          <w:tcPr>
            <w:tcW w:type="dxa" w:w="1224"/>
            <w:vAlign w:val="top"/>
          </w:tcPr>
          <w:p>
            <w:r>
              <w:rPr>
                <w:sz w:val="14"/>
              </w:rPr>
              <w:t>Binding rule</w:t>
            </w:r>
          </w:p>
        </w:tc>
      </w:tr>
      <w:tr>
        <w:tc>
          <w:tcPr>
            <w:tcW w:type="dxa" w:w="1800"/>
            <w:vAlign w:val="top"/>
          </w:tcPr>
          <w:p>
            <w:r>
              <w:rPr>
                <w:sz w:val="14"/>
              </w:rPr>
              <w:t>Outside director definition</w:t>
            </w:r>
          </w:p>
        </w:tc>
        <w:tc>
          <w:tcPr>
            <w:tcW w:type="dxa" w:w="1800"/>
            <w:vAlign w:val="top"/>
          </w:tcPr>
          <w:p>
            <w:r>
              <w:rPr>
                <w:sz w:val="14"/>
              </w:rPr>
              <w:t>12 CFR part 363</w:t>
            </w:r>
          </w:p>
        </w:tc>
        <w:tc>
          <w:tcPr>
            <w:tcW w:type="dxa" w:w="3816"/>
            <w:vAlign w:val="top"/>
          </w:tcPr>
          <w:p>
            <w:r>
              <w:rPr>
                <w:sz w:val="14"/>
              </w:rPr>
              <w:t>Outside director is not, and within preceding fiscal year has not been, officer or employee of institution or affiliate.</w:t>
            </w:r>
          </w:p>
        </w:tc>
        <w:tc>
          <w:tcPr>
            <w:tcW w:type="dxa" w:w="1440"/>
            <w:vAlign w:val="top"/>
          </w:tcPr>
          <w:p>
            <w:r>
              <w:rPr>
                <w:sz w:val="14"/>
              </w:rPr>
              <w:t>IDI audit committee</w:t>
            </w:r>
          </w:p>
        </w:tc>
        <w:tc>
          <w:tcPr>
            <w:tcW w:type="dxa" w:w="1584"/>
            <w:vAlign w:val="top"/>
          </w:tcPr>
          <w:p>
            <w:r>
              <w:rPr>
                <w:sz w:val="14"/>
              </w:rPr>
              <w:t>Outside status distinct from independent judgment.</w:t>
            </w:r>
          </w:p>
        </w:tc>
        <w:tc>
          <w:tcPr>
            <w:tcW w:type="dxa" w:w="1224"/>
            <w:vAlign w:val="top"/>
          </w:tcPr>
          <w:p>
            <w:r>
              <w:rPr>
                <w:sz w:val="14"/>
              </w:rPr>
              <w:t>Binding rule</w:t>
            </w:r>
          </w:p>
        </w:tc>
      </w:tr>
    </w:tbl>
    <w:p/>
    <w:p>
      <w:r>
        <w:rPr>
          <w:b w:val="0"/>
          <w:i w:val="0"/>
        </w:rPr>
        <w:t>Reform issue. A reform package should harmonize director-status terminology. A single glossary could distinguish: (1) employee/nonemployee status; (2) independence from management; (3) exchange-listing independence; (4) banking-regulatory independence; and (5) risk expertise. Today those concepts are spread across unrelated rules.</w:t>
      </w:r>
    </w:p>
    <w:p>
      <w:pPr>
        <w:pStyle w:val="Heading1"/>
      </w:pPr>
      <w:r>
        <w:rPr>
          <w:b w:val="0"/>
          <w:i w:val="0"/>
        </w:rPr>
        <w:t>Chapter 13 — Cross-Domain Obligation Matrix</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rPr>
          <w:tblHeader w:val="true"/>
        </w:trPr>
        <w:tc>
          <w:tcPr>
            <w:tcW w:type="dxa" w:w="1440"/>
            <w:shd w:fill="D9EAF7"/>
            <w:vAlign w:val="center"/>
          </w:tcPr>
          <w:p>
            <w:pPr>
              <w:jc w:val="center"/>
            </w:pPr>
            <w:r>
              <w:rPr>
                <w:b/>
                <w:sz w:val="16"/>
              </w:rPr>
              <w:t>Domain</w:t>
            </w:r>
          </w:p>
        </w:tc>
        <w:tc>
          <w:tcPr>
            <w:tcW w:type="dxa" w:w="864"/>
            <w:shd w:fill="D9EAF7"/>
            <w:vAlign w:val="center"/>
          </w:tcPr>
          <w:p>
            <w:pPr>
              <w:jc w:val="center"/>
            </w:pPr>
            <w:r>
              <w:rPr>
                <w:b/>
                <w:sz w:val="16"/>
              </w:rPr>
              <w:t>Full board?</w:t>
            </w:r>
          </w:p>
        </w:tc>
        <w:tc>
          <w:tcPr>
            <w:tcW w:type="dxa" w:w="1224"/>
            <w:shd w:fill="D9EAF7"/>
            <w:vAlign w:val="center"/>
          </w:tcPr>
          <w:p>
            <w:pPr>
              <w:jc w:val="center"/>
            </w:pPr>
            <w:r>
              <w:rPr>
                <w:b/>
                <w:sz w:val="16"/>
              </w:rPr>
              <w:t>Committee?</w:t>
            </w:r>
          </w:p>
        </w:tc>
        <w:tc>
          <w:tcPr>
            <w:tcW w:type="dxa" w:w="2376"/>
            <w:shd w:fill="D9EAF7"/>
            <w:vAlign w:val="center"/>
          </w:tcPr>
          <w:p>
            <w:pPr>
              <w:jc w:val="center"/>
            </w:pPr>
            <w:r>
              <w:rPr>
                <w:b/>
                <w:sz w:val="16"/>
              </w:rPr>
              <w:t>Formal approval?</w:t>
            </w:r>
          </w:p>
        </w:tc>
        <w:tc>
          <w:tcPr>
            <w:tcW w:type="dxa" w:w="2232"/>
            <w:shd w:fill="D9EAF7"/>
            <w:vAlign w:val="center"/>
          </w:tcPr>
          <w:p>
            <w:pPr>
              <w:jc w:val="center"/>
            </w:pPr>
            <w:r>
              <w:rPr>
                <w:b/>
                <w:sz w:val="16"/>
              </w:rPr>
              <w:t>Recurring reporting?</w:t>
            </w:r>
          </w:p>
        </w:tc>
        <w:tc>
          <w:tcPr>
            <w:tcW w:type="dxa" w:w="1800"/>
            <w:shd w:fill="D9EAF7"/>
            <w:vAlign w:val="center"/>
          </w:tcPr>
          <w:p>
            <w:pPr>
              <w:jc w:val="center"/>
            </w:pPr>
            <w:r>
              <w:rPr>
                <w:b/>
                <w:sz w:val="16"/>
              </w:rPr>
              <w:t>Independence issue</w:t>
            </w:r>
          </w:p>
        </w:tc>
        <w:tc>
          <w:tcPr>
            <w:tcW w:type="dxa" w:w="1728"/>
            <w:shd w:fill="D9EAF7"/>
            <w:vAlign w:val="center"/>
          </w:tcPr>
          <w:p>
            <w:pPr>
              <w:jc w:val="center"/>
            </w:pPr>
            <w:r>
              <w:rPr>
                <w:b/>
                <w:sz w:val="16"/>
              </w:rPr>
              <w:t>Key source</w:t>
            </w:r>
          </w:p>
        </w:tc>
      </w:tr>
      <w:tr>
        <w:tc>
          <w:tcPr>
            <w:tcW w:type="dxa" w:w="1440"/>
            <w:vAlign w:val="top"/>
          </w:tcPr>
          <w:p>
            <w:r>
              <w:rPr>
                <w:sz w:val="14"/>
              </w:rPr>
              <w:t>Enterprise risk governance</w:t>
            </w:r>
          </w:p>
        </w:tc>
        <w:tc>
          <w:tcPr>
            <w:tcW w:type="dxa" w:w="864"/>
            <w:vAlign w:val="top"/>
          </w:tcPr>
          <w:p>
            <w:r>
              <w:rPr>
                <w:sz w:val="14"/>
              </w:rPr>
              <w:t>Yes</w:t>
            </w:r>
          </w:p>
        </w:tc>
        <w:tc>
          <w:tcPr>
            <w:tcW w:type="dxa" w:w="1224"/>
            <w:vAlign w:val="top"/>
          </w:tcPr>
          <w:p>
            <w:r>
              <w:rPr>
                <w:sz w:val="14"/>
              </w:rPr>
              <w:t>Risk committee</w:t>
            </w:r>
          </w:p>
        </w:tc>
        <w:tc>
          <w:tcPr>
            <w:tcW w:type="dxa" w:w="2376"/>
            <w:vAlign w:val="top"/>
          </w:tcPr>
          <w:p>
            <w:r>
              <w:rPr>
                <w:sz w:val="14"/>
              </w:rPr>
              <w:t>Risk appetite/framework under OCC; risk policies under Reg YY</w:t>
            </w:r>
          </w:p>
        </w:tc>
        <w:tc>
          <w:tcPr>
            <w:tcW w:type="dxa" w:w="2232"/>
            <w:vAlign w:val="top"/>
          </w:tcPr>
          <w:p>
            <w:r>
              <w:rPr>
                <w:sz w:val="14"/>
              </w:rPr>
              <w:t>Regular risk reporting expected</w:t>
            </w:r>
          </w:p>
        </w:tc>
        <w:tc>
          <w:tcPr>
            <w:tcW w:type="dxa" w:w="1800"/>
            <w:vAlign w:val="top"/>
          </w:tcPr>
          <w:p>
            <w:r>
              <w:rPr>
                <w:sz w:val="14"/>
              </w:rPr>
              <w:t>Risk committee chair; OCC independent directors</w:t>
            </w:r>
          </w:p>
        </w:tc>
        <w:tc>
          <w:tcPr>
            <w:tcW w:type="dxa" w:w="1728"/>
            <w:vAlign w:val="top"/>
          </w:tcPr>
          <w:p>
            <w:r>
              <w:rPr>
                <w:sz w:val="14"/>
              </w:rPr>
              <w:t>Reg YY / OCC appendix D</w:t>
            </w:r>
          </w:p>
        </w:tc>
      </w:tr>
      <w:tr>
        <w:tc>
          <w:tcPr>
            <w:tcW w:type="dxa" w:w="1440"/>
            <w:vAlign w:val="top"/>
          </w:tcPr>
          <w:p>
            <w:r>
              <w:rPr>
                <w:sz w:val="14"/>
              </w:rPr>
              <w:t>Capital planning</w:t>
            </w:r>
          </w:p>
        </w:tc>
        <w:tc>
          <w:tcPr>
            <w:tcW w:type="dxa" w:w="864"/>
            <w:vAlign w:val="top"/>
          </w:tcPr>
          <w:p>
            <w:r>
              <w:rPr>
                <w:sz w:val="14"/>
              </w:rPr>
              <w:t>Yes</w:t>
            </w:r>
          </w:p>
        </w:tc>
        <w:tc>
          <w:tcPr>
            <w:tcW w:type="dxa" w:w="1224"/>
            <w:vAlign w:val="top"/>
          </w:tcPr>
          <w:p>
            <w:r>
              <w:rPr>
                <w:sz w:val="14"/>
              </w:rPr>
              <w:t>Risk/audit committees</w:t>
            </w:r>
          </w:p>
        </w:tc>
        <w:tc>
          <w:tcPr>
            <w:tcW w:type="dxa" w:w="2376"/>
            <w:vAlign w:val="top"/>
          </w:tcPr>
          <w:p>
            <w:r>
              <w:rPr>
                <w:sz w:val="14"/>
              </w:rPr>
              <w:t>Capital actions and advanced systems implementation plan</w:t>
            </w:r>
          </w:p>
        </w:tc>
        <w:tc>
          <w:tcPr>
            <w:tcW w:type="dxa" w:w="2232"/>
            <w:vAlign w:val="top"/>
          </w:tcPr>
          <w:p>
            <w:r>
              <w:rPr>
                <w:sz w:val="14"/>
              </w:rPr>
              <w:t>Capital planning findings and audit reports</w:t>
            </w:r>
          </w:p>
        </w:tc>
        <w:tc>
          <w:tcPr>
            <w:tcW w:type="dxa" w:w="1800"/>
            <w:vAlign w:val="top"/>
          </w:tcPr>
          <w:p>
            <w:r>
              <w:rPr>
                <w:sz w:val="14"/>
              </w:rPr>
              <w:t>None specific</w:t>
            </w:r>
          </w:p>
        </w:tc>
        <w:tc>
          <w:tcPr>
            <w:tcW w:type="dxa" w:w="1728"/>
            <w:vAlign w:val="top"/>
          </w:tcPr>
          <w:p>
            <w:r>
              <w:rPr>
                <w:sz w:val="14"/>
              </w:rPr>
              <w:t>12 CFR 225.8; SR 15-18; part 217</w:t>
            </w:r>
          </w:p>
        </w:tc>
      </w:tr>
      <w:tr>
        <w:tc>
          <w:tcPr>
            <w:tcW w:type="dxa" w:w="1440"/>
            <w:vAlign w:val="top"/>
          </w:tcPr>
          <w:p>
            <w:r>
              <w:rPr>
                <w:sz w:val="14"/>
              </w:rPr>
              <w:t>Liquidity</w:t>
            </w:r>
          </w:p>
        </w:tc>
        <w:tc>
          <w:tcPr>
            <w:tcW w:type="dxa" w:w="864"/>
            <w:vAlign w:val="top"/>
          </w:tcPr>
          <w:p>
            <w:r>
              <w:rPr>
                <w:sz w:val="14"/>
              </w:rPr>
              <w:t>Yes</w:t>
            </w:r>
          </w:p>
        </w:tc>
        <w:tc>
          <w:tcPr>
            <w:tcW w:type="dxa" w:w="1224"/>
            <w:vAlign w:val="top"/>
          </w:tcPr>
          <w:p>
            <w:r>
              <w:rPr>
                <w:sz w:val="14"/>
              </w:rPr>
              <w:t>Risk committee</w:t>
            </w:r>
          </w:p>
        </w:tc>
        <w:tc>
          <w:tcPr>
            <w:tcW w:type="dxa" w:w="2376"/>
            <w:vAlign w:val="top"/>
          </w:tcPr>
          <w:p>
            <w:r>
              <w:rPr>
                <w:sz w:val="14"/>
              </w:rPr>
              <w:t>Liquidity risk tolerance, policies, CFP</w:t>
            </w:r>
          </w:p>
        </w:tc>
        <w:tc>
          <w:tcPr>
            <w:tcW w:type="dxa" w:w="2232"/>
            <w:vAlign w:val="top"/>
          </w:tcPr>
          <w:p>
            <w:r>
              <w:rPr>
                <w:sz w:val="14"/>
              </w:rPr>
              <w:t>Quarterly liquidity reports</w:t>
            </w:r>
          </w:p>
        </w:tc>
        <w:tc>
          <w:tcPr>
            <w:tcW w:type="dxa" w:w="1800"/>
            <w:vAlign w:val="top"/>
          </w:tcPr>
          <w:p>
            <w:r>
              <w:rPr>
                <w:sz w:val="14"/>
              </w:rPr>
              <w:t>Risk committee independence</w:t>
            </w:r>
          </w:p>
        </w:tc>
        <w:tc>
          <w:tcPr>
            <w:tcW w:type="dxa" w:w="1728"/>
            <w:vAlign w:val="top"/>
          </w:tcPr>
          <w:p>
            <w:r>
              <w:rPr>
                <w:sz w:val="14"/>
              </w:rPr>
              <w:t>12 CFR 252.34</w:t>
            </w:r>
          </w:p>
        </w:tc>
      </w:tr>
      <w:tr>
        <w:tc>
          <w:tcPr>
            <w:tcW w:type="dxa" w:w="1440"/>
            <w:vAlign w:val="top"/>
          </w:tcPr>
          <w:p>
            <w:r>
              <w:rPr>
                <w:sz w:val="14"/>
              </w:rPr>
              <w:t>Resolution planning</w:t>
            </w:r>
          </w:p>
        </w:tc>
        <w:tc>
          <w:tcPr>
            <w:tcW w:type="dxa" w:w="864"/>
            <w:vAlign w:val="top"/>
          </w:tcPr>
          <w:p>
            <w:r>
              <w:rPr>
                <w:sz w:val="14"/>
              </w:rPr>
              <w:t>Yes</w:t>
            </w:r>
          </w:p>
        </w:tc>
        <w:tc>
          <w:tcPr>
            <w:tcW w:type="dxa" w:w="1224"/>
            <w:vAlign w:val="top"/>
          </w:tcPr>
          <w:p>
            <w:r>
              <w:rPr>
                <w:sz w:val="14"/>
              </w:rPr>
              <w:t>May use committees but board approval required</w:t>
            </w:r>
          </w:p>
        </w:tc>
        <w:tc>
          <w:tcPr>
            <w:tcW w:type="dxa" w:w="2376"/>
            <w:vAlign w:val="top"/>
          </w:tcPr>
          <w:p>
            <w:r>
              <w:rPr>
                <w:sz w:val="14"/>
              </w:rPr>
              <w:t>Title I and CIDI plans</w:t>
            </w:r>
          </w:p>
        </w:tc>
        <w:tc>
          <w:tcPr>
            <w:tcW w:type="dxa" w:w="2232"/>
            <w:vAlign w:val="top"/>
          </w:tcPr>
          <w:p>
            <w:r>
              <w:rPr>
                <w:sz w:val="14"/>
              </w:rPr>
              <w:t>Plan status and remediation reports</w:t>
            </w:r>
          </w:p>
        </w:tc>
        <w:tc>
          <w:tcPr>
            <w:tcW w:type="dxa" w:w="1800"/>
            <w:vAlign w:val="top"/>
          </w:tcPr>
          <w:p>
            <w:r>
              <w:rPr>
                <w:sz w:val="14"/>
              </w:rPr>
              <w:t>None specific</w:t>
            </w:r>
          </w:p>
        </w:tc>
        <w:tc>
          <w:tcPr>
            <w:tcW w:type="dxa" w:w="1728"/>
            <w:vAlign w:val="top"/>
          </w:tcPr>
          <w:p>
            <w:r>
              <w:rPr>
                <w:sz w:val="14"/>
              </w:rPr>
              <w:t>12 CFR 243; 12 CFR 360.10</w:t>
            </w:r>
          </w:p>
        </w:tc>
      </w:tr>
      <w:tr>
        <w:tc>
          <w:tcPr>
            <w:tcW w:type="dxa" w:w="1440"/>
            <w:vAlign w:val="top"/>
          </w:tcPr>
          <w:p>
            <w:r>
              <w:rPr>
                <w:sz w:val="14"/>
              </w:rPr>
              <w:t>Audit/internal controls</w:t>
            </w:r>
          </w:p>
        </w:tc>
        <w:tc>
          <w:tcPr>
            <w:tcW w:type="dxa" w:w="864"/>
            <w:vAlign w:val="top"/>
          </w:tcPr>
          <w:p>
            <w:r>
              <w:rPr>
                <w:sz w:val="14"/>
              </w:rPr>
              <w:t>Yes</w:t>
            </w:r>
          </w:p>
        </w:tc>
        <w:tc>
          <w:tcPr>
            <w:tcW w:type="dxa" w:w="1224"/>
            <w:vAlign w:val="top"/>
          </w:tcPr>
          <w:p>
            <w:r>
              <w:rPr>
                <w:sz w:val="14"/>
              </w:rPr>
              <w:t>Audit committee</w:t>
            </w:r>
          </w:p>
        </w:tc>
        <w:tc>
          <w:tcPr>
            <w:tcW w:type="dxa" w:w="2376"/>
            <w:vAlign w:val="top"/>
          </w:tcPr>
          <w:p>
            <w:r>
              <w:rPr>
                <w:sz w:val="14"/>
              </w:rPr>
              <w:t>Audit committee structure; receives reports</w:t>
            </w:r>
          </w:p>
        </w:tc>
        <w:tc>
          <w:tcPr>
            <w:tcW w:type="dxa" w:w="2232"/>
            <w:vAlign w:val="top"/>
          </w:tcPr>
          <w:p>
            <w:r>
              <w:rPr>
                <w:sz w:val="14"/>
              </w:rPr>
              <w:t>Annual audit/internal control reporting</w:t>
            </w:r>
          </w:p>
        </w:tc>
        <w:tc>
          <w:tcPr>
            <w:tcW w:type="dxa" w:w="1800"/>
            <w:vAlign w:val="top"/>
          </w:tcPr>
          <w:p>
            <w:r>
              <w:rPr>
                <w:sz w:val="14"/>
              </w:rPr>
              <w:t>Outside and independent audit committee</w:t>
            </w:r>
          </w:p>
        </w:tc>
        <w:tc>
          <w:tcPr>
            <w:tcW w:type="dxa" w:w="1728"/>
            <w:vAlign w:val="top"/>
          </w:tcPr>
          <w:p>
            <w:r>
              <w:rPr>
                <w:sz w:val="14"/>
              </w:rPr>
              <w:t>12 CFR part 363</w:t>
            </w:r>
          </w:p>
        </w:tc>
      </w:tr>
      <w:tr>
        <w:tc>
          <w:tcPr>
            <w:tcW w:type="dxa" w:w="1440"/>
            <w:vAlign w:val="top"/>
          </w:tcPr>
          <w:p>
            <w:r>
              <w:rPr>
                <w:sz w:val="14"/>
              </w:rPr>
              <w:t>Cyber/information security</w:t>
            </w:r>
          </w:p>
        </w:tc>
        <w:tc>
          <w:tcPr>
            <w:tcW w:type="dxa" w:w="864"/>
            <w:vAlign w:val="top"/>
          </w:tcPr>
          <w:p>
            <w:r>
              <w:rPr>
                <w:sz w:val="14"/>
              </w:rPr>
              <w:t>Yes</w:t>
            </w:r>
          </w:p>
        </w:tc>
        <w:tc>
          <w:tcPr>
            <w:tcW w:type="dxa" w:w="1224"/>
            <w:vAlign w:val="top"/>
          </w:tcPr>
          <w:p>
            <w:r>
              <w:rPr>
                <w:sz w:val="14"/>
              </w:rPr>
              <w:t>Appropriate board committee allowed</w:t>
            </w:r>
          </w:p>
        </w:tc>
        <w:tc>
          <w:tcPr>
            <w:tcW w:type="dxa" w:w="2376"/>
            <w:vAlign w:val="top"/>
          </w:tcPr>
          <w:p>
            <w:r>
              <w:rPr>
                <w:sz w:val="14"/>
              </w:rPr>
              <w:t>Written information-security program</w:t>
            </w:r>
          </w:p>
        </w:tc>
        <w:tc>
          <w:tcPr>
            <w:tcW w:type="dxa" w:w="2232"/>
            <w:vAlign w:val="top"/>
          </w:tcPr>
          <w:p>
            <w:r>
              <w:rPr>
                <w:sz w:val="14"/>
              </w:rPr>
              <w:t>Management reports; incident escalation</w:t>
            </w:r>
          </w:p>
        </w:tc>
        <w:tc>
          <w:tcPr>
            <w:tcW w:type="dxa" w:w="1800"/>
            <w:vAlign w:val="top"/>
          </w:tcPr>
          <w:p>
            <w:r>
              <w:rPr>
                <w:sz w:val="14"/>
              </w:rPr>
              <w:t>None specific</w:t>
            </w:r>
          </w:p>
        </w:tc>
        <w:tc>
          <w:tcPr>
            <w:tcW w:type="dxa" w:w="1728"/>
            <w:vAlign w:val="top"/>
          </w:tcPr>
          <w:p>
            <w:r>
              <w:rPr>
                <w:sz w:val="14"/>
              </w:rPr>
              <w:t>Appendix B guidelines</w:t>
            </w:r>
          </w:p>
        </w:tc>
      </w:tr>
      <w:tr>
        <w:tc>
          <w:tcPr>
            <w:tcW w:type="dxa" w:w="1440"/>
            <w:vAlign w:val="top"/>
          </w:tcPr>
          <w:p>
            <w:r>
              <w:rPr>
                <w:sz w:val="14"/>
              </w:rPr>
              <w:t>Third-party risk</w:t>
            </w:r>
          </w:p>
        </w:tc>
        <w:tc>
          <w:tcPr>
            <w:tcW w:type="dxa" w:w="864"/>
            <w:vAlign w:val="top"/>
          </w:tcPr>
          <w:p>
            <w:r>
              <w:rPr>
                <w:sz w:val="14"/>
              </w:rPr>
              <w:t>Yes</w:t>
            </w:r>
          </w:p>
        </w:tc>
        <w:tc>
          <w:tcPr>
            <w:tcW w:type="dxa" w:w="1224"/>
            <w:vAlign w:val="top"/>
          </w:tcPr>
          <w:p>
            <w:r>
              <w:rPr>
                <w:sz w:val="14"/>
              </w:rPr>
              <w:t>Risk/audit/tech committees</w:t>
            </w:r>
          </w:p>
        </w:tc>
        <w:tc>
          <w:tcPr>
            <w:tcW w:type="dxa" w:w="2376"/>
            <w:vAlign w:val="top"/>
          </w:tcPr>
          <w:p>
            <w:r>
              <w:rPr>
                <w:sz w:val="14"/>
              </w:rPr>
              <w:t>Generally policy/risk appetite not contract-level approval</w:t>
            </w:r>
          </w:p>
        </w:tc>
        <w:tc>
          <w:tcPr>
            <w:tcW w:type="dxa" w:w="2232"/>
            <w:vAlign w:val="top"/>
          </w:tcPr>
          <w:p>
            <w:r>
              <w:rPr>
                <w:sz w:val="14"/>
              </w:rPr>
              <w:t>Ongoing monitoring and critical third-party reporting</w:t>
            </w:r>
          </w:p>
        </w:tc>
        <w:tc>
          <w:tcPr>
            <w:tcW w:type="dxa" w:w="1800"/>
            <w:vAlign w:val="top"/>
          </w:tcPr>
          <w:p>
            <w:r>
              <w:rPr>
                <w:sz w:val="14"/>
              </w:rPr>
              <w:t>None specific</w:t>
            </w:r>
          </w:p>
        </w:tc>
        <w:tc>
          <w:tcPr>
            <w:tcW w:type="dxa" w:w="1728"/>
            <w:vAlign w:val="top"/>
          </w:tcPr>
          <w:p>
            <w:r>
              <w:rPr>
                <w:sz w:val="14"/>
              </w:rPr>
              <w:t>2023 interagency guidance</w:t>
            </w:r>
          </w:p>
        </w:tc>
      </w:tr>
      <w:tr>
        <w:tc>
          <w:tcPr>
            <w:tcW w:type="dxa" w:w="1440"/>
            <w:vAlign w:val="top"/>
          </w:tcPr>
          <w:p>
            <w:r>
              <w:rPr>
                <w:sz w:val="14"/>
              </w:rPr>
              <w:t>Model risk</w:t>
            </w:r>
          </w:p>
        </w:tc>
        <w:tc>
          <w:tcPr>
            <w:tcW w:type="dxa" w:w="864"/>
            <w:vAlign w:val="top"/>
          </w:tcPr>
          <w:p>
            <w:r>
              <w:rPr>
                <w:sz w:val="14"/>
              </w:rPr>
              <w:t>Yes</w:t>
            </w:r>
          </w:p>
        </w:tc>
        <w:tc>
          <w:tcPr>
            <w:tcW w:type="dxa" w:w="1224"/>
            <w:vAlign w:val="top"/>
          </w:tcPr>
          <w:p>
            <w:r>
              <w:rPr>
                <w:sz w:val="14"/>
              </w:rPr>
              <w:t>Risk/audit/model committees</w:t>
            </w:r>
          </w:p>
        </w:tc>
        <w:tc>
          <w:tcPr>
            <w:tcW w:type="dxa" w:w="2376"/>
            <w:vAlign w:val="top"/>
          </w:tcPr>
          <w:p>
            <w:r>
              <w:rPr>
                <w:sz w:val="14"/>
              </w:rPr>
              <w:t>Policies may be board-approved by practice; advanced systems hard obligations</w:t>
            </w:r>
          </w:p>
        </w:tc>
        <w:tc>
          <w:tcPr>
            <w:tcW w:type="dxa" w:w="2232"/>
            <w:vAlign w:val="top"/>
          </w:tcPr>
          <w:p>
            <w:r>
              <w:rPr>
                <w:sz w:val="14"/>
              </w:rPr>
              <w:t>Validation and audit findings</w:t>
            </w:r>
          </w:p>
        </w:tc>
        <w:tc>
          <w:tcPr>
            <w:tcW w:type="dxa" w:w="1800"/>
            <w:vAlign w:val="top"/>
          </w:tcPr>
          <w:p>
            <w:r>
              <w:rPr>
                <w:sz w:val="14"/>
              </w:rPr>
              <w:t>Function independence</w:t>
            </w:r>
          </w:p>
        </w:tc>
        <w:tc>
          <w:tcPr>
            <w:tcW w:type="dxa" w:w="1728"/>
            <w:vAlign w:val="top"/>
          </w:tcPr>
          <w:p>
            <w:r>
              <w:rPr>
                <w:sz w:val="14"/>
              </w:rPr>
              <w:t>SR 26-2; part 217</w:t>
            </w:r>
          </w:p>
        </w:tc>
      </w:tr>
      <w:tr>
        <w:tc>
          <w:tcPr>
            <w:tcW w:type="dxa" w:w="1440"/>
            <w:vAlign w:val="top"/>
          </w:tcPr>
          <w:p>
            <w:r>
              <w:rPr>
                <w:sz w:val="14"/>
              </w:rPr>
              <w:t>Incentive compensation</w:t>
            </w:r>
          </w:p>
        </w:tc>
        <w:tc>
          <w:tcPr>
            <w:tcW w:type="dxa" w:w="864"/>
            <w:vAlign w:val="top"/>
          </w:tcPr>
          <w:p>
            <w:r>
              <w:rPr>
                <w:sz w:val="14"/>
              </w:rPr>
              <w:t>Yes</w:t>
            </w:r>
          </w:p>
        </w:tc>
        <w:tc>
          <w:tcPr>
            <w:tcW w:type="dxa" w:w="1224"/>
            <w:vAlign w:val="top"/>
          </w:tcPr>
          <w:p>
            <w:r>
              <w:rPr>
                <w:sz w:val="14"/>
              </w:rPr>
              <w:t>Compensation committee</w:t>
            </w:r>
          </w:p>
        </w:tc>
        <w:tc>
          <w:tcPr>
            <w:tcW w:type="dxa" w:w="2376"/>
            <w:vAlign w:val="top"/>
          </w:tcPr>
          <w:p>
            <w:r>
              <w:rPr>
                <w:sz w:val="14"/>
              </w:rPr>
              <w:t>Compensation policies/arrangements by governance practice</w:t>
            </w:r>
          </w:p>
        </w:tc>
        <w:tc>
          <w:tcPr>
            <w:tcW w:type="dxa" w:w="2232"/>
            <w:vAlign w:val="top"/>
          </w:tcPr>
          <w:p>
            <w:r>
              <w:rPr>
                <w:sz w:val="14"/>
              </w:rPr>
              <w:t>Risk/control review of incentives</w:t>
            </w:r>
          </w:p>
        </w:tc>
        <w:tc>
          <w:tcPr>
            <w:tcW w:type="dxa" w:w="1800"/>
            <w:vAlign w:val="top"/>
          </w:tcPr>
          <w:p>
            <w:r>
              <w:rPr>
                <w:sz w:val="14"/>
              </w:rPr>
              <w:t>No banking-specific rule</w:t>
            </w:r>
          </w:p>
        </w:tc>
        <w:tc>
          <w:tcPr>
            <w:tcW w:type="dxa" w:w="1728"/>
            <w:vAlign w:val="top"/>
          </w:tcPr>
          <w:p>
            <w:r>
              <w:rPr>
                <w:sz w:val="14"/>
              </w:rPr>
              <w:t>2010 interagency guidance</w:t>
            </w:r>
          </w:p>
        </w:tc>
      </w:tr>
      <w:tr>
        <w:tc>
          <w:tcPr>
            <w:tcW w:type="dxa" w:w="1440"/>
            <w:vAlign w:val="top"/>
          </w:tcPr>
          <w:p>
            <w:r>
              <w:rPr>
                <w:sz w:val="14"/>
              </w:rPr>
              <w:t>BSA/AML</w:t>
            </w:r>
          </w:p>
        </w:tc>
        <w:tc>
          <w:tcPr>
            <w:tcW w:type="dxa" w:w="864"/>
            <w:vAlign w:val="top"/>
          </w:tcPr>
          <w:p>
            <w:r>
              <w:rPr>
                <w:sz w:val="14"/>
              </w:rPr>
              <w:t>Yes</w:t>
            </w:r>
          </w:p>
        </w:tc>
        <w:tc>
          <w:tcPr>
            <w:tcW w:type="dxa" w:w="1224"/>
            <w:vAlign w:val="top"/>
          </w:tcPr>
          <w:p>
            <w:r>
              <w:rPr>
                <w:sz w:val="14"/>
              </w:rPr>
              <w:t>Often audit/risk compliance committees assist</w:t>
            </w:r>
          </w:p>
        </w:tc>
        <w:tc>
          <w:tcPr>
            <w:tcW w:type="dxa" w:w="2376"/>
            <w:vAlign w:val="top"/>
          </w:tcPr>
          <w:p>
            <w:r>
              <w:rPr>
                <w:sz w:val="14"/>
              </w:rPr>
              <w:t>Written BSA program board-approved and minuted</w:t>
            </w:r>
          </w:p>
        </w:tc>
        <w:tc>
          <w:tcPr>
            <w:tcW w:type="dxa" w:w="2232"/>
            <w:vAlign w:val="top"/>
          </w:tcPr>
          <w:p>
            <w:r>
              <w:rPr>
                <w:sz w:val="14"/>
              </w:rPr>
              <w:t>Independent testing and BSA reports</w:t>
            </w:r>
          </w:p>
        </w:tc>
        <w:tc>
          <w:tcPr>
            <w:tcW w:type="dxa" w:w="1800"/>
            <w:vAlign w:val="top"/>
          </w:tcPr>
          <w:p>
            <w:r>
              <w:rPr>
                <w:sz w:val="14"/>
              </w:rPr>
              <w:t>None specific</w:t>
            </w:r>
          </w:p>
        </w:tc>
        <w:tc>
          <w:tcPr>
            <w:tcW w:type="dxa" w:w="1728"/>
            <w:vAlign w:val="top"/>
          </w:tcPr>
          <w:p>
            <w:r>
              <w:rPr>
                <w:sz w:val="14"/>
              </w:rPr>
              <w:t>12 CFR 21.21 / 208.63 / 326.8</w:t>
            </w:r>
          </w:p>
        </w:tc>
      </w:tr>
      <w:tr>
        <w:tc>
          <w:tcPr>
            <w:tcW w:type="dxa" w:w="1440"/>
            <w:vAlign w:val="top"/>
          </w:tcPr>
          <w:p>
            <w:r>
              <w:rPr>
                <w:sz w:val="14"/>
              </w:rPr>
              <w:t>Consumer compliance</w:t>
            </w:r>
          </w:p>
        </w:tc>
        <w:tc>
          <w:tcPr>
            <w:tcW w:type="dxa" w:w="864"/>
            <w:vAlign w:val="top"/>
          </w:tcPr>
          <w:p>
            <w:r>
              <w:rPr>
                <w:sz w:val="14"/>
              </w:rPr>
              <w:t>Yes</w:t>
            </w:r>
          </w:p>
        </w:tc>
        <w:tc>
          <w:tcPr>
            <w:tcW w:type="dxa" w:w="1224"/>
            <w:vAlign w:val="top"/>
          </w:tcPr>
          <w:p>
            <w:r>
              <w:rPr>
                <w:sz w:val="14"/>
              </w:rPr>
              <w:t>Compliance/risk committees</w:t>
            </w:r>
          </w:p>
        </w:tc>
        <w:tc>
          <w:tcPr>
            <w:tcW w:type="dxa" w:w="2376"/>
            <w:vAlign w:val="top"/>
          </w:tcPr>
          <w:p>
            <w:r>
              <w:rPr>
                <w:sz w:val="14"/>
              </w:rPr>
              <w:t>Generally not specific board approval</w:t>
            </w:r>
          </w:p>
        </w:tc>
        <w:tc>
          <w:tcPr>
            <w:tcW w:type="dxa" w:w="2232"/>
            <w:vAlign w:val="top"/>
          </w:tcPr>
          <w:p>
            <w:r>
              <w:rPr>
                <w:sz w:val="14"/>
              </w:rPr>
              <w:t>CMS, complaints, fair lending, UDAAP, service-provider reporting</w:t>
            </w:r>
          </w:p>
        </w:tc>
        <w:tc>
          <w:tcPr>
            <w:tcW w:type="dxa" w:w="1800"/>
            <w:vAlign w:val="top"/>
          </w:tcPr>
          <w:p>
            <w:r>
              <w:rPr>
                <w:sz w:val="14"/>
              </w:rPr>
              <w:t>None specific</w:t>
            </w:r>
          </w:p>
        </w:tc>
        <w:tc>
          <w:tcPr>
            <w:tcW w:type="dxa" w:w="1728"/>
            <w:vAlign w:val="top"/>
          </w:tcPr>
          <w:p>
            <w:r>
              <w:rPr>
                <w:sz w:val="14"/>
              </w:rPr>
              <w:t>CFPB CMR</w:t>
            </w:r>
          </w:p>
        </w:tc>
      </w:tr>
    </w:tbl>
    <w:p/>
    <w:p>
      <w:pPr>
        <w:pStyle w:val="Heading1"/>
      </w:pPr>
      <w:r>
        <w:rPr>
          <w:b w:val="0"/>
          <w:i w:val="0"/>
        </w:rPr>
        <w:t>Chapter 14 — Duplication and Burden Analysis</w:t>
      </w:r>
    </w:p>
    <w:p>
      <w:pPr>
        <w:pStyle w:val="Heading2"/>
      </w:pPr>
      <w:r>
        <w:rPr>
          <w:b w:val="0"/>
          <w:i w:val="0"/>
        </w:rPr>
        <w:t>1. Parent-subsidiary duplication</w:t>
      </w:r>
    </w:p>
    <w:p>
      <w:r>
        <w:rPr>
          <w:b w:val="0"/>
          <w:i w:val="0"/>
        </w:rPr>
        <w:t>Category I firms are supervised both as consolidated BHCs and as IDI legal entities. The parent board oversees the enterprise risk framework, capital, liquidity, recovery/resolution, cyber, third-party, model, and consumer-compliance risks. Major IDI boards separately approve or oversee BSA programs, information-security programs, FDICIA audit matters, IDI resolution plans, and, for OCC covered banks, risk-governance frameworks and risk appetite. Where the enterprise operates through centralized risk and control functions, the same subject matter may move through multiple boards.</w:t>
      </w:r>
    </w:p>
    <w:p>
      <w:pPr>
        <w:pStyle w:val="Heading2"/>
      </w:pPr>
      <w:r>
        <w:rPr>
          <w:b w:val="0"/>
          <w:i w:val="0"/>
        </w:rPr>
        <w:t>2. Board approval proliferation</w:t>
      </w:r>
    </w:p>
    <w:p>
      <w:r>
        <w:rPr>
          <w:b w:val="0"/>
          <w:i w:val="0"/>
        </w:rPr>
        <w:t>The inventory shows multiple mandatory approval points: liquidity risk tolerance, liquidity policies, contingency funding plan, Title I resolution plan, CIDI resolution plan, advanced approaches implementation plan, BSA/AML program, information-security program, and audit committee structures. In addition, supervisory guidance often leads boards to approve or review policies even where not legally required.</w:t>
      </w:r>
    </w:p>
    <w:p>
      <w:pPr>
        <w:pStyle w:val="Heading2"/>
      </w:pPr>
      <w:r>
        <w:rPr>
          <w:b w:val="0"/>
          <w:i w:val="0"/>
        </w:rPr>
        <w:t>3. Committee overlap</w:t>
      </w:r>
    </w:p>
    <w:p>
      <w:r>
        <w:rPr>
          <w:b w:val="0"/>
          <w:i w:val="0"/>
        </w:rPr>
        <w:t>Risk committees, audit committees, compensation committees, technology/cyber committees, and compliance committees may all receive partially overlapping materials. Model risk can appear in capital, stress testing, fair lending, AML, fraud, and AI reports. Third-party risk can appear in cyber, consumer compliance, operational resilience, and affiliate-management reports.</w:t>
      </w:r>
    </w:p>
    <w:p>
      <w:pPr>
        <w:pStyle w:val="Heading2"/>
      </w:pPr>
      <w:r>
        <w:rPr>
          <w:b w:val="0"/>
          <w:i w:val="0"/>
        </w:rPr>
        <w:t>4. Ambiguous board-management boundary</w:t>
      </w:r>
    </w:p>
    <w:p>
      <w:r>
        <w:rPr>
          <w:b w:val="0"/>
          <w:i w:val="0"/>
        </w:rPr>
        <w:t>Several sources try to distinguish oversight from management execution, but many obligations are written as program-approval requirements. Boards are therefore incentivized to review detailed documents to create an evidentiary record, even when the details are operational rather than strategic.</w:t>
      </w:r>
    </w:p>
    <w:p>
      <w:pPr>
        <w:pStyle w:val="Heading2"/>
      </w:pPr>
      <w:r>
        <w:rPr>
          <w:b w:val="0"/>
          <w:i w:val="0"/>
        </w:rPr>
        <w:t>5. Inconsistent independence vocabulary</w:t>
      </w:r>
    </w:p>
    <w:p>
      <w:r>
        <w:rPr>
          <w:b w:val="0"/>
          <w:i w:val="0"/>
        </w:rPr>
        <w:t>Risk committee independence, audit committee outside-director status, OCC independent-director expectations, and general independent judgment standards are not harmonized. This creates legal interpretive friction and complicates board composition planning.</w:t>
      </w:r>
    </w:p>
    <w:p>
      <w:pPr>
        <w:pStyle w:val="Heading2"/>
      </w:pPr>
      <w:r>
        <w:rPr>
          <w:b w:val="0"/>
          <w:i w:val="0"/>
        </w:rPr>
        <w:t>6. Guidance-driven hardening</w:t>
      </w:r>
    </w:p>
    <w:p>
      <w:r>
        <w:rPr>
          <w:b w:val="0"/>
          <w:i w:val="0"/>
        </w:rPr>
        <w:t>Supervisory guidance and examination procedures do not impose binding requirements, but they harden into de facto board obligations when examiners expect board minutes, packages, committee charters, and periodic reporting to evidence oversight.</w:t>
      </w:r>
    </w:p>
    <w:p>
      <w:pPr>
        <w:pStyle w:val="Heading1"/>
      </w:pPr>
      <w:r>
        <w:rPr>
          <w:b w:val="0"/>
          <w:i w:val="0"/>
        </w:rPr>
        <w:t>Chapter 15 — Reform Taxonomy</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160"/>
            <w:shd w:fill="D9EAF7"/>
            <w:vAlign w:val="center"/>
          </w:tcPr>
          <w:p>
            <w:pPr>
              <w:jc w:val="center"/>
            </w:pPr>
            <w:r>
              <w:rPr>
                <w:b/>
                <w:sz w:val="16"/>
              </w:rPr>
              <w:t>Reform lever</w:t>
            </w:r>
          </w:p>
        </w:tc>
        <w:tc>
          <w:tcPr>
            <w:tcW w:type="dxa" w:w="4968"/>
            <w:shd w:fill="D9EAF7"/>
            <w:vAlign w:val="center"/>
          </w:tcPr>
          <w:p>
            <w:pPr>
              <w:jc w:val="center"/>
            </w:pPr>
            <w:r>
              <w:rPr>
                <w:b/>
                <w:sz w:val="16"/>
              </w:rPr>
              <w:t>Description</w:t>
            </w:r>
          </w:p>
        </w:tc>
        <w:tc>
          <w:tcPr>
            <w:tcW w:type="dxa" w:w="3168"/>
            <w:shd w:fill="D9EAF7"/>
            <w:vAlign w:val="center"/>
          </w:tcPr>
          <w:p>
            <w:pPr>
              <w:jc w:val="center"/>
            </w:pPr>
            <w:r>
              <w:rPr>
                <w:b/>
                <w:sz w:val="16"/>
              </w:rPr>
              <w:t>Most relevant domains</w:t>
            </w:r>
          </w:p>
        </w:tc>
      </w:tr>
      <w:tr>
        <w:tc>
          <w:tcPr>
            <w:tcW w:type="dxa" w:w="2160"/>
            <w:vAlign w:val="top"/>
          </w:tcPr>
          <w:p>
            <w:r>
              <w:rPr>
                <w:sz w:val="14"/>
              </w:rPr>
              <w:t>De-duplicate approvals</w:t>
            </w:r>
          </w:p>
        </w:tc>
        <w:tc>
          <w:tcPr>
            <w:tcW w:type="dxa" w:w="4968"/>
            <w:vAlign w:val="top"/>
          </w:tcPr>
          <w:p>
            <w:r>
              <w:rPr>
                <w:sz w:val="14"/>
              </w:rPr>
              <w:t>Permit one enterprise board or committee approval to satisfy substantially similar BHC and IDI expectations, subject to IDI-specific annex and minutes.</w:t>
            </w:r>
          </w:p>
        </w:tc>
        <w:tc>
          <w:tcPr>
            <w:tcW w:type="dxa" w:w="3168"/>
            <w:vAlign w:val="top"/>
          </w:tcPr>
          <w:p>
            <w:r>
              <w:rPr>
                <w:sz w:val="14"/>
              </w:rPr>
              <w:t>Resolution planning, liquidity, risk appetite, information security.</w:t>
            </w:r>
          </w:p>
        </w:tc>
      </w:tr>
      <w:tr>
        <w:tc>
          <w:tcPr>
            <w:tcW w:type="dxa" w:w="2160"/>
            <w:vAlign w:val="top"/>
          </w:tcPr>
          <w:p>
            <w:r>
              <w:rPr>
                <w:sz w:val="14"/>
              </w:rPr>
              <w:t>Separate approval from oversight</w:t>
            </w:r>
          </w:p>
        </w:tc>
        <w:tc>
          <w:tcPr>
            <w:tcW w:type="dxa" w:w="4968"/>
            <w:vAlign w:val="top"/>
          </w:tcPr>
          <w:p>
            <w:r>
              <w:rPr>
                <w:sz w:val="14"/>
              </w:rPr>
              <w:t>Identify which documents genuinely require board approval and which require board visibility or exception reporting only.</w:t>
            </w:r>
          </w:p>
        </w:tc>
        <w:tc>
          <w:tcPr>
            <w:tcW w:type="dxa" w:w="3168"/>
            <w:vAlign w:val="top"/>
          </w:tcPr>
          <w:p>
            <w:r>
              <w:rPr>
                <w:sz w:val="14"/>
              </w:rPr>
              <w:t>BSA program, liquidity policies, cyber program, TPRM policies.</w:t>
            </w:r>
          </w:p>
        </w:tc>
      </w:tr>
      <w:tr>
        <w:tc>
          <w:tcPr>
            <w:tcW w:type="dxa" w:w="2160"/>
            <w:vAlign w:val="top"/>
          </w:tcPr>
          <w:p>
            <w:r>
              <w:rPr>
                <w:sz w:val="14"/>
              </w:rPr>
              <w:t>Harmonize independence terminology</w:t>
            </w:r>
          </w:p>
        </w:tc>
        <w:tc>
          <w:tcPr>
            <w:tcW w:type="dxa" w:w="4968"/>
            <w:vAlign w:val="top"/>
          </w:tcPr>
          <w:p>
            <w:r>
              <w:rPr>
                <w:sz w:val="14"/>
              </w:rPr>
              <w:t>Create a cross-agency director-status glossary distinguishing outside, independent of management, exchange-independent, independent judgment, and expertise.</w:t>
            </w:r>
          </w:p>
        </w:tc>
        <w:tc>
          <w:tcPr>
            <w:tcW w:type="dxa" w:w="3168"/>
            <w:vAlign w:val="top"/>
          </w:tcPr>
          <w:p>
            <w:r>
              <w:rPr>
                <w:sz w:val="14"/>
              </w:rPr>
              <w:t>Risk committee, audit committee, OCC appendix D.</w:t>
            </w:r>
          </w:p>
        </w:tc>
      </w:tr>
      <w:tr>
        <w:tc>
          <w:tcPr>
            <w:tcW w:type="dxa" w:w="2160"/>
            <w:vAlign w:val="top"/>
          </w:tcPr>
          <w:p>
            <w:r>
              <w:rPr>
                <w:sz w:val="14"/>
              </w:rPr>
              <w:t>Adopt board reporting calendars</w:t>
            </w:r>
          </w:p>
        </w:tc>
        <w:tc>
          <w:tcPr>
            <w:tcW w:type="dxa" w:w="4968"/>
            <w:vAlign w:val="top"/>
          </w:tcPr>
          <w:p>
            <w:r>
              <w:rPr>
                <w:sz w:val="14"/>
              </w:rPr>
              <w:t>Encourage firms to maintain annual board regulatory calendars that consolidate related obligations.</w:t>
            </w:r>
          </w:p>
        </w:tc>
        <w:tc>
          <w:tcPr>
            <w:tcW w:type="dxa" w:w="3168"/>
            <w:vAlign w:val="top"/>
          </w:tcPr>
          <w:p>
            <w:r>
              <w:rPr>
                <w:sz w:val="14"/>
              </w:rPr>
              <w:t>Capital/liquidity/resolution/cyber/BSA/consumer compliance.</w:t>
            </w:r>
          </w:p>
        </w:tc>
      </w:tr>
      <w:tr>
        <w:tc>
          <w:tcPr>
            <w:tcW w:type="dxa" w:w="2160"/>
            <w:vAlign w:val="top"/>
          </w:tcPr>
          <w:p>
            <w:r>
              <w:rPr>
                <w:sz w:val="14"/>
              </w:rPr>
              <w:t>Use materiality thresholds</w:t>
            </w:r>
          </w:p>
        </w:tc>
        <w:tc>
          <w:tcPr>
            <w:tcW w:type="dxa" w:w="4968"/>
            <w:vAlign w:val="top"/>
          </w:tcPr>
          <w:p>
            <w:r>
              <w:rPr>
                <w:sz w:val="14"/>
              </w:rPr>
              <w:t>Limit board reporting to material risks, critical activities, significant changes, and unresolved control weaknesses.</w:t>
            </w:r>
          </w:p>
        </w:tc>
        <w:tc>
          <w:tcPr>
            <w:tcW w:type="dxa" w:w="3168"/>
            <w:vAlign w:val="top"/>
          </w:tcPr>
          <w:p>
            <w:r>
              <w:rPr>
                <w:sz w:val="14"/>
              </w:rPr>
              <w:t>TPRM, model risk, consumer compliance, cyber.</w:t>
            </w:r>
          </w:p>
        </w:tc>
      </w:tr>
      <w:tr>
        <w:tc>
          <w:tcPr>
            <w:tcW w:type="dxa" w:w="2160"/>
            <w:vAlign w:val="top"/>
          </w:tcPr>
          <w:p>
            <w:r>
              <w:rPr>
                <w:sz w:val="14"/>
              </w:rPr>
              <w:t>Clarify subsidiary-board reliance</w:t>
            </w:r>
          </w:p>
        </w:tc>
        <w:tc>
          <w:tcPr>
            <w:tcW w:type="dxa" w:w="4968"/>
            <w:vAlign w:val="top"/>
          </w:tcPr>
          <w:p>
            <w:r>
              <w:rPr>
                <w:sz w:val="14"/>
              </w:rPr>
              <w:t>Allow IDI boards to rely on parent board committees for enterprise functions while preserving legal-entity accountability.</w:t>
            </w:r>
          </w:p>
        </w:tc>
        <w:tc>
          <w:tcPr>
            <w:tcW w:type="dxa" w:w="3168"/>
            <w:vAlign w:val="top"/>
          </w:tcPr>
          <w:p>
            <w:r>
              <w:rPr>
                <w:sz w:val="14"/>
              </w:rPr>
              <w:t>IDI resolution, OCC heightened standards, information security.</w:t>
            </w:r>
          </w:p>
        </w:tc>
      </w:tr>
      <w:tr>
        <w:tc>
          <w:tcPr>
            <w:tcW w:type="dxa" w:w="2160"/>
            <w:vAlign w:val="top"/>
          </w:tcPr>
          <w:p>
            <w:r>
              <w:rPr>
                <w:sz w:val="14"/>
              </w:rPr>
              <w:t>Convert some approvals to certifications</w:t>
            </w:r>
          </w:p>
        </w:tc>
        <w:tc>
          <w:tcPr>
            <w:tcW w:type="dxa" w:w="4968"/>
            <w:vAlign w:val="top"/>
          </w:tcPr>
          <w:p>
            <w:r>
              <w:rPr>
                <w:sz w:val="14"/>
              </w:rPr>
              <w:t>For stable programs, allow management certification with board risk committee review of exceptions and material changes.</w:t>
            </w:r>
          </w:p>
        </w:tc>
        <w:tc>
          <w:tcPr>
            <w:tcW w:type="dxa" w:w="3168"/>
            <w:vAlign w:val="top"/>
          </w:tcPr>
          <w:p>
            <w:r>
              <w:rPr>
                <w:sz w:val="14"/>
              </w:rPr>
              <w:t>Information-security program, TPRM policy, non-material BSA procedural updates.</w:t>
            </w:r>
          </w:p>
        </w:tc>
      </w:tr>
      <w:tr>
        <w:tc>
          <w:tcPr>
            <w:tcW w:type="dxa" w:w="2160"/>
            <w:vAlign w:val="top"/>
          </w:tcPr>
          <w:p>
            <w:r>
              <w:rPr>
                <w:sz w:val="14"/>
              </w:rPr>
              <w:t>Retire obsolete guidance</w:t>
            </w:r>
          </w:p>
        </w:tc>
        <w:tc>
          <w:tcPr>
            <w:tcW w:type="dxa" w:w="4968"/>
            <w:vAlign w:val="top"/>
          </w:tcPr>
          <w:p>
            <w:r>
              <w:rPr>
                <w:sz w:val="14"/>
              </w:rPr>
              <w:t>Continue the OCC appendix E approach by identifying outdated, redundant, or superseded board obligations.</w:t>
            </w:r>
          </w:p>
        </w:tc>
        <w:tc>
          <w:tcPr>
            <w:tcW w:type="dxa" w:w="3168"/>
            <w:vAlign w:val="top"/>
          </w:tcPr>
          <w:p>
            <w:r>
              <w:rPr>
                <w:sz w:val="14"/>
              </w:rPr>
              <w:t>Recovery planning and older supervisory letters.</w:t>
            </w:r>
          </w:p>
        </w:tc>
      </w:tr>
    </w:tbl>
    <w:p/>
    <w:p>
      <w:pPr>
        <w:pStyle w:val="Heading1"/>
      </w:pPr>
      <w:r>
        <w:rPr>
          <w:b w:val="0"/>
          <w:i w:val="0"/>
        </w:rPr>
        <w:t>Appendix A — Source Register</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016"/>
            <w:shd w:fill="D9EAF7"/>
            <w:vAlign w:val="center"/>
          </w:tcPr>
          <w:p>
            <w:pPr>
              <w:jc w:val="center"/>
            </w:pPr>
            <w:r>
              <w:rPr>
                <w:b/>
                <w:sz w:val="16"/>
              </w:rPr>
              <w:t>Citation</w:t>
            </w:r>
          </w:p>
        </w:tc>
        <w:tc>
          <w:tcPr>
            <w:tcW w:type="dxa" w:w="3600"/>
            <w:shd w:fill="D9EAF7"/>
            <w:vAlign w:val="center"/>
          </w:tcPr>
          <w:p>
            <w:pPr>
              <w:jc w:val="center"/>
            </w:pPr>
            <w:r>
              <w:rPr>
                <w:b/>
                <w:sz w:val="16"/>
              </w:rPr>
              <w:t>Description</w:t>
            </w:r>
          </w:p>
        </w:tc>
        <w:tc>
          <w:tcPr>
            <w:tcW w:type="dxa" w:w="5184"/>
            <w:shd w:fill="D9EAF7"/>
            <w:vAlign w:val="center"/>
          </w:tcPr>
          <w:p>
            <w:pPr>
              <w:jc w:val="center"/>
            </w:pPr>
            <w:r>
              <w:rPr>
                <w:b/>
                <w:sz w:val="16"/>
              </w:rPr>
              <w:t>Official URL</w:t>
            </w:r>
          </w:p>
        </w:tc>
      </w:tr>
      <w:tr>
        <w:tc>
          <w:tcPr>
            <w:tcW w:type="dxa" w:w="2016"/>
            <w:vAlign w:val="top"/>
          </w:tcPr>
          <w:p>
            <w:r>
              <w:rPr>
                <w:sz w:val="14"/>
              </w:rPr>
              <w:t>12 CFR 252.33</w:t>
            </w:r>
          </w:p>
        </w:tc>
        <w:tc>
          <w:tcPr>
            <w:tcW w:type="dxa" w:w="3600"/>
            <w:vAlign w:val="top"/>
          </w:tcPr>
          <w:p>
            <w:r>
              <w:rPr>
                <w:sz w:val="14"/>
              </w:rPr>
              <w:t>Risk-management and risk committee requirements</w:t>
            </w:r>
          </w:p>
        </w:tc>
        <w:tc>
          <w:tcPr>
            <w:tcW w:type="dxa" w:w="5184"/>
            <w:vAlign w:val="top"/>
          </w:tcPr>
          <w:p>
            <w:r>
              <w:rPr>
                <w:sz w:val="14"/>
              </w:rPr>
              <w:t>https://www.ecfr.gov/current/title-12/chapter-II/subchapter-A/part-252/subpart-D/section-252.33</w:t>
            </w:r>
          </w:p>
        </w:tc>
      </w:tr>
      <w:tr>
        <w:tc>
          <w:tcPr>
            <w:tcW w:type="dxa" w:w="2016"/>
            <w:vAlign w:val="top"/>
          </w:tcPr>
          <w:p>
            <w:r>
              <w:rPr>
                <w:sz w:val="14"/>
              </w:rPr>
              <w:t>12 CFR 252.34</w:t>
            </w:r>
          </w:p>
        </w:tc>
        <w:tc>
          <w:tcPr>
            <w:tcW w:type="dxa" w:w="3600"/>
            <w:vAlign w:val="top"/>
          </w:tcPr>
          <w:p>
            <w:r>
              <w:rPr>
                <w:sz w:val="14"/>
              </w:rPr>
              <w:t>Liquidity risk-management requirements</w:t>
            </w:r>
          </w:p>
        </w:tc>
        <w:tc>
          <w:tcPr>
            <w:tcW w:type="dxa" w:w="5184"/>
            <w:vAlign w:val="top"/>
          </w:tcPr>
          <w:p>
            <w:r>
              <w:rPr>
                <w:sz w:val="14"/>
              </w:rPr>
              <w:t>https://www.ecfr.gov/current/title-12/chapter-II/subchapter-A/part-252/subpart-D/section-252.34</w:t>
            </w:r>
          </w:p>
        </w:tc>
      </w:tr>
      <w:tr>
        <w:tc>
          <w:tcPr>
            <w:tcW w:type="dxa" w:w="2016"/>
            <w:vAlign w:val="top"/>
          </w:tcPr>
          <w:p>
            <w:r>
              <w:rPr>
                <w:sz w:val="14"/>
              </w:rPr>
              <w:t>12 CFR 252.35</w:t>
            </w:r>
          </w:p>
        </w:tc>
        <w:tc>
          <w:tcPr>
            <w:tcW w:type="dxa" w:w="3600"/>
            <w:vAlign w:val="top"/>
          </w:tcPr>
          <w:p>
            <w:r>
              <w:rPr>
                <w:sz w:val="14"/>
              </w:rPr>
              <w:t>Liquidity stress testing and buffer requirements</w:t>
            </w:r>
          </w:p>
        </w:tc>
        <w:tc>
          <w:tcPr>
            <w:tcW w:type="dxa" w:w="5184"/>
            <w:vAlign w:val="top"/>
          </w:tcPr>
          <w:p>
            <w:r>
              <w:rPr>
                <w:sz w:val="14"/>
              </w:rPr>
              <w:t>https://www.ecfr.gov/current/title-12/chapter-II/subchapter-A/part-252/subpart-D/section-252.35</w:t>
            </w:r>
          </w:p>
        </w:tc>
      </w:tr>
      <w:tr>
        <w:tc>
          <w:tcPr>
            <w:tcW w:type="dxa" w:w="2016"/>
            <w:vAlign w:val="top"/>
          </w:tcPr>
          <w:p>
            <w:r>
              <w:rPr>
                <w:sz w:val="14"/>
              </w:rPr>
              <w:t>12 CFR 225.8</w:t>
            </w:r>
          </w:p>
        </w:tc>
        <w:tc>
          <w:tcPr>
            <w:tcW w:type="dxa" w:w="3600"/>
            <w:vAlign w:val="top"/>
          </w:tcPr>
          <w:p>
            <w:r>
              <w:rPr>
                <w:sz w:val="14"/>
              </w:rPr>
              <w:t>Capital planning and stress capital buffer requirement</w:t>
            </w:r>
          </w:p>
        </w:tc>
        <w:tc>
          <w:tcPr>
            <w:tcW w:type="dxa" w:w="5184"/>
            <w:vAlign w:val="top"/>
          </w:tcPr>
          <w:p>
            <w:r>
              <w:rPr>
                <w:sz w:val="14"/>
              </w:rPr>
              <w:t>https://www.ecfr.gov/current/title-12/chapter-II/subchapter-A/part-225/subpart-A/section-225.8</w:t>
            </w:r>
          </w:p>
        </w:tc>
      </w:tr>
      <w:tr>
        <w:tc>
          <w:tcPr>
            <w:tcW w:type="dxa" w:w="2016"/>
            <w:vAlign w:val="top"/>
          </w:tcPr>
          <w:p>
            <w:r>
              <w:rPr>
                <w:sz w:val="14"/>
              </w:rPr>
              <w:t>12 CFR part 217</w:t>
            </w:r>
          </w:p>
        </w:tc>
        <w:tc>
          <w:tcPr>
            <w:tcW w:type="dxa" w:w="3600"/>
            <w:vAlign w:val="top"/>
          </w:tcPr>
          <w:p>
            <w:r>
              <w:rPr>
                <w:sz w:val="14"/>
              </w:rPr>
              <w:t>Capital adequacy of BHCs, SLHCs, and state member banks</w:t>
            </w:r>
          </w:p>
        </w:tc>
        <w:tc>
          <w:tcPr>
            <w:tcW w:type="dxa" w:w="5184"/>
            <w:vAlign w:val="top"/>
          </w:tcPr>
          <w:p>
            <w:r>
              <w:rPr>
                <w:sz w:val="14"/>
              </w:rPr>
              <w:t>https://www.ecfr.gov/current/title-12/chapter-II/subchapter-A/part-217</w:t>
            </w:r>
          </w:p>
        </w:tc>
      </w:tr>
      <w:tr>
        <w:tc>
          <w:tcPr>
            <w:tcW w:type="dxa" w:w="2016"/>
            <w:vAlign w:val="top"/>
          </w:tcPr>
          <w:p>
            <w:r>
              <w:rPr>
                <w:sz w:val="14"/>
              </w:rPr>
              <w:t>12 CFR part 243</w:t>
            </w:r>
          </w:p>
        </w:tc>
        <w:tc>
          <w:tcPr>
            <w:tcW w:type="dxa" w:w="3600"/>
            <w:vAlign w:val="top"/>
          </w:tcPr>
          <w:p>
            <w:r>
              <w:rPr>
                <w:sz w:val="14"/>
              </w:rPr>
              <w:t>Resolution plans, Regulation QQ</w:t>
            </w:r>
          </w:p>
        </w:tc>
        <w:tc>
          <w:tcPr>
            <w:tcW w:type="dxa" w:w="5184"/>
            <w:vAlign w:val="top"/>
          </w:tcPr>
          <w:p>
            <w:r>
              <w:rPr>
                <w:sz w:val="14"/>
              </w:rPr>
              <w:t>https://www.ecfr.gov/current/title-12/chapter-II/subchapter-A/part-243</w:t>
            </w:r>
          </w:p>
        </w:tc>
      </w:tr>
      <w:tr>
        <w:tc>
          <w:tcPr>
            <w:tcW w:type="dxa" w:w="2016"/>
            <w:vAlign w:val="top"/>
          </w:tcPr>
          <w:p>
            <w:r>
              <w:rPr>
                <w:sz w:val="14"/>
              </w:rPr>
              <w:t>12 CFR 360.10</w:t>
            </w:r>
          </w:p>
        </w:tc>
        <w:tc>
          <w:tcPr>
            <w:tcW w:type="dxa" w:w="3600"/>
            <w:vAlign w:val="top"/>
          </w:tcPr>
          <w:p>
            <w:r>
              <w:rPr>
                <w:sz w:val="14"/>
              </w:rPr>
              <w:t>Resolution plans required for covered insured depository institutions</w:t>
            </w:r>
          </w:p>
        </w:tc>
        <w:tc>
          <w:tcPr>
            <w:tcW w:type="dxa" w:w="5184"/>
            <w:vAlign w:val="top"/>
          </w:tcPr>
          <w:p>
            <w:r>
              <w:rPr>
                <w:sz w:val="14"/>
              </w:rPr>
              <w:t>https://www.ecfr.gov/current/title-12/chapter-III/subchapter-B/part-360</w:t>
            </w:r>
          </w:p>
        </w:tc>
      </w:tr>
      <w:tr>
        <w:tc>
          <w:tcPr>
            <w:tcW w:type="dxa" w:w="2016"/>
            <w:vAlign w:val="top"/>
          </w:tcPr>
          <w:p>
            <w:r>
              <w:rPr>
                <w:sz w:val="14"/>
              </w:rPr>
              <w:t>12 CFR part 363</w:t>
            </w:r>
          </w:p>
        </w:tc>
        <w:tc>
          <w:tcPr>
            <w:tcW w:type="dxa" w:w="3600"/>
            <w:vAlign w:val="top"/>
          </w:tcPr>
          <w:p>
            <w:r>
              <w:rPr>
                <w:sz w:val="14"/>
              </w:rPr>
              <w:t>Annual independent audits and reporting requirements</w:t>
            </w:r>
          </w:p>
        </w:tc>
        <w:tc>
          <w:tcPr>
            <w:tcW w:type="dxa" w:w="5184"/>
            <w:vAlign w:val="top"/>
          </w:tcPr>
          <w:p>
            <w:r>
              <w:rPr>
                <w:sz w:val="14"/>
              </w:rPr>
              <w:t>https://www.ecfr.gov/current/title-12/chapter-III/subchapter-B/part-363</w:t>
            </w:r>
          </w:p>
        </w:tc>
      </w:tr>
      <w:tr>
        <w:tc>
          <w:tcPr>
            <w:tcW w:type="dxa" w:w="2016"/>
            <w:vAlign w:val="top"/>
          </w:tcPr>
          <w:p>
            <w:r>
              <w:rPr>
                <w:sz w:val="14"/>
              </w:rPr>
              <w:t>12 CFR part 30 appendix D</w:t>
            </w:r>
          </w:p>
        </w:tc>
        <w:tc>
          <w:tcPr>
            <w:tcW w:type="dxa" w:w="3600"/>
            <w:vAlign w:val="top"/>
          </w:tcPr>
          <w:p>
            <w:r>
              <w:rPr>
                <w:sz w:val="14"/>
              </w:rPr>
              <w:t>OCC heightened standards</w:t>
            </w:r>
          </w:p>
        </w:tc>
        <w:tc>
          <w:tcPr>
            <w:tcW w:type="dxa" w:w="5184"/>
            <w:vAlign w:val="top"/>
          </w:tcPr>
          <w:p>
            <w:r>
              <w:rPr>
                <w:sz w:val="14"/>
              </w:rPr>
              <w:t>https://www.ecfr.gov/current/title-12/chapter-I/part-30/appendix-Appendix%20D%20to%20Part%2030</w:t>
            </w:r>
          </w:p>
        </w:tc>
      </w:tr>
      <w:tr>
        <w:tc>
          <w:tcPr>
            <w:tcW w:type="dxa" w:w="2016"/>
            <w:vAlign w:val="top"/>
          </w:tcPr>
          <w:p>
            <w:r>
              <w:rPr>
                <w:sz w:val="14"/>
              </w:rPr>
              <w:t>12 CFR part 30 appendix B</w:t>
            </w:r>
          </w:p>
        </w:tc>
        <w:tc>
          <w:tcPr>
            <w:tcW w:type="dxa" w:w="3600"/>
            <w:vAlign w:val="top"/>
          </w:tcPr>
          <w:p>
            <w:r>
              <w:rPr>
                <w:sz w:val="14"/>
              </w:rPr>
              <w:t>OCC information-security standards</w:t>
            </w:r>
          </w:p>
        </w:tc>
        <w:tc>
          <w:tcPr>
            <w:tcW w:type="dxa" w:w="5184"/>
            <w:vAlign w:val="top"/>
          </w:tcPr>
          <w:p>
            <w:r>
              <w:rPr>
                <w:sz w:val="14"/>
              </w:rPr>
              <w:t>https://www.ecfr.gov/current/title-12/chapter-I/part-30/appendix-Appendix%20B%20to%20Part%2030</w:t>
            </w:r>
          </w:p>
        </w:tc>
      </w:tr>
      <w:tr>
        <w:tc>
          <w:tcPr>
            <w:tcW w:type="dxa" w:w="2016"/>
            <w:vAlign w:val="top"/>
          </w:tcPr>
          <w:p>
            <w:r>
              <w:rPr>
                <w:sz w:val="14"/>
              </w:rPr>
              <w:t>12 CFR part 364 appendix B</w:t>
            </w:r>
          </w:p>
        </w:tc>
        <w:tc>
          <w:tcPr>
            <w:tcW w:type="dxa" w:w="3600"/>
            <w:vAlign w:val="top"/>
          </w:tcPr>
          <w:p>
            <w:r>
              <w:rPr>
                <w:sz w:val="14"/>
              </w:rPr>
              <w:t>FDIC information-security standards</w:t>
            </w:r>
          </w:p>
        </w:tc>
        <w:tc>
          <w:tcPr>
            <w:tcW w:type="dxa" w:w="5184"/>
            <w:vAlign w:val="top"/>
          </w:tcPr>
          <w:p>
            <w:r>
              <w:rPr>
                <w:sz w:val="14"/>
              </w:rPr>
              <w:t>https://www.ecfr.gov/current/title-12/chapter-III/subchapter-B/part-364</w:t>
            </w:r>
          </w:p>
        </w:tc>
      </w:tr>
      <w:tr>
        <w:tc>
          <w:tcPr>
            <w:tcW w:type="dxa" w:w="2016"/>
            <w:vAlign w:val="top"/>
          </w:tcPr>
          <w:p>
            <w:r>
              <w:rPr>
                <w:sz w:val="14"/>
              </w:rPr>
              <w:t>12 CFR 21.21</w:t>
            </w:r>
          </w:p>
        </w:tc>
        <w:tc>
          <w:tcPr>
            <w:tcW w:type="dxa" w:w="3600"/>
            <w:vAlign w:val="top"/>
          </w:tcPr>
          <w:p>
            <w:r>
              <w:rPr>
                <w:sz w:val="14"/>
              </w:rPr>
              <w:t>OCC BSA compliance program</w:t>
            </w:r>
          </w:p>
        </w:tc>
        <w:tc>
          <w:tcPr>
            <w:tcW w:type="dxa" w:w="5184"/>
            <w:vAlign w:val="top"/>
          </w:tcPr>
          <w:p>
            <w:r>
              <w:rPr>
                <w:sz w:val="14"/>
              </w:rPr>
              <w:t>https://www.ecfr.gov/current/title-12/chapter-I/part-21/subpart-C/section-21.21</w:t>
            </w:r>
          </w:p>
        </w:tc>
      </w:tr>
      <w:tr>
        <w:tc>
          <w:tcPr>
            <w:tcW w:type="dxa" w:w="2016"/>
            <w:vAlign w:val="top"/>
          </w:tcPr>
          <w:p>
            <w:r>
              <w:rPr>
                <w:sz w:val="14"/>
              </w:rPr>
              <w:t>12 CFR 208.63</w:t>
            </w:r>
          </w:p>
        </w:tc>
        <w:tc>
          <w:tcPr>
            <w:tcW w:type="dxa" w:w="3600"/>
            <w:vAlign w:val="top"/>
          </w:tcPr>
          <w:p>
            <w:r>
              <w:rPr>
                <w:sz w:val="14"/>
              </w:rPr>
              <w:t>Federal Reserve BSA compliance program</w:t>
            </w:r>
          </w:p>
        </w:tc>
        <w:tc>
          <w:tcPr>
            <w:tcW w:type="dxa" w:w="5184"/>
            <w:vAlign w:val="top"/>
          </w:tcPr>
          <w:p>
            <w:r>
              <w:rPr>
                <w:sz w:val="14"/>
              </w:rPr>
              <w:t>https://www.ecfr.gov/current/title-12/chapter-II/subchapter-A/part-208/subpart-F/section-208.63</w:t>
            </w:r>
          </w:p>
        </w:tc>
      </w:tr>
      <w:tr>
        <w:tc>
          <w:tcPr>
            <w:tcW w:type="dxa" w:w="2016"/>
            <w:vAlign w:val="top"/>
          </w:tcPr>
          <w:p>
            <w:r>
              <w:rPr>
                <w:sz w:val="14"/>
              </w:rPr>
              <w:t>12 CFR 326.8</w:t>
            </w:r>
          </w:p>
        </w:tc>
        <w:tc>
          <w:tcPr>
            <w:tcW w:type="dxa" w:w="3600"/>
            <w:vAlign w:val="top"/>
          </w:tcPr>
          <w:p>
            <w:r>
              <w:rPr>
                <w:sz w:val="14"/>
              </w:rPr>
              <w:t>FDIC BSA compliance program</w:t>
            </w:r>
          </w:p>
        </w:tc>
        <w:tc>
          <w:tcPr>
            <w:tcW w:type="dxa" w:w="5184"/>
            <w:vAlign w:val="top"/>
          </w:tcPr>
          <w:p>
            <w:r>
              <w:rPr>
                <w:sz w:val="14"/>
              </w:rPr>
              <w:t>https://www.ecfr.gov/current/title-12/chapter-III/subchapter-B/part-326/subpart-B/section-326.8</w:t>
            </w:r>
          </w:p>
        </w:tc>
      </w:tr>
      <w:tr>
        <w:tc>
          <w:tcPr>
            <w:tcW w:type="dxa" w:w="2016"/>
            <w:vAlign w:val="top"/>
          </w:tcPr>
          <w:p>
            <w:r>
              <w:rPr>
                <w:sz w:val="14"/>
              </w:rPr>
              <w:t>SR 15-18</w:t>
            </w:r>
          </w:p>
        </w:tc>
        <w:tc>
          <w:tcPr>
            <w:tcW w:type="dxa" w:w="3600"/>
            <w:vAlign w:val="top"/>
          </w:tcPr>
          <w:p>
            <w:r>
              <w:rPr>
                <w:sz w:val="14"/>
              </w:rPr>
              <w:t>Capital planning expectations for Category I firms</w:t>
            </w:r>
          </w:p>
        </w:tc>
        <w:tc>
          <w:tcPr>
            <w:tcW w:type="dxa" w:w="5184"/>
            <w:vAlign w:val="top"/>
          </w:tcPr>
          <w:p>
            <w:r>
              <w:rPr>
                <w:sz w:val="14"/>
              </w:rPr>
              <w:t>https://www.federalreserve.gov/supervisionreg/srletters/sr1518.htm</w:t>
            </w:r>
          </w:p>
        </w:tc>
      </w:tr>
      <w:tr>
        <w:tc>
          <w:tcPr>
            <w:tcW w:type="dxa" w:w="2016"/>
            <w:vAlign w:val="top"/>
          </w:tcPr>
          <w:p>
            <w:r>
              <w:rPr>
                <w:sz w:val="14"/>
              </w:rPr>
              <w:t>SR 14-8</w:t>
            </w:r>
          </w:p>
        </w:tc>
        <w:tc>
          <w:tcPr>
            <w:tcW w:type="dxa" w:w="3600"/>
            <w:vAlign w:val="top"/>
          </w:tcPr>
          <w:p>
            <w:r>
              <w:rPr>
                <w:sz w:val="14"/>
              </w:rPr>
              <w:t>Consolidated recovery planning for certain large domestic BHCs</w:t>
            </w:r>
          </w:p>
        </w:tc>
        <w:tc>
          <w:tcPr>
            <w:tcW w:type="dxa" w:w="5184"/>
            <w:vAlign w:val="top"/>
          </w:tcPr>
          <w:p>
            <w:r>
              <w:rPr>
                <w:sz w:val="14"/>
              </w:rPr>
              <w:t>https://www.federalreserve.gov/supervisionreg/srletters/sr1408.htm</w:t>
            </w:r>
          </w:p>
        </w:tc>
      </w:tr>
      <w:tr>
        <w:tc>
          <w:tcPr>
            <w:tcW w:type="dxa" w:w="2016"/>
            <w:vAlign w:val="top"/>
          </w:tcPr>
          <w:p>
            <w:r>
              <w:rPr>
                <w:sz w:val="14"/>
              </w:rPr>
              <w:t>SR 21-3 / CA 21-1</w:t>
            </w:r>
          </w:p>
        </w:tc>
        <w:tc>
          <w:tcPr>
            <w:tcW w:type="dxa" w:w="3600"/>
            <w:vAlign w:val="top"/>
          </w:tcPr>
          <w:p>
            <w:r>
              <w:rPr>
                <w:sz w:val="14"/>
              </w:rPr>
              <w:t>Supervisory guidance on board effectiveness</w:t>
            </w:r>
          </w:p>
        </w:tc>
        <w:tc>
          <w:tcPr>
            <w:tcW w:type="dxa" w:w="5184"/>
            <w:vAlign w:val="top"/>
          </w:tcPr>
          <w:p>
            <w:r>
              <w:rPr>
                <w:sz w:val="14"/>
              </w:rPr>
              <w:t>https://www.federalreserve.gov/frrs/guidance/supervisory-guidance-on-board-of-directors-effectiveness.htm</w:t>
            </w:r>
          </w:p>
        </w:tc>
      </w:tr>
      <w:tr>
        <w:tc>
          <w:tcPr>
            <w:tcW w:type="dxa" w:w="2016"/>
            <w:vAlign w:val="top"/>
          </w:tcPr>
          <w:p>
            <w:r>
              <w:rPr>
                <w:sz w:val="14"/>
              </w:rPr>
              <w:t>SR 23-4</w:t>
            </w:r>
          </w:p>
        </w:tc>
        <w:tc>
          <w:tcPr>
            <w:tcW w:type="dxa" w:w="3600"/>
            <w:vAlign w:val="top"/>
          </w:tcPr>
          <w:p>
            <w:r>
              <w:rPr>
                <w:sz w:val="14"/>
              </w:rPr>
              <w:t>Interagency guidance on third-party relationships</w:t>
            </w:r>
          </w:p>
        </w:tc>
        <w:tc>
          <w:tcPr>
            <w:tcW w:type="dxa" w:w="5184"/>
            <w:vAlign w:val="top"/>
          </w:tcPr>
          <w:p>
            <w:r>
              <w:rPr>
                <w:sz w:val="14"/>
              </w:rPr>
              <w:t>https://www.federalreserve.gov/supervisionreg/srletters/sr2304.htm</w:t>
            </w:r>
          </w:p>
        </w:tc>
      </w:tr>
      <w:tr>
        <w:tc>
          <w:tcPr>
            <w:tcW w:type="dxa" w:w="2016"/>
            <w:vAlign w:val="top"/>
          </w:tcPr>
          <w:p>
            <w:r>
              <w:rPr>
                <w:sz w:val="14"/>
              </w:rPr>
              <w:t>SR 26-2</w:t>
            </w:r>
          </w:p>
        </w:tc>
        <w:tc>
          <w:tcPr>
            <w:tcW w:type="dxa" w:w="3600"/>
            <w:vAlign w:val="top"/>
          </w:tcPr>
          <w:p>
            <w:r>
              <w:rPr>
                <w:sz w:val="14"/>
              </w:rPr>
              <w:t>Revised guidance on model risk management</w:t>
            </w:r>
          </w:p>
        </w:tc>
        <w:tc>
          <w:tcPr>
            <w:tcW w:type="dxa" w:w="5184"/>
            <w:vAlign w:val="top"/>
          </w:tcPr>
          <w:p>
            <w:r>
              <w:rPr>
                <w:sz w:val="14"/>
              </w:rPr>
              <w:t>https://www.federalreserve.gov/supervisionreg/srletters/SR2602.htm</w:t>
            </w:r>
          </w:p>
        </w:tc>
      </w:tr>
      <w:tr>
        <w:tc>
          <w:tcPr>
            <w:tcW w:type="dxa" w:w="2016"/>
            <w:vAlign w:val="top"/>
          </w:tcPr>
          <w:p>
            <w:r>
              <w:rPr>
                <w:sz w:val="14"/>
              </w:rPr>
              <w:t>OCC Bulletin 2010-24</w:t>
            </w:r>
          </w:p>
        </w:tc>
        <w:tc>
          <w:tcPr>
            <w:tcW w:type="dxa" w:w="3600"/>
            <w:vAlign w:val="top"/>
          </w:tcPr>
          <w:p>
            <w:r>
              <w:rPr>
                <w:sz w:val="14"/>
              </w:rPr>
              <w:t>Sound incentive compensation guidance</w:t>
            </w:r>
          </w:p>
        </w:tc>
        <w:tc>
          <w:tcPr>
            <w:tcW w:type="dxa" w:w="5184"/>
            <w:vAlign w:val="top"/>
          </w:tcPr>
          <w:p>
            <w:r>
              <w:rPr>
                <w:sz w:val="14"/>
              </w:rPr>
              <w:t>https://www.occ.gov/news-issuances/bulletins/2010/bulletin-2010-24.html</w:t>
            </w:r>
          </w:p>
        </w:tc>
      </w:tr>
      <w:tr>
        <w:tc>
          <w:tcPr>
            <w:tcW w:type="dxa" w:w="2016"/>
            <w:vAlign w:val="top"/>
          </w:tcPr>
          <w:p>
            <w:r>
              <w:rPr>
                <w:sz w:val="14"/>
              </w:rPr>
              <w:t>CFPB CMR procedures</w:t>
            </w:r>
          </w:p>
        </w:tc>
        <w:tc>
          <w:tcPr>
            <w:tcW w:type="dxa" w:w="3600"/>
            <w:vAlign w:val="top"/>
          </w:tcPr>
          <w:p>
            <w:r>
              <w:rPr>
                <w:sz w:val="14"/>
              </w:rPr>
              <w:t>Compliance management review examination procedures</w:t>
            </w:r>
          </w:p>
        </w:tc>
        <w:tc>
          <w:tcPr>
            <w:tcW w:type="dxa" w:w="5184"/>
            <w:vAlign w:val="top"/>
          </w:tcPr>
          <w:p>
            <w:r>
              <w:rPr>
                <w:sz w:val="14"/>
              </w:rPr>
              <w:t>https://www.consumerfinance.gov/compliance/supervision-examinations/compliance-management-review-examination-procedures/</w:t>
            </w:r>
          </w:p>
        </w:tc>
      </w:tr>
      <w:tr>
        <w:tc>
          <w:tcPr>
            <w:tcW w:type="dxa" w:w="2016"/>
            <w:vAlign w:val="top"/>
          </w:tcPr>
          <w:p>
            <w:r>
              <w:rPr>
                <w:sz w:val="14"/>
              </w:rPr>
              <w:t>CFPB CMR-IT procedures</w:t>
            </w:r>
          </w:p>
        </w:tc>
        <w:tc>
          <w:tcPr>
            <w:tcW w:type="dxa" w:w="3600"/>
            <w:vAlign w:val="top"/>
          </w:tcPr>
          <w:p>
            <w:r>
              <w:rPr>
                <w:sz w:val="14"/>
              </w:rPr>
              <w:t>Compliance management review information technology procedures</w:t>
            </w:r>
          </w:p>
        </w:tc>
        <w:tc>
          <w:tcPr>
            <w:tcW w:type="dxa" w:w="5184"/>
            <w:vAlign w:val="top"/>
          </w:tcPr>
          <w:p>
            <w:r>
              <w:rPr>
                <w:sz w:val="14"/>
              </w:rPr>
              <w:t>https://www.consumerfinance.gov/compliance/supervision-examinations/compliance-management-review-information-technology-examination-procedures/</w:t>
            </w:r>
          </w:p>
        </w:tc>
      </w:tr>
    </w:tbl>
    <w:p/>
    <w:p>
      <w:pPr>
        <w:pStyle w:val="Heading1"/>
      </w:pPr>
      <w:r>
        <w:rPr>
          <w:b w:val="0"/>
          <w:i w:val="0"/>
        </w:rPr>
        <w:t>Appendix B — Draft Board Obligation Schema for Further Research</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304"/>
            <w:shd w:fill="D9EAF7"/>
            <w:vAlign w:val="center"/>
          </w:tcPr>
          <w:p>
            <w:pPr>
              <w:jc w:val="center"/>
            </w:pPr>
            <w:r>
              <w:rPr>
                <w:b/>
                <w:sz w:val="16"/>
              </w:rPr>
              <w:t>Field</w:t>
            </w:r>
          </w:p>
        </w:tc>
        <w:tc>
          <w:tcPr>
            <w:tcW w:type="dxa" w:w="8208"/>
            <w:shd w:fill="D9EAF7"/>
            <w:vAlign w:val="center"/>
          </w:tcPr>
          <w:p>
            <w:pPr>
              <w:jc w:val="center"/>
            </w:pPr>
            <w:r>
              <w:rPr>
                <w:b/>
                <w:sz w:val="16"/>
              </w:rPr>
              <w:t>Definition</w:t>
            </w:r>
          </w:p>
        </w:tc>
      </w:tr>
      <w:tr>
        <w:tc>
          <w:tcPr>
            <w:tcW w:type="dxa" w:w="2304"/>
            <w:vAlign w:val="top"/>
          </w:tcPr>
          <w:p>
            <w:r>
              <w:rPr>
                <w:sz w:val="14"/>
              </w:rPr>
              <w:t>Obligation ID</w:t>
            </w:r>
          </w:p>
        </w:tc>
        <w:tc>
          <w:tcPr>
            <w:tcW w:type="dxa" w:w="8208"/>
            <w:vAlign w:val="top"/>
          </w:tcPr>
          <w:p>
            <w:r>
              <w:rPr>
                <w:sz w:val="14"/>
              </w:rPr>
              <w:t>Unique identifier for each duty, e.g., LIQ-001 or BSA-003.</w:t>
            </w:r>
          </w:p>
        </w:tc>
      </w:tr>
      <w:tr>
        <w:tc>
          <w:tcPr>
            <w:tcW w:type="dxa" w:w="2304"/>
            <w:vAlign w:val="top"/>
          </w:tcPr>
          <w:p>
            <w:r>
              <w:rPr>
                <w:sz w:val="14"/>
              </w:rPr>
              <w:t>Legal entity</w:t>
            </w:r>
          </w:p>
        </w:tc>
        <w:tc>
          <w:tcPr>
            <w:tcW w:type="dxa" w:w="8208"/>
            <w:vAlign w:val="top"/>
          </w:tcPr>
          <w:p>
            <w:r>
              <w:rPr>
                <w:sz w:val="14"/>
              </w:rPr>
              <w:t>BHC, national bank, state member bank, state nonmember bank, insured depository institution, covered IDI, covered company.</w:t>
            </w:r>
          </w:p>
        </w:tc>
      </w:tr>
      <w:tr>
        <w:tc>
          <w:tcPr>
            <w:tcW w:type="dxa" w:w="2304"/>
            <w:vAlign w:val="top"/>
          </w:tcPr>
          <w:p>
            <w:r>
              <w:rPr>
                <w:sz w:val="14"/>
              </w:rPr>
              <w:t>Source</w:t>
            </w:r>
          </w:p>
        </w:tc>
        <w:tc>
          <w:tcPr>
            <w:tcW w:type="dxa" w:w="8208"/>
            <w:vAlign w:val="top"/>
          </w:tcPr>
          <w:p>
            <w:r>
              <w:rPr>
                <w:sz w:val="14"/>
              </w:rPr>
              <w:t>Rule, guideline, supervisory guidance, examination procedure, manual, or rating-system factor.</w:t>
            </w:r>
          </w:p>
        </w:tc>
      </w:tr>
      <w:tr>
        <w:tc>
          <w:tcPr>
            <w:tcW w:type="dxa" w:w="2304"/>
            <w:vAlign w:val="top"/>
          </w:tcPr>
          <w:p>
            <w:r>
              <w:rPr>
                <w:sz w:val="14"/>
              </w:rPr>
              <w:t>Legal status</w:t>
            </w:r>
          </w:p>
        </w:tc>
        <w:tc>
          <w:tcPr>
            <w:tcW w:type="dxa" w:w="8208"/>
            <w:vAlign w:val="top"/>
          </w:tcPr>
          <w:p>
            <w:r>
              <w:rPr>
                <w:sz w:val="14"/>
              </w:rPr>
              <w:t>Binding regulation, enforceable guideline, supervisory guidance, nonbinding examination procedure.</w:t>
            </w:r>
          </w:p>
        </w:tc>
      </w:tr>
      <w:tr>
        <w:tc>
          <w:tcPr>
            <w:tcW w:type="dxa" w:w="2304"/>
            <w:vAlign w:val="top"/>
          </w:tcPr>
          <w:p>
            <w:r>
              <w:rPr>
                <w:sz w:val="14"/>
              </w:rPr>
              <w:t>Board actor</w:t>
            </w:r>
          </w:p>
        </w:tc>
        <w:tc>
          <w:tcPr>
            <w:tcW w:type="dxa" w:w="8208"/>
            <w:vAlign w:val="top"/>
          </w:tcPr>
          <w:p>
            <w:r>
              <w:rPr>
                <w:sz w:val="14"/>
              </w:rPr>
              <w:t>Full board, board risk committee, audit committee, compensation committee, governance committee, appropriate committee, management with board reporting.</w:t>
            </w:r>
          </w:p>
        </w:tc>
      </w:tr>
      <w:tr>
        <w:tc>
          <w:tcPr>
            <w:tcW w:type="dxa" w:w="2304"/>
            <w:vAlign w:val="top"/>
          </w:tcPr>
          <w:p>
            <w:r>
              <w:rPr>
                <w:sz w:val="14"/>
              </w:rPr>
              <w:t>Action verb</w:t>
            </w:r>
          </w:p>
        </w:tc>
        <w:tc>
          <w:tcPr>
            <w:tcW w:type="dxa" w:w="8208"/>
            <w:vAlign w:val="top"/>
          </w:tcPr>
          <w:p>
            <w:r>
              <w:rPr>
                <w:sz w:val="14"/>
              </w:rPr>
              <w:t>Approve, review, oversee, receive report, designate, establish, maintain, ensure, monitor, note in minutes.</w:t>
            </w:r>
          </w:p>
        </w:tc>
      </w:tr>
      <w:tr>
        <w:tc>
          <w:tcPr>
            <w:tcW w:type="dxa" w:w="2304"/>
            <w:vAlign w:val="top"/>
          </w:tcPr>
          <w:p>
            <w:r>
              <w:rPr>
                <w:sz w:val="14"/>
              </w:rPr>
              <w:t>Frequency</w:t>
            </w:r>
          </w:p>
        </w:tc>
        <w:tc>
          <w:tcPr>
            <w:tcW w:type="dxa" w:w="8208"/>
            <w:vAlign w:val="top"/>
          </w:tcPr>
          <w:p>
            <w:r>
              <w:rPr>
                <w:sz w:val="14"/>
              </w:rPr>
              <w:t>Annual, quarterly, event-driven, periodic, prior to submission, upon material change.</w:t>
            </w:r>
          </w:p>
        </w:tc>
      </w:tr>
      <w:tr>
        <w:tc>
          <w:tcPr>
            <w:tcW w:type="dxa" w:w="2304"/>
            <w:vAlign w:val="top"/>
          </w:tcPr>
          <w:p>
            <w:r>
              <w:rPr>
                <w:sz w:val="14"/>
              </w:rPr>
              <w:t>Evidence artifact</w:t>
            </w:r>
          </w:p>
        </w:tc>
        <w:tc>
          <w:tcPr>
            <w:tcW w:type="dxa" w:w="8208"/>
            <w:vAlign w:val="top"/>
          </w:tcPr>
          <w:p>
            <w:r>
              <w:rPr>
                <w:sz w:val="14"/>
              </w:rPr>
              <w:t>Minutes, policy approval, board package, committee charter, management report, certification, audit report, remediation tracker.</w:t>
            </w:r>
          </w:p>
        </w:tc>
      </w:tr>
      <w:tr>
        <w:tc>
          <w:tcPr>
            <w:tcW w:type="dxa" w:w="2304"/>
            <w:vAlign w:val="top"/>
          </w:tcPr>
          <w:p>
            <w:r>
              <w:rPr>
                <w:sz w:val="14"/>
              </w:rPr>
              <w:t>Director status</w:t>
            </w:r>
          </w:p>
        </w:tc>
        <w:tc>
          <w:tcPr>
            <w:tcW w:type="dxa" w:w="8208"/>
            <w:vAlign w:val="top"/>
          </w:tcPr>
          <w:p>
            <w:r>
              <w:rPr>
                <w:sz w:val="14"/>
              </w:rPr>
              <w:t>Inside, outside, independent, independent of management, exchange-independent, risk expert, no distinction.</w:t>
            </w:r>
          </w:p>
        </w:tc>
      </w:tr>
      <w:tr>
        <w:tc>
          <w:tcPr>
            <w:tcW w:type="dxa" w:w="2304"/>
            <w:vAlign w:val="top"/>
          </w:tcPr>
          <w:p>
            <w:r>
              <w:rPr>
                <w:sz w:val="14"/>
              </w:rPr>
              <w:t>Overlap cluster</w:t>
            </w:r>
          </w:p>
        </w:tc>
        <w:tc>
          <w:tcPr>
            <w:tcW w:type="dxa" w:w="8208"/>
            <w:vAlign w:val="top"/>
          </w:tcPr>
          <w:p>
            <w:r>
              <w:rPr>
                <w:sz w:val="14"/>
              </w:rPr>
              <w:t>Capital, liquidity, resolution, cyber, TPRM, model, BSA/AML, consumer compliance, audit/internal controls.</w:t>
            </w:r>
          </w:p>
        </w:tc>
      </w:tr>
      <w:tr>
        <w:tc>
          <w:tcPr>
            <w:tcW w:type="dxa" w:w="2304"/>
            <w:vAlign w:val="top"/>
          </w:tcPr>
          <w:p>
            <w:r>
              <w:rPr>
                <w:sz w:val="14"/>
              </w:rPr>
              <w:t>Reform option</w:t>
            </w:r>
          </w:p>
        </w:tc>
        <w:tc>
          <w:tcPr>
            <w:tcW w:type="dxa" w:w="8208"/>
            <w:vAlign w:val="top"/>
          </w:tcPr>
          <w:p>
            <w:r>
              <w:rPr>
                <w:sz w:val="14"/>
              </w:rPr>
              <w:t>Consolidate, delegate, rely, eliminate, clarify, convert to exception reporting, harmonize terminology.</w:t>
            </w:r>
          </w:p>
        </w:tc>
      </w:tr>
    </w:tbl>
    <w:p/>
    <w:p>
      <w:pPr>
        <w:pStyle w:val="Heading1"/>
      </w:pPr>
      <w:r>
        <w:rPr>
          <w:b w:val="0"/>
          <w:i w:val="0"/>
        </w:rPr>
        <w:t>Appendix C — Preliminary Open Issues for Counsel Validation</w:t>
      </w:r>
    </w:p>
    <w:p>
      <w:pPr>
        <w:pStyle w:val="ListBullet"/>
      </w:pPr>
      <w:r>
        <w:t>Confirm current applicability of all Federal Reserve supervisory letters to the specific GSIB parent and subsidiaries, including any letters made inactive or superseded by SR 21-4 supervisory guidance review.</w:t>
      </w:r>
    </w:p>
    <w:p>
      <w:pPr>
        <w:pStyle w:val="ListBullet"/>
      </w:pPr>
      <w:r>
        <w:t>Validate whether any firm-specific commitments, living-will feedback letters, consent orders, or MRAs impose additional board duties not visible in public sources.</w:t>
      </w:r>
    </w:p>
    <w:p>
      <w:pPr>
        <w:pStyle w:val="ListBullet"/>
      </w:pPr>
      <w:r>
        <w:t>Validate charter-specific obligations for each IDI subsidiary, especially where the GSIB owns national banks, federal savings associations, state member banks, state nonmember banks, or uninsured trust entities.</w:t>
      </w:r>
    </w:p>
    <w:p>
      <w:pPr>
        <w:pStyle w:val="ListBullet"/>
      </w:pPr>
      <w:r>
        <w:t>Confirm interaction with SEC, exchange listing, SOX, and Delaware law obligations, which are outside this federal banking inventory but may be practically inseparable from board committee design.</w:t>
      </w:r>
    </w:p>
    <w:p>
      <w:pPr>
        <w:pStyle w:val="ListBullet"/>
      </w:pPr>
      <w:r>
        <w:t>Update BSA/AML chapter once FinCEN and the federal banking agencies finalize AML/CFT modernization rules, if applicable.</w:t>
      </w:r>
    </w:p>
    <w:p>
      <w:pPr>
        <w:pStyle w:val="ListBullet"/>
      </w:pPr>
      <w:r>
        <w:t>Update incentive-compensation chapter if Dodd-Frank Act section 956 rules are finalized.</w:t>
      </w:r>
    </w:p>
    <w:p>
      <w:pPr>
        <w:pStyle w:val="ListBullet"/>
      </w:pPr>
      <w:r>
        <w:t>Add a confidential-supervisory-information appendix, maintained by counsel only, mapping public obligations to firm-specific supervisory findings.</w:t>
      </w:r>
    </w:p>
    <w:p>
      <w:r>
        <w:br w:type="page"/>
      </w:r>
    </w:p>
    <w:p>
      <w:pPr>
        <w:pStyle w:val="Heading1"/>
      </w:pPr>
      <w:r>
        <w:t>Appendix D — Detailed Obligation Cards</w:t>
      </w:r>
    </w:p>
    <w:p>
      <w:r>
        <w:t>This appendix converts the domain inventory into granular obligation cards. Each card is designed to support a legal or policy-reform review. The “potential reform treatment” field does not recommend deregulation as such; it identifies where duplicative board process could be rationalized without eliminating core oversight.</w:t>
      </w:r>
    </w:p>
    <w:p>
      <w:pPr>
        <w:pStyle w:val="Heading3"/>
      </w:pPr>
      <w:r>
        <w:t>RISK-001 — BHC risk committee maintenance</w:t>
      </w:r>
    </w:p>
    <w:tbl>
      <w:tblPr>
        <w:tblStyle w:val="TableGrid"/>
        <w:tblW w:type="auto" w:w="0"/>
        <w:tblLook w:firstColumn="1" w:firstRow="1" w:lastColumn="0" w:lastRow="0" w:noHBand="0" w:noVBand="1" w:val="04A0"/>
      </w:tblPr>
      <w:tblGrid>
        <w:gridCol w:w="5112"/>
        <w:gridCol w:w="5112"/>
      </w:tblGrid>
      <w:tr>
        <w:tc>
          <w:tcPr>
            <w:tcW w:type="dxa" w:w="5112"/>
            <w:shd w:fill="EAF2F8"/>
          </w:tcPr>
          <w:p>
            <w:r>
              <w:rPr>
                <w:b/>
              </w:rPr>
              <w:t>Legal status</w:t>
            </w:r>
          </w:p>
        </w:tc>
        <w:tc>
          <w:tcPr>
            <w:tcW w:type="dxa" w:w="5112"/>
          </w:tcPr>
          <w:p>
            <w:r>
              <w:t>Binding regulation</w:t>
            </w:r>
          </w:p>
        </w:tc>
      </w:tr>
      <w:tr>
        <w:tc>
          <w:tcPr>
            <w:tcW w:type="dxa" w:w="5112"/>
            <w:shd w:fill="EAF2F8"/>
          </w:tcPr>
          <w:p>
            <w:r>
              <w:rPr>
                <w:b/>
              </w:rPr>
              <w:t>Primary source</w:t>
            </w:r>
          </w:p>
        </w:tc>
        <w:tc>
          <w:tcPr>
            <w:tcW w:type="dxa" w:w="5112"/>
          </w:tcPr>
          <w:p>
            <w:r>
              <w:t>12 CFR 252.33(a)</w:t>
            </w:r>
          </w:p>
        </w:tc>
      </w:tr>
      <w:tr>
        <w:tc>
          <w:tcPr>
            <w:tcW w:type="dxa" w:w="5112"/>
            <w:shd w:fill="EAF2F8"/>
          </w:tcPr>
          <w:p>
            <w:r>
              <w:rPr>
                <w:b/>
              </w:rPr>
              <w:t>Board actor</w:t>
            </w:r>
          </w:p>
        </w:tc>
        <w:tc>
          <w:tcPr>
            <w:tcW w:type="dxa" w:w="5112"/>
          </w:tcPr>
          <w:p>
            <w:r>
              <w:t>Parent BHC board risk committee</w:t>
            </w:r>
          </w:p>
        </w:tc>
      </w:tr>
      <w:tr>
        <w:tc>
          <w:tcPr>
            <w:tcW w:type="dxa" w:w="5112"/>
            <w:shd w:fill="EAF2F8"/>
          </w:tcPr>
          <w:p>
            <w:r>
              <w:rPr>
                <w:b/>
              </w:rPr>
              <w:t>Duty summary</w:t>
            </w:r>
          </w:p>
        </w:tc>
        <w:tc>
          <w:tcPr>
            <w:tcW w:type="dxa" w:w="5112"/>
          </w:tcPr>
          <w:p>
            <w:r>
              <w:t>Maintain a risk committee that approves and periodically reviews risk-management policies for the BHC’s global operations and oversees the global risk-management framework.</w:t>
            </w:r>
          </w:p>
        </w:tc>
      </w:tr>
      <w:tr>
        <w:tc>
          <w:tcPr>
            <w:tcW w:type="dxa" w:w="5112"/>
            <w:shd w:fill="EAF2F8"/>
          </w:tcPr>
          <w:p>
            <w:r>
              <w:rPr>
                <w:b/>
              </w:rPr>
              <w:t>Evidence artifact</w:t>
            </w:r>
          </w:p>
        </w:tc>
        <w:tc>
          <w:tcPr>
            <w:tcW w:type="dxa" w:w="5112"/>
          </w:tcPr>
          <w:p>
            <w:r>
              <w:t>Risk committee charter; annual committee calendar; policy approval record; minutes showing periodic review.</w:t>
            </w:r>
          </w:p>
        </w:tc>
      </w:tr>
      <w:tr>
        <w:tc>
          <w:tcPr>
            <w:tcW w:type="dxa" w:w="5112"/>
            <w:shd w:fill="EAF2F8"/>
          </w:tcPr>
          <w:p>
            <w:r>
              <w:rPr>
                <w:b/>
              </w:rPr>
              <w:t>Overlap / burden issue</w:t>
            </w:r>
          </w:p>
        </w:tc>
        <w:tc>
          <w:tcPr>
            <w:tcW w:type="dxa" w:w="5112"/>
          </w:tcPr>
          <w:p>
            <w:r>
              <w:t>Overlaps with OCC appendix D risk governance at IDI level and with liquidity-specific risk committee duties under 12 CFR 252.34.</w:t>
            </w:r>
          </w:p>
        </w:tc>
      </w:tr>
      <w:tr>
        <w:tc>
          <w:tcPr>
            <w:tcW w:type="dxa" w:w="5112"/>
            <w:shd w:fill="EAF2F8"/>
          </w:tcPr>
          <w:p>
            <w:r>
              <w:rPr>
                <w:b/>
              </w:rPr>
              <w:t>Potential reform treatment</w:t>
            </w:r>
          </w:p>
        </w:tc>
        <w:tc>
          <w:tcPr>
            <w:tcW w:type="dxa" w:w="5112"/>
          </w:tcPr>
          <w:p>
            <w:r>
              <w:t>Preserve requirement but clarify cross-reliance between enterprise risk committee and IDI boards.</w:t>
            </w:r>
          </w:p>
        </w:tc>
      </w:tr>
    </w:tbl>
    <w:p/>
    <w:p>
      <w:pPr>
        <w:pStyle w:val="Heading3"/>
      </w:pPr>
      <w:r>
        <w:t>RISK-002 — Risk committee independent chair</w:t>
      </w:r>
    </w:p>
    <w:tbl>
      <w:tblPr>
        <w:tblStyle w:val="TableGrid"/>
        <w:tblW w:type="auto" w:w="0"/>
        <w:tblLook w:firstColumn="1" w:firstRow="1" w:lastColumn="0" w:lastRow="0" w:noHBand="0" w:noVBand="1" w:val="04A0"/>
      </w:tblPr>
      <w:tblGrid>
        <w:gridCol w:w="5112"/>
        <w:gridCol w:w="5112"/>
      </w:tblGrid>
      <w:tr>
        <w:tc>
          <w:tcPr>
            <w:tcW w:type="dxa" w:w="5112"/>
            <w:shd w:fill="EAF2F8"/>
          </w:tcPr>
          <w:p>
            <w:r>
              <w:rPr>
                <w:b/>
              </w:rPr>
              <w:t>Legal status</w:t>
            </w:r>
          </w:p>
        </w:tc>
        <w:tc>
          <w:tcPr>
            <w:tcW w:type="dxa" w:w="5112"/>
          </w:tcPr>
          <w:p>
            <w:r>
              <w:t>Binding regulation</w:t>
            </w:r>
          </w:p>
        </w:tc>
      </w:tr>
      <w:tr>
        <w:tc>
          <w:tcPr>
            <w:tcW w:type="dxa" w:w="5112"/>
            <w:shd w:fill="EAF2F8"/>
          </w:tcPr>
          <w:p>
            <w:r>
              <w:rPr>
                <w:b/>
              </w:rPr>
              <w:t>Primary source</w:t>
            </w:r>
          </w:p>
        </w:tc>
        <w:tc>
          <w:tcPr>
            <w:tcW w:type="dxa" w:w="5112"/>
          </w:tcPr>
          <w:p>
            <w:r>
              <w:t>12 CFR 252.33(a)</w:t>
            </w:r>
          </w:p>
        </w:tc>
      </w:tr>
      <w:tr>
        <w:tc>
          <w:tcPr>
            <w:tcW w:type="dxa" w:w="5112"/>
            <w:shd w:fill="EAF2F8"/>
          </w:tcPr>
          <w:p>
            <w:r>
              <w:rPr>
                <w:b/>
              </w:rPr>
              <w:t>Board actor</w:t>
            </w:r>
          </w:p>
        </w:tc>
        <w:tc>
          <w:tcPr>
            <w:tcW w:type="dxa" w:w="5112"/>
          </w:tcPr>
          <w:p>
            <w:r>
              <w:t>Parent BHC risk committee</w:t>
            </w:r>
          </w:p>
        </w:tc>
      </w:tr>
      <w:tr>
        <w:tc>
          <w:tcPr>
            <w:tcW w:type="dxa" w:w="5112"/>
            <w:shd w:fill="EAF2F8"/>
          </w:tcPr>
          <w:p>
            <w:r>
              <w:rPr>
                <w:b/>
              </w:rPr>
              <w:t>Duty summary</w:t>
            </w:r>
          </w:p>
        </w:tc>
        <w:tc>
          <w:tcPr>
            <w:tcW w:type="dxa" w:w="5112"/>
          </w:tcPr>
          <w:p>
            <w:r>
              <w:t>Risk committee must be chaired by an independent director.</w:t>
            </w:r>
          </w:p>
        </w:tc>
      </w:tr>
      <w:tr>
        <w:tc>
          <w:tcPr>
            <w:tcW w:type="dxa" w:w="5112"/>
            <w:shd w:fill="EAF2F8"/>
          </w:tcPr>
          <w:p>
            <w:r>
              <w:rPr>
                <w:b/>
              </w:rPr>
              <w:t>Evidence artifact</w:t>
            </w:r>
          </w:p>
        </w:tc>
        <w:tc>
          <w:tcPr>
            <w:tcW w:type="dxa" w:w="5112"/>
          </w:tcPr>
          <w:p>
            <w:r>
              <w:t>Board composition matrix; independence determination; nominating/governance committee records.</w:t>
            </w:r>
          </w:p>
        </w:tc>
      </w:tr>
      <w:tr>
        <w:tc>
          <w:tcPr>
            <w:tcW w:type="dxa" w:w="5112"/>
            <w:shd w:fill="EAF2F8"/>
          </w:tcPr>
          <w:p>
            <w:r>
              <w:rPr>
                <w:b/>
              </w:rPr>
              <w:t>Overlap / burden issue</w:t>
            </w:r>
          </w:p>
        </w:tc>
        <w:tc>
          <w:tcPr>
            <w:tcW w:type="dxa" w:w="5112"/>
          </w:tcPr>
          <w:p>
            <w:r>
              <w:t>Uses independence concept that differs from FDICIA outside-director and OCC independent-director expectations.</w:t>
            </w:r>
          </w:p>
        </w:tc>
      </w:tr>
      <w:tr>
        <w:tc>
          <w:tcPr>
            <w:tcW w:type="dxa" w:w="5112"/>
            <w:shd w:fill="EAF2F8"/>
          </w:tcPr>
          <w:p>
            <w:r>
              <w:rPr>
                <w:b/>
              </w:rPr>
              <w:t>Potential reform treatment</w:t>
            </w:r>
          </w:p>
        </w:tc>
        <w:tc>
          <w:tcPr>
            <w:tcW w:type="dxa" w:w="5112"/>
          </w:tcPr>
          <w:p>
            <w:r>
              <w:t>Harmonize director-status glossary across agencies.</w:t>
            </w:r>
          </w:p>
        </w:tc>
      </w:tr>
    </w:tbl>
    <w:p/>
    <w:p>
      <w:pPr>
        <w:pStyle w:val="Heading3"/>
      </w:pPr>
      <w:r>
        <w:t>RISK-003 — Risk-management expertise</w:t>
      </w:r>
    </w:p>
    <w:tbl>
      <w:tblPr>
        <w:tblStyle w:val="TableGrid"/>
        <w:tblW w:type="auto" w:w="0"/>
        <w:tblLook w:firstColumn="1" w:firstRow="1" w:lastColumn="0" w:lastRow="0" w:noHBand="0" w:noVBand="1" w:val="04A0"/>
      </w:tblPr>
      <w:tblGrid>
        <w:gridCol w:w="5112"/>
        <w:gridCol w:w="5112"/>
      </w:tblGrid>
      <w:tr>
        <w:tc>
          <w:tcPr>
            <w:tcW w:type="dxa" w:w="5112"/>
            <w:shd w:fill="EAF2F8"/>
          </w:tcPr>
          <w:p>
            <w:r>
              <w:rPr>
                <w:b/>
              </w:rPr>
              <w:t>Legal status</w:t>
            </w:r>
          </w:p>
        </w:tc>
        <w:tc>
          <w:tcPr>
            <w:tcW w:type="dxa" w:w="5112"/>
          </w:tcPr>
          <w:p>
            <w:r>
              <w:t>Binding regulation</w:t>
            </w:r>
          </w:p>
        </w:tc>
      </w:tr>
      <w:tr>
        <w:tc>
          <w:tcPr>
            <w:tcW w:type="dxa" w:w="5112"/>
            <w:shd w:fill="EAF2F8"/>
          </w:tcPr>
          <w:p>
            <w:r>
              <w:rPr>
                <w:b/>
              </w:rPr>
              <w:t>Primary source</w:t>
            </w:r>
          </w:p>
        </w:tc>
        <w:tc>
          <w:tcPr>
            <w:tcW w:type="dxa" w:w="5112"/>
          </w:tcPr>
          <w:p>
            <w:r>
              <w:t>12 CFR 252.33(a)</w:t>
            </w:r>
          </w:p>
        </w:tc>
      </w:tr>
      <w:tr>
        <w:tc>
          <w:tcPr>
            <w:tcW w:type="dxa" w:w="5112"/>
            <w:shd w:fill="EAF2F8"/>
          </w:tcPr>
          <w:p>
            <w:r>
              <w:rPr>
                <w:b/>
              </w:rPr>
              <w:t>Board actor</w:t>
            </w:r>
          </w:p>
        </w:tc>
        <w:tc>
          <w:tcPr>
            <w:tcW w:type="dxa" w:w="5112"/>
          </w:tcPr>
          <w:p>
            <w:r>
              <w:t>Parent BHC risk committee</w:t>
            </w:r>
          </w:p>
        </w:tc>
      </w:tr>
      <w:tr>
        <w:tc>
          <w:tcPr>
            <w:tcW w:type="dxa" w:w="5112"/>
            <w:shd w:fill="EAF2F8"/>
          </w:tcPr>
          <w:p>
            <w:r>
              <w:rPr>
                <w:b/>
              </w:rPr>
              <w:t>Duty summary</w:t>
            </w:r>
          </w:p>
        </w:tc>
        <w:tc>
          <w:tcPr>
            <w:tcW w:type="dxa" w:w="5112"/>
          </w:tcPr>
          <w:p>
            <w:r>
              <w:t>Risk committee must include at least one member with experience identifying, assessing, and managing risk exposures of large, complex financial firms.</w:t>
            </w:r>
          </w:p>
        </w:tc>
      </w:tr>
      <w:tr>
        <w:tc>
          <w:tcPr>
            <w:tcW w:type="dxa" w:w="5112"/>
            <w:shd w:fill="EAF2F8"/>
          </w:tcPr>
          <w:p>
            <w:r>
              <w:rPr>
                <w:b/>
              </w:rPr>
              <w:t>Evidence artifact</w:t>
            </w:r>
          </w:p>
        </w:tc>
        <w:tc>
          <w:tcPr>
            <w:tcW w:type="dxa" w:w="5112"/>
          </w:tcPr>
          <w:p>
            <w:r>
              <w:t>Director skills matrix; annual committee membership review.</w:t>
            </w:r>
          </w:p>
        </w:tc>
      </w:tr>
      <w:tr>
        <w:tc>
          <w:tcPr>
            <w:tcW w:type="dxa" w:w="5112"/>
            <w:shd w:fill="EAF2F8"/>
          </w:tcPr>
          <w:p>
            <w:r>
              <w:rPr>
                <w:b/>
              </w:rPr>
              <w:t>Overlap / burden issue</w:t>
            </w:r>
          </w:p>
        </w:tc>
        <w:tc>
          <w:tcPr>
            <w:tcW w:type="dxa" w:w="5112"/>
          </w:tcPr>
          <w:p>
            <w:r>
              <w:t>Expertise requirement interacts with audit, compensation, cyber, and liquidity expertise expectations but is not harmonized with them.</w:t>
            </w:r>
          </w:p>
        </w:tc>
      </w:tr>
      <w:tr>
        <w:tc>
          <w:tcPr>
            <w:tcW w:type="dxa" w:w="5112"/>
            <w:shd w:fill="EAF2F8"/>
          </w:tcPr>
          <w:p>
            <w:r>
              <w:rPr>
                <w:b/>
              </w:rPr>
              <w:t>Potential reform treatment</w:t>
            </w:r>
          </w:p>
        </w:tc>
        <w:tc>
          <w:tcPr>
            <w:tcW w:type="dxa" w:w="5112"/>
          </w:tcPr>
          <w:p>
            <w:r>
              <w:t>Allow standardized board skills matrix to evidence multiple expertise expectations.</w:t>
            </w:r>
          </w:p>
        </w:tc>
      </w:tr>
    </w:tbl>
    <w:p/>
    <w:p>
      <w:pPr>
        <w:pStyle w:val="Heading3"/>
      </w:pPr>
      <w:r>
        <w:t>RISK-004 — OCC covered-bank risk governance framework</w:t>
      </w:r>
    </w:p>
    <w:tbl>
      <w:tblPr>
        <w:tblStyle w:val="TableGrid"/>
        <w:tblW w:type="auto" w:w="0"/>
        <w:tblLook w:firstColumn="1" w:firstRow="1" w:lastColumn="0" w:lastRow="0" w:noHBand="0" w:noVBand="1" w:val="04A0"/>
      </w:tblPr>
      <w:tblGrid>
        <w:gridCol w:w="5112"/>
        <w:gridCol w:w="5112"/>
      </w:tblGrid>
      <w:tr>
        <w:tc>
          <w:tcPr>
            <w:tcW w:type="dxa" w:w="5112"/>
            <w:shd w:fill="EAF2F8"/>
          </w:tcPr>
          <w:p>
            <w:r>
              <w:rPr>
                <w:b/>
              </w:rPr>
              <w:t>Legal status</w:t>
            </w:r>
          </w:p>
        </w:tc>
        <w:tc>
          <w:tcPr>
            <w:tcW w:type="dxa" w:w="5112"/>
          </w:tcPr>
          <w:p>
            <w:r>
              <w:t>Enforceable guideline</w:t>
            </w:r>
          </w:p>
        </w:tc>
      </w:tr>
      <w:tr>
        <w:tc>
          <w:tcPr>
            <w:tcW w:type="dxa" w:w="5112"/>
            <w:shd w:fill="EAF2F8"/>
          </w:tcPr>
          <w:p>
            <w:r>
              <w:rPr>
                <w:b/>
              </w:rPr>
              <w:t>Primary source</w:t>
            </w:r>
          </w:p>
        </w:tc>
        <w:tc>
          <w:tcPr>
            <w:tcW w:type="dxa" w:w="5112"/>
          </w:tcPr>
          <w:p>
            <w:r>
              <w:t>12 CFR part 30, appendix D</w:t>
            </w:r>
          </w:p>
        </w:tc>
      </w:tr>
      <w:tr>
        <w:tc>
          <w:tcPr>
            <w:tcW w:type="dxa" w:w="5112"/>
            <w:shd w:fill="EAF2F8"/>
          </w:tcPr>
          <w:p>
            <w:r>
              <w:rPr>
                <w:b/>
              </w:rPr>
              <w:t>Board actor</w:t>
            </w:r>
          </w:p>
        </w:tc>
        <w:tc>
          <w:tcPr>
            <w:tcW w:type="dxa" w:w="5112"/>
          </w:tcPr>
          <w:p>
            <w:r>
              <w:t>OCC-supervised covered bank board or risk committee</w:t>
            </w:r>
          </w:p>
        </w:tc>
      </w:tr>
      <w:tr>
        <w:tc>
          <w:tcPr>
            <w:tcW w:type="dxa" w:w="5112"/>
            <w:shd w:fill="EAF2F8"/>
          </w:tcPr>
          <w:p>
            <w:r>
              <w:rPr>
                <w:b/>
              </w:rPr>
              <w:t>Duty summary</w:t>
            </w:r>
          </w:p>
        </w:tc>
        <w:tc>
          <w:tcPr>
            <w:tcW w:type="dxa" w:w="5112"/>
          </w:tcPr>
          <w:p>
            <w:r>
              <w:t>Covered bank should establish and adhere to a written risk-governance framework; board should oversee design and implementation.</w:t>
            </w:r>
          </w:p>
        </w:tc>
      </w:tr>
      <w:tr>
        <w:tc>
          <w:tcPr>
            <w:tcW w:type="dxa" w:w="5112"/>
            <w:shd w:fill="EAF2F8"/>
          </w:tcPr>
          <w:p>
            <w:r>
              <w:rPr>
                <w:b/>
              </w:rPr>
              <w:t>Evidence artifact</w:t>
            </w:r>
          </w:p>
        </w:tc>
        <w:tc>
          <w:tcPr>
            <w:tcW w:type="dxa" w:w="5112"/>
          </w:tcPr>
          <w:p>
            <w:r>
              <w:t>Risk-governance framework; approval minutes; management and control-function reporting.</w:t>
            </w:r>
          </w:p>
        </w:tc>
      </w:tr>
      <w:tr>
        <w:tc>
          <w:tcPr>
            <w:tcW w:type="dxa" w:w="5112"/>
            <w:shd w:fill="EAF2F8"/>
          </w:tcPr>
          <w:p>
            <w:r>
              <w:rPr>
                <w:b/>
              </w:rPr>
              <w:t>Overlap / burden issue</w:t>
            </w:r>
          </w:p>
        </w:tc>
        <w:tc>
          <w:tcPr>
            <w:tcW w:type="dxa" w:w="5112"/>
          </w:tcPr>
          <w:p>
            <w:r>
              <w:t>Duplicates consolidated BHC risk framework where IDI uses enterprise risk infrastructure.</w:t>
            </w:r>
          </w:p>
        </w:tc>
      </w:tr>
      <w:tr>
        <w:tc>
          <w:tcPr>
            <w:tcW w:type="dxa" w:w="5112"/>
            <w:shd w:fill="EAF2F8"/>
          </w:tcPr>
          <w:p>
            <w:r>
              <w:rPr>
                <w:b/>
              </w:rPr>
              <w:t>Potential reform treatment</w:t>
            </w:r>
          </w:p>
        </w:tc>
        <w:tc>
          <w:tcPr>
            <w:tcW w:type="dxa" w:w="5112"/>
          </w:tcPr>
          <w:p>
            <w:r>
              <w:t>Permit board reliance on parent-approved framework with IDI-specific risk appendix.</w:t>
            </w:r>
          </w:p>
        </w:tc>
      </w:tr>
    </w:tbl>
    <w:p/>
    <w:p>
      <w:pPr>
        <w:pStyle w:val="Heading3"/>
      </w:pPr>
      <w:r>
        <w:t>RISK-005 — OCC board active oversight</w:t>
      </w:r>
    </w:p>
    <w:tbl>
      <w:tblPr>
        <w:tblStyle w:val="TableGrid"/>
        <w:tblW w:type="auto" w:w="0"/>
        <w:tblLook w:firstColumn="1" w:firstRow="1" w:lastColumn="0" w:lastRow="0" w:noHBand="0" w:noVBand="1" w:val="04A0"/>
      </w:tblPr>
      <w:tblGrid>
        <w:gridCol w:w="5112"/>
        <w:gridCol w:w="5112"/>
      </w:tblGrid>
      <w:tr>
        <w:tc>
          <w:tcPr>
            <w:tcW w:type="dxa" w:w="5112"/>
            <w:shd w:fill="EAF2F8"/>
          </w:tcPr>
          <w:p>
            <w:r>
              <w:rPr>
                <w:b/>
              </w:rPr>
              <w:t>Legal status</w:t>
            </w:r>
          </w:p>
        </w:tc>
        <w:tc>
          <w:tcPr>
            <w:tcW w:type="dxa" w:w="5112"/>
          </w:tcPr>
          <w:p>
            <w:r>
              <w:t>Enforceable guideline</w:t>
            </w:r>
          </w:p>
        </w:tc>
      </w:tr>
      <w:tr>
        <w:tc>
          <w:tcPr>
            <w:tcW w:type="dxa" w:w="5112"/>
            <w:shd w:fill="EAF2F8"/>
          </w:tcPr>
          <w:p>
            <w:r>
              <w:rPr>
                <w:b/>
              </w:rPr>
              <w:t>Primary source</w:t>
            </w:r>
          </w:p>
        </w:tc>
        <w:tc>
          <w:tcPr>
            <w:tcW w:type="dxa" w:w="5112"/>
          </w:tcPr>
          <w:p>
            <w:r>
              <w:t>12 CFR part 30, appendix D</w:t>
            </w:r>
          </w:p>
        </w:tc>
      </w:tr>
      <w:tr>
        <w:tc>
          <w:tcPr>
            <w:tcW w:type="dxa" w:w="5112"/>
            <w:shd w:fill="EAF2F8"/>
          </w:tcPr>
          <w:p>
            <w:r>
              <w:rPr>
                <w:b/>
              </w:rPr>
              <w:t>Board actor</w:t>
            </w:r>
          </w:p>
        </w:tc>
        <w:tc>
          <w:tcPr>
            <w:tcW w:type="dxa" w:w="5112"/>
          </w:tcPr>
          <w:p>
            <w:r>
              <w:t>OCC-supervised covered bank board</w:t>
            </w:r>
          </w:p>
        </w:tc>
      </w:tr>
      <w:tr>
        <w:tc>
          <w:tcPr>
            <w:tcW w:type="dxa" w:w="5112"/>
            <w:shd w:fill="EAF2F8"/>
          </w:tcPr>
          <w:p>
            <w:r>
              <w:rPr>
                <w:b/>
              </w:rPr>
              <w:t>Duty summary</w:t>
            </w:r>
          </w:p>
        </w:tc>
        <w:tc>
          <w:tcPr>
            <w:tcW w:type="dxa" w:w="5112"/>
          </w:tcPr>
          <w:p>
            <w:r>
              <w:t>Board should actively oversee risk-taking activities and hold management accountable for adherence to the framework.</w:t>
            </w:r>
          </w:p>
        </w:tc>
      </w:tr>
      <w:tr>
        <w:tc>
          <w:tcPr>
            <w:tcW w:type="dxa" w:w="5112"/>
            <w:shd w:fill="EAF2F8"/>
          </w:tcPr>
          <w:p>
            <w:r>
              <w:rPr>
                <w:b/>
              </w:rPr>
              <w:t>Evidence artifact</w:t>
            </w:r>
          </w:p>
        </w:tc>
        <w:tc>
          <w:tcPr>
            <w:tcW w:type="dxa" w:w="5112"/>
          </w:tcPr>
          <w:p>
            <w:r>
              <w:t>Board minutes; challenge logs; risk appetite exceptions; management performance review inputs.</w:t>
            </w:r>
          </w:p>
        </w:tc>
      </w:tr>
      <w:tr>
        <w:tc>
          <w:tcPr>
            <w:tcW w:type="dxa" w:w="5112"/>
            <w:shd w:fill="EAF2F8"/>
          </w:tcPr>
          <w:p>
            <w:r>
              <w:rPr>
                <w:b/>
              </w:rPr>
              <w:t>Overlap / burden issue</w:t>
            </w:r>
          </w:p>
        </w:tc>
        <w:tc>
          <w:tcPr>
            <w:tcW w:type="dxa" w:w="5112"/>
          </w:tcPr>
          <w:p>
            <w:r>
              <w:t>Can blur board-management boundary if interpreted as operational risk management.</w:t>
            </w:r>
          </w:p>
        </w:tc>
      </w:tr>
      <w:tr>
        <w:tc>
          <w:tcPr>
            <w:tcW w:type="dxa" w:w="5112"/>
            <w:shd w:fill="EAF2F8"/>
          </w:tcPr>
          <w:p>
            <w:r>
              <w:rPr>
                <w:b/>
              </w:rPr>
              <w:t>Potential reform treatment</w:t>
            </w:r>
          </w:p>
        </w:tc>
        <w:tc>
          <w:tcPr>
            <w:tcW w:type="dxa" w:w="5112"/>
          </w:tcPr>
          <w:p>
            <w:r>
              <w:t>Clarify that “active oversight” means challenge, direction, and accountability, not day-to-day management.</w:t>
            </w:r>
          </w:p>
        </w:tc>
      </w:tr>
    </w:tbl>
    <w:p/>
    <w:p>
      <w:pPr>
        <w:pStyle w:val="Heading3"/>
      </w:pPr>
      <w:r>
        <w:t>RISK-006 — OCC risk appetite approval</w:t>
      </w:r>
    </w:p>
    <w:tbl>
      <w:tblPr>
        <w:tblStyle w:val="TableGrid"/>
        <w:tblW w:type="auto" w:w="0"/>
        <w:tblLook w:firstColumn="1" w:firstRow="1" w:lastColumn="0" w:lastRow="0" w:noHBand="0" w:noVBand="1" w:val="04A0"/>
      </w:tblPr>
      <w:tblGrid>
        <w:gridCol w:w="5112"/>
        <w:gridCol w:w="5112"/>
      </w:tblGrid>
      <w:tr>
        <w:tc>
          <w:tcPr>
            <w:tcW w:type="dxa" w:w="5112"/>
            <w:shd w:fill="EAF2F8"/>
          </w:tcPr>
          <w:p>
            <w:r>
              <w:rPr>
                <w:b/>
              </w:rPr>
              <w:t>Legal status</w:t>
            </w:r>
          </w:p>
        </w:tc>
        <w:tc>
          <w:tcPr>
            <w:tcW w:type="dxa" w:w="5112"/>
          </w:tcPr>
          <w:p>
            <w:r>
              <w:t>Enforceable guideline</w:t>
            </w:r>
          </w:p>
        </w:tc>
      </w:tr>
      <w:tr>
        <w:tc>
          <w:tcPr>
            <w:tcW w:type="dxa" w:w="5112"/>
            <w:shd w:fill="EAF2F8"/>
          </w:tcPr>
          <w:p>
            <w:r>
              <w:rPr>
                <w:b/>
              </w:rPr>
              <w:t>Primary source</w:t>
            </w:r>
          </w:p>
        </w:tc>
        <w:tc>
          <w:tcPr>
            <w:tcW w:type="dxa" w:w="5112"/>
          </w:tcPr>
          <w:p>
            <w:r>
              <w:t>12 CFR part 30, appendix D</w:t>
            </w:r>
          </w:p>
        </w:tc>
      </w:tr>
      <w:tr>
        <w:tc>
          <w:tcPr>
            <w:tcW w:type="dxa" w:w="5112"/>
            <w:shd w:fill="EAF2F8"/>
          </w:tcPr>
          <w:p>
            <w:r>
              <w:rPr>
                <w:b/>
              </w:rPr>
              <w:t>Board actor</w:t>
            </w:r>
          </w:p>
        </w:tc>
        <w:tc>
          <w:tcPr>
            <w:tcW w:type="dxa" w:w="5112"/>
          </w:tcPr>
          <w:p>
            <w:r>
              <w:t>OCC covered bank board or risk committee</w:t>
            </w:r>
          </w:p>
        </w:tc>
      </w:tr>
      <w:tr>
        <w:tc>
          <w:tcPr>
            <w:tcW w:type="dxa" w:w="5112"/>
            <w:shd w:fill="EAF2F8"/>
          </w:tcPr>
          <w:p>
            <w:r>
              <w:rPr>
                <w:b/>
              </w:rPr>
              <w:t>Duty summary</w:t>
            </w:r>
          </w:p>
        </w:tc>
        <w:tc>
          <w:tcPr>
            <w:tcW w:type="dxa" w:w="5112"/>
          </w:tcPr>
          <w:p>
            <w:r>
              <w:t>Board or risk committee should review and approve risk appetite at least annually and more frequently when risk profile, strategy, or market conditions warrant.</w:t>
            </w:r>
          </w:p>
        </w:tc>
      </w:tr>
      <w:tr>
        <w:tc>
          <w:tcPr>
            <w:tcW w:type="dxa" w:w="5112"/>
            <w:shd w:fill="EAF2F8"/>
          </w:tcPr>
          <w:p>
            <w:r>
              <w:rPr>
                <w:b/>
              </w:rPr>
              <w:t>Evidence artifact</w:t>
            </w:r>
          </w:p>
        </w:tc>
        <w:tc>
          <w:tcPr>
            <w:tcW w:type="dxa" w:w="5112"/>
          </w:tcPr>
          <w:p>
            <w:r>
              <w:t>Annual risk appetite statement; approval record; interim material-change updates.</w:t>
            </w:r>
          </w:p>
        </w:tc>
      </w:tr>
      <w:tr>
        <w:tc>
          <w:tcPr>
            <w:tcW w:type="dxa" w:w="5112"/>
            <w:shd w:fill="EAF2F8"/>
          </w:tcPr>
          <w:p>
            <w:r>
              <w:rPr>
                <w:b/>
              </w:rPr>
              <w:t>Overlap / burden issue</w:t>
            </w:r>
          </w:p>
        </w:tc>
        <w:tc>
          <w:tcPr>
            <w:tcW w:type="dxa" w:w="5112"/>
          </w:tcPr>
          <w:p>
            <w:r>
              <w:t>Overlaps with BHC enterprise risk appetite and liquidity risk tolerance.</w:t>
            </w:r>
          </w:p>
        </w:tc>
      </w:tr>
      <w:tr>
        <w:tc>
          <w:tcPr>
            <w:tcW w:type="dxa" w:w="5112"/>
            <w:shd w:fill="EAF2F8"/>
          </w:tcPr>
          <w:p>
            <w:r>
              <w:rPr>
                <w:b/>
              </w:rPr>
              <w:t>Potential reform treatment</w:t>
            </w:r>
          </w:p>
        </w:tc>
        <w:tc>
          <w:tcPr>
            <w:tcW w:type="dxa" w:w="5112"/>
          </w:tcPr>
          <w:p>
            <w:r>
              <w:t>Consolidate enterprise and IDI risk appetite into one package with legal-entity tolerances.</w:t>
            </w:r>
          </w:p>
        </w:tc>
      </w:tr>
    </w:tbl>
    <w:p/>
    <w:p>
      <w:pPr>
        <w:pStyle w:val="Heading3"/>
      </w:pPr>
      <w:r>
        <w:t>RISK-007 — Independent risk management escalation</w:t>
      </w:r>
    </w:p>
    <w:tbl>
      <w:tblPr>
        <w:tblStyle w:val="TableGrid"/>
        <w:tblW w:type="auto" w:w="0"/>
        <w:tblLook w:firstColumn="1" w:firstRow="1" w:lastColumn="0" w:lastRow="0" w:noHBand="0" w:noVBand="1" w:val="04A0"/>
      </w:tblPr>
      <w:tblGrid>
        <w:gridCol w:w="5112"/>
        <w:gridCol w:w="5112"/>
      </w:tblGrid>
      <w:tr>
        <w:tc>
          <w:tcPr>
            <w:tcW w:type="dxa" w:w="5112"/>
            <w:shd w:fill="EAF2F8"/>
          </w:tcPr>
          <w:p>
            <w:r>
              <w:rPr>
                <w:b/>
              </w:rPr>
              <w:t>Legal status</w:t>
            </w:r>
          </w:p>
        </w:tc>
        <w:tc>
          <w:tcPr>
            <w:tcW w:type="dxa" w:w="5112"/>
          </w:tcPr>
          <w:p>
            <w:r>
              <w:t>Enforceable guideline</w:t>
            </w:r>
          </w:p>
        </w:tc>
      </w:tr>
      <w:tr>
        <w:tc>
          <w:tcPr>
            <w:tcW w:type="dxa" w:w="5112"/>
            <w:shd w:fill="EAF2F8"/>
          </w:tcPr>
          <w:p>
            <w:r>
              <w:rPr>
                <w:b/>
              </w:rPr>
              <w:t>Primary source</w:t>
            </w:r>
          </w:p>
        </w:tc>
        <w:tc>
          <w:tcPr>
            <w:tcW w:type="dxa" w:w="5112"/>
          </w:tcPr>
          <w:p>
            <w:r>
              <w:t>12 CFR part 30, appendix D</w:t>
            </w:r>
          </w:p>
        </w:tc>
      </w:tr>
      <w:tr>
        <w:tc>
          <w:tcPr>
            <w:tcW w:type="dxa" w:w="5112"/>
            <w:shd w:fill="EAF2F8"/>
          </w:tcPr>
          <w:p>
            <w:r>
              <w:rPr>
                <w:b/>
              </w:rPr>
              <w:t>Board actor</w:t>
            </w:r>
          </w:p>
        </w:tc>
        <w:tc>
          <w:tcPr>
            <w:tcW w:type="dxa" w:w="5112"/>
          </w:tcPr>
          <w:p>
            <w:r>
              <w:t>OCC covered bank board or risk committee</w:t>
            </w:r>
          </w:p>
        </w:tc>
      </w:tr>
      <w:tr>
        <w:tc>
          <w:tcPr>
            <w:tcW w:type="dxa" w:w="5112"/>
            <w:shd w:fill="EAF2F8"/>
          </w:tcPr>
          <w:p>
            <w:r>
              <w:rPr>
                <w:b/>
              </w:rPr>
              <w:t>Duty summary</w:t>
            </w:r>
          </w:p>
        </w:tc>
        <w:tc>
          <w:tcPr>
            <w:tcW w:type="dxa" w:w="5112"/>
          </w:tcPr>
          <w:p>
            <w:r>
              <w:t>Independent risk management should identify and communicate material risks and significant differences with CEO assessments to the board or risk committee.</w:t>
            </w:r>
          </w:p>
        </w:tc>
      </w:tr>
      <w:tr>
        <w:tc>
          <w:tcPr>
            <w:tcW w:type="dxa" w:w="5112"/>
            <w:shd w:fill="EAF2F8"/>
          </w:tcPr>
          <w:p>
            <w:r>
              <w:rPr>
                <w:b/>
              </w:rPr>
              <w:t>Evidence artifact</w:t>
            </w:r>
          </w:p>
        </w:tc>
        <w:tc>
          <w:tcPr>
            <w:tcW w:type="dxa" w:w="5112"/>
          </w:tcPr>
          <w:p>
            <w:r>
              <w:t>CRE reports; escalation memoranda; minutes documenting challenge.</w:t>
            </w:r>
          </w:p>
        </w:tc>
      </w:tr>
      <w:tr>
        <w:tc>
          <w:tcPr>
            <w:tcW w:type="dxa" w:w="5112"/>
            <w:shd w:fill="EAF2F8"/>
          </w:tcPr>
          <w:p>
            <w:r>
              <w:rPr>
                <w:b/>
              </w:rPr>
              <w:t>Overlap / burden issue</w:t>
            </w:r>
          </w:p>
        </w:tc>
        <w:tc>
          <w:tcPr>
            <w:tcW w:type="dxa" w:w="5112"/>
          </w:tcPr>
          <w:p>
            <w:r>
              <w:t>Creates multiple escalation paths to parent and subsidiary boards.</w:t>
            </w:r>
          </w:p>
        </w:tc>
      </w:tr>
      <w:tr>
        <w:tc>
          <w:tcPr>
            <w:tcW w:type="dxa" w:w="5112"/>
            <w:shd w:fill="EAF2F8"/>
          </w:tcPr>
          <w:p>
            <w:r>
              <w:rPr>
                <w:b/>
              </w:rPr>
              <w:t>Potential reform treatment</w:t>
            </w:r>
          </w:p>
        </w:tc>
        <w:tc>
          <w:tcPr>
            <w:tcW w:type="dxa" w:w="5112"/>
          </w:tcPr>
          <w:p>
            <w:r>
              <w:t>Use one enterprise escalation taxonomy and dashboard.</w:t>
            </w:r>
          </w:p>
        </w:tc>
      </w:tr>
    </w:tbl>
    <w:p/>
    <w:p>
      <w:pPr>
        <w:pStyle w:val="Heading3"/>
      </w:pPr>
      <w:r>
        <w:t>RISK-008 — Internal audit access and reporting under heightened standards</w:t>
      </w:r>
    </w:p>
    <w:tbl>
      <w:tblPr>
        <w:tblStyle w:val="TableGrid"/>
        <w:tblW w:type="auto" w:w="0"/>
        <w:tblLook w:firstColumn="1" w:firstRow="1" w:lastColumn="0" w:lastRow="0" w:noHBand="0" w:noVBand="1" w:val="04A0"/>
      </w:tblPr>
      <w:tblGrid>
        <w:gridCol w:w="5112"/>
        <w:gridCol w:w="5112"/>
      </w:tblGrid>
      <w:tr>
        <w:tc>
          <w:tcPr>
            <w:tcW w:type="dxa" w:w="5112"/>
            <w:shd w:fill="EAF2F8"/>
          </w:tcPr>
          <w:p>
            <w:r>
              <w:rPr>
                <w:b/>
              </w:rPr>
              <w:t>Legal status</w:t>
            </w:r>
          </w:p>
        </w:tc>
        <w:tc>
          <w:tcPr>
            <w:tcW w:type="dxa" w:w="5112"/>
          </w:tcPr>
          <w:p>
            <w:r>
              <w:t>Enforceable guideline</w:t>
            </w:r>
          </w:p>
        </w:tc>
      </w:tr>
      <w:tr>
        <w:tc>
          <w:tcPr>
            <w:tcW w:type="dxa" w:w="5112"/>
            <w:shd w:fill="EAF2F8"/>
          </w:tcPr>
          <w:p>
            <w:r>
              <w:rPr>
                <w:b/>
              </w:rPr>
              <w:t>Primary source</w:t>
            </w:r>
          </w:p>
        </w:tc>
        <w:tc>
          <w:tcPr>
            <w:tcW w:type="dxa" w:w="5112"/>
          </w:tcPr>
          <w:p>
            <w:r>
              <w:t>12 CFR part 30, appendix D</w:t>
            </w:r>
          </w:p>
        </w:tc>
      </w:tr>
      <w:tr>
        <w:tc>
          <w:tcPr>
            <w:tcW w:type="dxa" w:w="5112"/>
            <w:shd w:fill="EAF2F8"/>
          </w:tcPr>
          <w:p>
            <w:r>
              <w:rPr>
                <w:b/>
              </w:rPr>
              <w:t>Board actor</w:t>
            </w:r>
          </w:p>
        </w:tc>
        <w:tc>
          <w:tcPr>
            <w:tcW w:type="dxa" w:w="5112"/>
          </w:tcPr>
          <w:p>
            <w:r>
              <w:t>OCC covered bank audit committee or board</w:t>
            </w:r>
          </w:p>
        </w:tc>
      </w:tr>
      <w:tr>
        <w:tc>
          <w:tcPr>
            <w:tcW w:type="dxa" w:w="5112"/>
            <w:shd w:fill="EAF2F8"/>
          </w:tcPr>
          <w:p>
            <w:r>
              <w:rPr>
                <w:b/>
              </w:rPr>
              <w:t>Duty summary</w:t>
            </w:r>
          </w:p>
        </w:tc>
        <w:tc>
          <w:tcPr>
            <w:tcW w:type="dxa" w:w="5112"/>
          </w:tcPr>
          <w:p>
            <w:r>
              <w:t>Internal audit should have unrestricted access and should assess the risk-governance framework and report material issues.</w:t>
            </w:r>
          </w:p>
        </w:tc>
      </w:tr>
      <w:tr>
        <w:tc>
          <w:tcPr>
            <w:tcW w:type="dxa" w:w="5112"/>
            <w:shd w:fill="EAF2F8"/>
          </w:tcPr>
          <w:p>
            <w:r>
              <w:rPr>
                <w:b/>
              </w:rPr>
              <w:t>Evidence artifact</w:t>
            </w:r>
          </w:p>
        </w:tc>
        <w:tc>
          <w:tcPr>
            <w:tcW w:type="dxa" w:w="5112"/>
          </w:tcPr>
          <w:p>
            <w:r>
              <w:t>Audit plan; audit committee packages; issue tracking.</w:t>
            </w:r>
          </w:p>
        </w:tc>
      </w:tr>
      <w:tr>
        <w:tc>
          <w:tcPr>
            <w:tcW w:type="dxa" w:w="5112"/>
            <w:shd w:fill="EAF2F8"/>
          </w:tcPr>
          <w:p>
            <w:r>
              <w:rPr>
                <w:b/>
              </w:rPr>
              <w:t>Overlap / burden issue</w:t>
            </w:r>
          </w:p>
        </w:tc>
        <w:tc>
          <w:tcPr>
            <w:tcW w:type="dxa" w:w="5112"/>
          </w:tcPr>
          <w:p>
            <w:r>
              <w:t>Overlaps with FDICIA audit committee reporting and model/capital internal audit obligations.</w:t>
            </w:r>
          </w:p>
        </w:tc>
      </w:tr>
      <w:tr>
        <w:tc>
          <w:tcPr>
            <w:tcW w:type="dxa" w:w="5112"/>
            <w:shd w:fill="EAF2F8"/>
          </w:tcPr>
          <w:p>
            <w:r>
              <w:rPr>
                <w:b/>
              </w:rPr>
              <w:t>Potential reform treatment</w:t>
            </w:r>
          </w:p>
        </w:tc>
        <w:tc>
          <w:tcPr>
            <w:tcW w:type="dxa" w:w="5112"/>
          </w:tcPr>
          <w:p>
            <w:r>
              <w:t>Create unified controls reporting to audit committee with cross-domain tags.</w:t>
            </w:r>
          </w:p>
        </w:tc>
      </w:tr>
    </w:tbl>
    <w:p/>
    <w:p>
      <w:pPr>
        <w:pStyle w:val="Heading3"/>
      </w:pPr>
      <w:r>
        <w:t>CAP-001 — Capital plan rule</w:t>
      </w:r>
    </w:p>
    <w:tbl>
      <w:tblPr>
        <w:tblStyle w:val="TableGrid"/>
        <w:tblW w:type="auto" w:w="0"/>
        <w:tblLook w:firstColumn="1" w:firstRow="1" w:lastColumn="0" w:lastRow="0" w:noHBand="0" w:noVBand="1" w:val="04A0"/>
      </w:tblPr>
      <w:tblGrid>
        <w:gridCol w:w="5112"/>
        <w:gridCol w:w="5112"/>
      </w:tblGrid>
      <w:tr>
        <w:tc>
          <w:tcPr>
            <w:tcW w:type="dxa" w:w="5112"/>
            <w:shd w:fill="EAF2F8"/>
          </w:tcPr>
          <w:p>
            <w:r>
              <w:rPr>
                <w:b/>
              </w:rPr>
              <w:t>Legal status</w:t>
            </w:r>
          </w:p>
        </w:tc>
        <w:tc>
          <w:tcPr>
            <w:tcW w:type="dxa" w:w="5112"/>
          </w:tcPr>
          <w:p>
            <w:r>
              <w:t>Binding regulation</w:t>
            </w:r>
          </w:p>
        </w:tc>
      </w:tr>
      <w:tr>
        <w:tc>
          <w:tcPr>
            <w:tcW w:type="dxa" w:w="5112"/>
            <w:shd w:fill="EAF2F8"/>
          </w:tcPr>
          <w:p>
            <w:r>
              <w:rPr>
                <w:b/>
              </w:rPr>
              <w:t>Primary source</w:t>
            </w:r>
          </w:p>
        </w:tc>
        <w:tc>
          <w:tcPr>
            <w:tcW w:type="dxa" w:w="5112"/>
          </w:tcPr>
          <w:p>
            <w:r>
              <w:t>12 CFR 225.8</w:t>
            </w:r>
          </w:p>
        </w:tc>
      </w:tr>
      <w:tr>
        <w:tc>
          <w:tcPr>
            <w:tcW w:type="dxa" w:w="5112"/>
            <w:shd w:fill="EAF2F8"/>
          </w:tcPr>
          <w:p>
            <w:r>
              <w:rPr>
                <w:b/>
              </w:rPr>
              <w:t>Board actor</w:t>
            </w:r>
          </w:p>
        </w:tc>
        <w:tc>
          <w:tcPr>
            <w:tcW w:type="dxa" w:w="5112"/>
          </w:tcPr>
          <w:p>
            <w:r>
              <w:t>Parent BHC board and senior management</w:t>
            </w:r>
          </w:p>
        </w:tc>
      </w:tr>
      <w:tr>
        <w:tc>
          <w:tcPr>
            <w:tcW w:type="dxa" w:w="5112"/>
            <w:shd w:fill="EAF2F8"/>
          </w:tcPr>
          <w:p>
            <w:r>
              <w:rPr>
                <w:b/>
              </w:rPr>
              <w:t>Duty summary</w:t>
            </w:r>
          </w:p>
        </w:tc>
        <w:tc>
          <w:tcPr>
            <w:tcW w:type="dxa" w:w="5112"/>
          </w:tcPr>
          <w:p>
            <w:r>
              <w:t>Capital plan rule establishes capital planning and distribution constraints; board oversight is expected through governance of capital adequacy and capital actions.</w:t>
            </w:r>
          </w:p>
        </w:tc>
      </w:tr>
      <w:tr>
        <w:tc>
          <w:tcPr>
            <w:tcW w:type="dxa" w:w="5112"/>
            <w:shd w:fill="EAF2F8"/>
          </w:tcPr>
          <w:p>
            <w:r>
              <w:rPr>
                <w:b/>
              </w:rPr>
              <w:t>Evidence artifact</w:t>
            </w:r>
          </w:p>
        </w:tc>
        <w:tc>
          <w:tcPr>
            <w:tcW w:type="dxa" w:w="5112"/>
          </w:tcPr>
          <w:p>
            <w:r>
              <w:t>Capital plan; board capital policy approval; capital distribution records.</w:t>
            </w:r>
          </w:p>
        </w:tc>
      </w:tr>
      <w:tr>
        <w:tc>
          <w:tcPr>
            <w:tcW w:type="dxa" w:w="5112"/>
            <w:shd w:fill="EAF2F8"/>
          </w:tcPr>
          <w:p>
            <w:r>
              <w:rPr>
                <w:b/>
              </w:rPr>
              <w:t>Overlap / burden issue</w:t>
            </w:r>
          </w:p>
        </w:tc>
        <w:tc>
          <w:tcPr>
            <w:tcW w:type="dxa" w:w="5112"/>
          </w:tcPr>
          <w:p>
            <w:r>
              <w:t>Overlaps with SR 15-18, stress tests, capital policy, and model governance.</w:t>
            </w:r>
          </w:p>
        </w:tc>
      </w:tr>
      <w:tr>
        <w:tc>
          <w:tcPr>
            <w:tcW w:type="dxa" w:w="5112"/>
            <w:shd w:fill="EAF2F8"/>
          </w:tcPr>
          <w:p>
            <w:r>
              <w:rPr>
                <w:b/>
              </w:rPr>
              <w:t>Potential reform treatment</w:t>
            </w:r>
          </w:p>
        </w:tc>
        <w:tc>
          <w:tcPr>
            <w:tcW w:type="dxa" w:w="5112"/>
          </w:tcPr>
          <w:p>
            <w:r>
              <w:t>Separate board decisions on capital actions from technical methodology reporting.</w:t>
            </w:r>
          </w:p>
        </w:tc>
      </w:tr>
    </w:tbl>
    <w:p/>
    <w:p>
      <w:pPr>
        <w:pStyle w:val="Heading3"/>
      </w:pPr>
      <w:r>
        <w:t>CAP-002 — Category I capital planning governance</w:t>
      </w:r>
    </w:p>
    <w:tbl>
      <w:tblPr>
        <w:tblStyle w:val="TableGrid"/>
        <w:tblW w:type="auto" w:w="0"/>
        <w:tblLook w:firstColumn="1" w:firstRow="1" w:lastColumn="0" w:lastRow="0" w:noHBand="0" w:noVBand="1" w:val="04A0"/>
      </w:tblPr>
      <w:tblGrid>
        <w:gridCol w:w="5112"/>
        <w:gridCol w:w="5112"/>
      </w:tblGrid>
      <w:tr>
        <w:tc>
          <w:tcPr>
            <w:tcW w:type="dxa" w:w="5112"/>
            <w:shd w:fill="EAF2F8"/>
          </w:tcPr>
          <w:p>
            <w:r>
              <w:rPr>
                <w:b/>
              </w:rPr>
              <w:t>Legal status</w:t>
            </w:r>
          </w:p>
        </w:tc>
        <w:tc>
          <w:tcPr>
            <w:tcW w:type="dxa" w:w="5112"/>
          </w:tcPr>
          <w:p>
            <w:r>
              <w:t>Supervisory guidance</w:t>
            </w:r>
          </w:p>
        </w:tc>
      </w:tr>
      <w:tr>
        <w:tc>
          <w:tcPr>
            <w:tcW w:type="dxa" w:w="5112"/>
            <w:shd w:fill="EAF2F8"/>
          </w:tcPr>
          <w:p>
            <w:r>
              <w:rPr>
                <w:b/>
              </w:rPr>
              <w:t>Primary source</w:t>
            </w:r>
          </w:p>
        </w:tc>
        <w:tc>
          <w:tcPr>
            <w:tcW w:type="dxa" w:w="5112"/>
          </w:tcPr>
          <w:p>
            <w:r>
              <w:t>SR 15-18</w:t>
            </w:r>
          </w:p>
        </w:tc>
      </w:tr>
      <w:tr>
        <w:tc>
          <w:tcPr>
            <w:tcW w:type="dxa" w:w="5112"/>
            <w:shd w:fill="EAF2F8"/>
          </w:tcPr>
          <w:p>
            <w:r>
              <w:rPr>
                <w:b/>
              </w:rPr>
              <w:t>Board actor</w:t>
            </w:r>
          </w:p>
        </w:tc>
        <w:tc>
          <w:tcPr>
            <w:tcW w:type="dxa" w:w="5112"/>
          </w:tcPr>
          <w:p>
            <w:r>
              <w:t>Parent BHC board, risk committee, audit committee</w:t>
            </w:r>
          </w:p>
        </w:tc>
      </w:tr>
      <w:tr>
        <w:tc>
          <w:tcPr>
            <w:tcW w:type="dxa" w:w="5112"/>
            <w:shd w:fill="EAF2F8"/>
          </w:tcPr>
          <w:p>
            <w:r>
              <w:rPr>
                <w:b/>
              </w:rPr>
              <w:t>Duty summary</w:t>
            </w:r>
          </w:p>
        </w:tc>
        <w:tc>
          <w:tcPr>
            <w:tcW w:type="dxa" w:w="5112"/>
          </w:tcPr>
          <w:p>
            <w:r>
              <w:t>Category I firms are subject to heightened expectations for governance, risk management, internal controls, capital policy, scenario design, and projection methodologies.</w:t>
            </w:r>
          </w:p>
        </w:tc>
      </w:tr>
      <w:tr>
        <w:tc>
          <w:tcPr>
            <w:tcW w:type="dxa" w:w="5112"/>
            <w:shd w:fill="EAF2F8"/>
          </w:tcPr>
          <w:p>
            <w:r>
              <w:rPr>
                <w:b/>
              </w:rPr>
              <w:t>Evidence artifact</w:t>
            </w:r>
          </w:p>
        </w:tc>
        <w:tc>
          <w:tcPr>
            <w:tcW w:type="dxa" w:w="5112"/>
          </w:tcPr>
          <w:p>
            <w:r>
              <w:t>Capital planning calendar; governance charters; methodology inventories; validation and audit reports.</w:t>
            </w:r>
          </w:p>
        </w:tc>
      </w:tr>
      <w:tr>
        <w:tc>
          <w:tcPr>
            <w:tcW w:type="dxa" w:w="5112"/>
            <w:shd w:fill="EAF2F8"/>
          </w:tcPr>
          <w:p>
            <w:r>
              <w:rPr>
                <w:b/>
              </w:rPr>
              <w:t>Overlap / burden issue</w:t>
            </w:r>
          </w:p>
        </w:tc>
        <w:tc>
          <w:tcPr>
            <w:tcW w:type="dxa" w:w="5112"/>
          </w:tcPr>
          <w:p>
            <w:r>
              <w:t>Guidance can generate voluminous board packages, especially around methodologies.</w:t>
            </w:r>
          </w:p>
        </w:tc>
      </w:tr>
      <w:tr>
        <w:tc>
          <w:tcPr>
            <w:tcW w:type="dxa" w:w="5112"/>
            <w:shd w:fill="EAF2F8"/>
          </w:tcPr>
          <w:p>
            <w:r>
              <w:rPr>
                <w:b/>
              </w:rPr>
              <w:t>Potential reform treatment</w:t>
            </w:r>
          </w:p>
        </w:tc>
        <w:tc>
          <w:tcPr>
            <w:tcW w:type="dxa" w:w="5112"/>
          </w:tcPr>
          <w:p>
            <w:r>
              <w:t>Move technical methodology detail to management committees, with board summary and exceptions.</w:t>
            </w:r>
          </w:p>
        </w:tc>
      </w:tr>
    </w:tbl>
    <w:p/>
    <w:p>
      <w:pPr>
        <w:pStyle w:val="Heading3"/>
      </w:pPr>
      <w:r>
        <w:t>CAP-003 — Advanced approaches implementation plan</w:t>
      </w:r>
    </w:p>
    <w:tbl>
      <w:tblPr>
        <w:tblStyle w:val="TableGrid"/>
        <w:tblW w:type="auto" w:w="0"/>
        <w:tblLook w:firstColumn="1" w:firstRow="1" w:lastColumn="0" w:lastRow="0" w:noHBand="0" w:noVBand="1" w:val="04A0"/>
      </w:tblPr>
      <w:tblGrid>
        <w:gridCol w:w="5112"/>
        <w:gridCol w:w="5112"/>
      </w:tblGrid>
      <w:tr>
        <w:tc>
          <w:tcPr>
            <w:tcW w:type="dxa" w:w="5112"/>
            <w:shd w:fill="EAF2F8"/>
          </w:tcPr>
          <w:p>
            <w:r>
              <w:rPr>
                <w:b/>
              </w:rPr>
              <w:t>Legal status</w:t>
            </w:r>
          </w:p>
        </w:tc>
        <w:tc>
          <w:tcPr>
            <w:tcW w:type="dxa" w:w="5112"/>
          </w:tcPr>
          <w:p>
            <w:r>
              <w:t>Binding regulation</w:t>
            </w:r>
          </w:p>
        </w:tc>
      </w:tr>
      <w:tr>
        <w:tc>
          <w:tcPr>
            <w:tcW w:type="dxa" w:w="5112"/>
            <w:shd w:fill="EAF2F8"/>
          </w:tcPr>
          <w:p>
            <w:r>
              <w:rPr>
                <w:b/>
              </w:rPr>
              <w:t>Primary source</w:t>
            </w:r>
          </w:p>
        </w:tc>
        <w:tc>
          <w:tcPr>
            <w:tcW w:type="dxa" w:w="5112"/>
          </w:tcPr>
          <w:p>
            <w:r>
              <w:t>12 CFR part 217</w:t>
            </w:r>
          </w:p>
        </w:tc>
      </w:tr>
      <w:tr>
        <w:tc>
          <w:tcPr>
            <w:tcW w:type="dxa" w:w="5112"/>
            <w:shd w:fill="EAF2F8"/>
          </w:tcPr>
          <w:p>
            <w:r>
              <w:rPr>
                <w:b/>
              </w:rPr>
              <w:t>Board actor</w:t>
            </w:r>
          </w:p>
        </w:tc>
        <w:tc>
          <w:tcPr>
            <w:tcW w:type="dxa" w:w="5112"/>
          </w:tcPr>
          <w:p>
            <w:r>
              <w:t>Board of advanced approaches regulated entity</w:t>
            </w:r>
          </w:p>
        </w:tc>
      </w:tr>
      <w:tr>
        <w:tc>
          <w:tcPr>
            <w:tcW w:type="dxa" w:w="5112"/>
            <w:shd w:fill="EAF2F8"/>
          </w:tcPr>
          <w:p>
            <w:r>
              <w:rPr>
                <w:b/>
              </w:rPr>
              <w:t>Duty summary</w:t>
            </w:r>
          </w:p>
        </w:tc>
        <w:tc>
          <w:tcPr>
            <w:tcW w:type="dxa" w:w="5112"/>
          </w:tcPr>
          <w:p>
            <w:r>
              <w:t>Implementation plan for advanced approaches systems must be approved by board; approval minutes are submitted or retained as required.</w:t>
            </w:r>
          </w:p>
        </w:tc>
      </w:tr>
      <w:tr>
        <w:tc>
          <w:tcPr>
            <w:tcW w:type="dxa" w:w="5112"/>
            <w:shd w:fill="EAF2F8"/>
          </w:tcPr>
          <w:p>
            <w:r>
              <w:rPr>
                <w:b/>
              </w:rPr>
              <w:t>Evidence artifact</w:t>
            </w:r>
          </w:p>
        </w:tc>
        <w:tc>
          <w:tcPr>
            <w:tcW w:type="dxa" w:w="5112"/>
          </w:tcPr>
          <w:p>
            <w:r>
              <w:t>Board resolution; minutes; implementation plan.</w:t>
            </w:r>
          </w:p>
        </w:tc>
      </w:tr>
      <w:tr>
        <w:tc>
          <w:tcPr>
            <w:tcW w:type="dxa" w:w="5112"/>
            <w:shd w:fill="EAF2F8"/>
          </w:tcPr>
          <w:p>
            <w:r>
              <w:rPr>
                <w:b/>
              </w:rPr>
              <w:t>Overlap / burden issue</w:t>
            </w:r>
          </w:p>
        </w:tc>
        <w:tc>
          <w:tcPr>
            <w:tcW w:type="dxa" w:w="5112"/>
          </w:tcPr>
          <w:p>
            <w:r>
              <w:t>Board approval of technical capital systems overlaps with audit and model risk governance.</w:t>
            </w:r>
          </w:p>
        </w:tc>
      </w:tr>
      <w:tr>
        <w:tc>
          <w:tcPr>
            <w:tcW w:type="dxa" w:w="5112"/>
            <w:shd w:fill="EAF2F8"/>
          </w:tcPr>
          <w:p>
            <w:r>
              <w:rPr>
                <w:b/>
              </w:rPr>
              <w:t>Potential reform treatment</w:t>
            </w:r>
          </w:p>
        </w:tc>
        <w:tc>
          <w:tcPr>
            <w:tcW w:type="dxa" w:w="5112"/>
          </w:tcPr>
          <w:p>
            <w:r>
              <w:t>Allow risk/audit committee approval where full board receives summary.</w:t>
            </w:r>
          </w:p>
        </w:tc>
      </w:tr>
    </w:tbl>
    <w:p/>
    <w:p>
      <w:pPr>
        <w:pStyle w:val="Heading3"/>
      </w:pPr>
      <w:r>
        <w:t>CAP-004 — Advanced systems annual audit report</w:t>
      </w:r>
    </w:p>
    <w:tbl>
      <w:tblPr>
        <w:tblStyle w:val="TableGrid"/>
        <w:tblW w:type="auto" w:w="0"/>
        <w:tblLook w:firstColumn="1" w:firstRow="1" w:lastColumn="0" w:lastRow="0" w:noHBand="0" w:noVBand="1" w:val="04A0"/>
      </w:tblPr>
      <w:tblGrid>
        <w:gridCol w:w="5112"/>
        <w:gridCol w:w="5112"/>
      </w:tblGrid>
      <w:tr>
        <w:tc>
          <w:tcPr>
            <w:tcW w:type="dxa" w:w="5112"/>
            <w:shd w:fill="EAF2F8"/>
          </w:tcPr>
          <w:p>
            <w:r>
              <w:rPr>
                <w:b/>
              </w:rPr>
              <w:t>Legal status</w:t>
            </w:r>
          </w:p>
        </w:tc>
        <w:tc>
          <w:tcPr>
            <w:tcW w:type="dxa" w:w="5112"/>
          </w:tcPr>
          <w:p>
            <w:r>
              <w:t>Binding regulation</w:t>
            </w:r>
          </w:p>
        </w:tc>
      </w:tr>
      <w:tr>
        <w:tc>
          <w:tcPr>
            <w:tcW w:type="dxa" w:w="5112"/>
            <w:shd w:fill="EAF2F8"/>
          </w:tcPr>
          <w:p>
            <w:r>
              <w:rPr>
                <w:b/>
              </w:rPr>
              <w:t>Primary source</w:t>
            </w:r>
          </w:p>
        </w:tc>
        <w:tc>
          <w:tcPr>
            <w:tcW w:type="dxa" w:w="5112"/>
          </w:tcPr>
          <w:p>
            <w:r>
              <w:t>12 CFR part 217</w:t>
            </w:r>
          </w:p>
        </w:tc>
      </w:tr>
      <w:tr>
        <w:tc>
          <w:tcPr>
            <w:tcW w:type="dxa" w:w="5112"/>
            <w:shd w:fill="EAF2F8"/>
          </w:tcPr>
          <w:p>
            <w:r>
              <w:rPr>
                <w:b/>
              </w:rPr>
              <w:t>Board actor</w:t>
            </w:r>
          </w:p>
        </w:tc>
        <w:tc>
          <w:tcPr>
            <w:tcW w:type="dxa" w:w="5112"/>
          </w:tcPr>
          <w:p>
            <w:r>
              <w:t>Board or board committee</w:t>
            </w:r>
          </w:p>
        </w:tc>
      </w:tr>
      <w:tr>
        <w:tc>
          <w:tcPr>
            <w:tcW w:type="dxa" w:w="5112"/>
            <w:shd w:fill="EAF2F8"/>
          </w:tcPr>
          <w:p>
            <w:r>
              <w:rPr>
                <w:b/>
              </w:rPr>
              <w:t>Duty summary</w:t>
            </w:r>
          </w:p>
        </w:tc>
        <w:tc>
          <w:tcPr>
            <w:tcW w:type="dxa" w:w="5112"/>
          </w:tcPr>
          <w:p>
            <w:r>
              <w:t>Internal audit must annually review advanced systems and report findings to board or committee.</w:t>
            </w:r>
          </w:p>
        </w:tc>
      </w:tr>
      <w:tr>
        <w:tc>
          <w:tcPr>
            <w:tcW w:type="dxa" w:w="5112"/>
            <w:shd w:fill="EAF2F8"/>
          </w:tcPr>
          <w:p>
            <w:r>
              <w:rPr>
                <w:b/>
              </w:rPr>
              <w:t>Evidence artifact</w:t>
            </w:r>
          </w:p>
        </w:tc>
        <w:tc>
          <w:tcPr>
            <w:tcW w:type="dxa" w:w="5112"/>
          </w:tcPr>
          <w:p>
            <w:r>
              <w:t>Internal audit report; issue remediation tracker.</w:t>
            </w:r>
          </w:p>
        </w:tc>
      </w:tr>
      <w:tr>
        <w:tc>
          <w:tcPr>
            <w:tcW w:type="dxa" w:w="5112"/>
            <w:shd w:fill="EAF2F8"/>
          </w:tcPr>
          <w:p>
            <w:r>
              <w:rPr>
                <w:b/>
              </w:rPr>
              <w:t>Overlap / burden issue</w:t>
            </w:r>
          </w:p>
        </w:tc>
        <w:tc>
          <w:tcPr>
            <w:tcW w:type="dxa" w:w="5112"/>
          </w:tcPr>
          <w:p>
            <w:r>
              <w:t>Overlaps with model validation, capital planning audit, and operational-risk controls.</w:t>
            </w:r>
          </w:p>
        </w:tc>
      </w:tr>
      <w:tr>
        <w:tc>
          <w:tcPr>
            <w:tcW w:type="dxa" w:w="5112"/>
            <w:shd w:fill="EAF2F8"/>
          </w:tcPr>
          <w:p>
            <w:r>
              <w:rPr>
                <w:b/>
              </w:rPr>
              <w:t>Potential reform treatment</w:t>
            </w:r>
          </w:p>
        </w:tc>
        <w:tc>
          <w:tcPr>
            <w:tcW w:type="dxa" w:w="5112"/>
          </w:tcPr>
          <w:p>
            <w:r>
              <w:t>Permit consolidated model/capital systems assurance report.</w:t>
            </w:r>
          </w:p>
        </w:tc>
      </w:tr>
    </w:tbl>
    <w:p/>
    <w:p>
      <w:pPr>
        <w:pStyle w:val="Heading3"/>
      </w:pPr>
      <w:r>
        <w:t>LIQ-001 — Liquidity risk tolerance</w:t>
      </w:r>
    </w:p>
    <w:tbl>
      <w:tblPr>
        <w:tblStyle w:val="TableGrid"/>
        <w:tblW w:type="auto" w:w="0"/>
        <w:tblLook w:firstColumn="1" w:firstRow="1" w:lastColumn="0" w:lastRow="0" w:noHBand="0" w:noVBand="1" w:val="04A0"/>
      </w:tblPr>
      <w:tblGrid>
        <w:gridCol w:w="5112"/>
        <w:gridCol w:w="5112"/>
      </w:tblGrid>
      <w:tr>
        <w:tc>
          <w:tcPr>
            <w:tcW w:type="dxa" w:w="5112"/>
            <w:shd w:fill="EAF2F8"/>
          </w:tcPr>
          <w:p>
            <w:r>
              <w:rPr>
                <w:b/>
              </w:rPr>
              <w:t>Legal status</w:t>
            </w:r>
          </w:p>
        </w:tc>
        <w:tc>
          <w:tcPr>
            <w:tcW w:type="dxa" w:w="5112"/>
          </w:tcPr>
          <w:p>
            <w:r>
              <w:t>Binding regulation</w:t>
            </w:r>
          </w:p>
        </w:tc>
      </w:tr>
      <w:tr>
        <w:tc>
          <w:tcPr>
            <w:tcW w:type="dxa" w:w="5112"/>
            <w:shd w:fill="EAF2F8"/>
          </w:tcPr>
          <w:p>
            <w:r>
              <w:rPr>
                <w:b/>
              </w:rPr>
              <w:t>Primary source</w:t>
            </w:r>
          </w:p>
        </w:tc>
        <w:tc>
          <w:tcPr>
            <w:tcW w:type="dxa" w:w="5112"/>
          </w:tcPr>
          <w:p>
            <w:r>
              <w:t>12 CFR 252.34(a)</w:t>
            </w:r>
          </w:p>
        </w:tc>
      </w:tr>
      <w:tr>
        <w:tc>
          <w:tcPr>
            <w:tcW w:type="dxa" w:w="5112"/>
            <w:shd w:fill="EAF2F8"/>
          </w:tcPr>
          <w:p>
            <w:r>
              <w:rPr>
                <w:b/>
              </w:rPr>
              <w:t>Board actor</w:t>
            </w:r>
          </w:p>
        </w:tc>
        <w:tc>
          <w:tcPr>
            <w:tcW w:type="dxa" w:w="5112"/>
          </w:tcPr>
          <w:p>
            <w:r>
              <w:t>Parent BHC full board</w:t>
            </w:r>
          </w:p>
        </w:tc>
      </w:tr>
      <w:tr>
        <w:tc>
          <w:tcPr>
            <w:tcW w:type="dxa" w:w="5112"/>
            <w:shd w:fill="EAF2F8"/>
          </w:tcPr>
          <w:p>
            <w:r>
              <w:rPr>
                <w:b/>
              </w:rPr>
              <w:t>Duty summary</w:t>
            </w:r>
          </w:p>
        </w:tc>
        <w:tc>
          <w:tcPr>
            <w:tcW w:type="dxa" w:w="5112"/>
          </w:tcPr>
          <w:p>
            <w:r>
              <w:t>Board must approve liquidity risk tolerance at least annually based on capital structure, risk profile, complexity, activities, size, and other risk factors.</w:t>
            </w:r>
          </w:p>
        </w:tc>
      </w:tr>
      <w:tr>
        <w:tc>
          <w:tcPr>
            <w:tcW w:type="dxa" w:w="5112"/>
            <w:shd w:fill="EAF2F8"/>
          </w:tcPr>
          <w:p>
            <w:r>
              <w:rPr>
                <w:b/>
              </w:rPr>
              <w:t>Evidence artifact</w:t>
            </w:r>
          </w:p>
        </w:tc>
        <w:tc>
          <w:tcPr>
            <w:tcW w:type="dxa" w:w="5112"/>
          </w:tcPr>
          <w:p>
            <w:r>
              <w:t>Annual liquidity risk tolerance approval; minutes; risk appetite crosswalk.</w:t>
            </w:r>
          </w:p>
        </w:tc>
      </w:tr>
      <w:tr>
        <w:tc>
          <w:tcPr>
            <w:tcW w:type="dxa" w:w="5112"/>
            <w:shd w:fill="EAF2F8"/>
          </w:tcPr>
          <w:p>
            <w:r>
              <w:rPr>
                <w:b/>
              </w:rPr>
              <w:t>Overlap / burden issue</w:t>
            </w:r>
          </w:p>
        </w:tc>
        <w:tc>
          <w:tcPr>
            <w:tcW w:type="dxa" w:w="5112"/>
          </w:tcPr>
          <w:p>
            <w:r>
              <w:t>Overlaps with enterprise risk appetite and IDI liquidity limits.</w:t>
            </w:r>
          </w:p>
        </w:tc>
      </w:tr>
      <w:tr>
        <w:tc>
          <w:tcPr>
            <w:tcW w:type="dxa" w:w="5112"/>
            <w:shd w:fill="EAF2F8"/>
          </w:tcPr>
          <w:p>
            <w:r>
              <w:rPr>
                <w:b/>
              </w:rPr>
              <w:t>Potential reform treatment</w:t>
            </w:r>
          </w:p>
        </w:tc>
        <w:tc>
          <w:tcPr>
            <w:tcW w:type="dxa" w:w="5112"/>
          </w:tcPr>
          <w:p>
            <w:r>
              <w:t>Combine liquidity risk tolerance with enterprise risk appetite annual package.</w:t>
            </w:r>
          </w:p>
        </w:tc>
      </w:tr>
    </w:tbl>
    <w:p/>
    <w:p>
      <w:pPr>
        <w:pStyle w:val="Heading3"/>
      </w:pPr>
      <w:r>
        <w:t>LIQ-002 — Liquidity policies and procedures</w:t>
      </w:r>
    </w:p>
    <w:tbl>
      <w:tblPr>
        <w:tblStyle w:val="TableGrid"/>
        <w:tblW w:type="auto" w:w="0"/>
        <w:tblLook w:firstColumn="1" w:firstRow="1" w:lastColumn="0" w:lastRow="0" w:noHBand="0" w:noVBand="1" w:val="04A0"/>
      </w:tblPr>
      <w:tblGrid>
        <w:gridCol w:w="5112"/>
        <w:gridCol w:w="5112"/>
      </w:tblGrid>
      <w:tr>
        <w:tc>
          <w:tcPr>
            <w:tcW w:type="dxa" w:w="5112"/>
            <w:shd w:fill="EAF2F8"/>
          </w:tcPr>
          <w:p>
            <w:r>
              <w:rPr>
                <w:b/>
              </w:rPr>
              <w:t>Legal status</w:t>
            </w:r>
          </w:p>
        </w:tc>
        <w:tc>
          <w:tcPr>
            <w:tcW w:type="dxa" w:w="5112"/>
          </w:tcPr>
          <w:p>
            <w:r>
              <w:t>Binding regulation</w:t>
            </w:r>
          </w:p>
        </w:tc>
      </w:tr>
      <w:tr>
        <w:tc>
          <w:tcPr>
            <w:tcW w:type="dxa" w:w="5112"/>
            <w:shd w:fill="EAF2F8"/>
          </w:tcPr>
          <w:p>
            <w:r>
              <w:rPr>
                <w:b/>
              </w:rPr>
              <w:t>Primary source</w:t>
            </w:r>
          </w:p>
        </w:tc>
        <w:tc>
          <w:tcPr>
            <w:tcW w:type="dxa" w:w="5112"/>
          </w:tcPr>
          <w:p>
            <w:r>
              <w:t>12 CFR 252.34(a)</w:t>
            </w:r>
          </w:p>
        </w:tc>
      </w:tr>
      <w:tr>
        <w:tc>
          <w:tcPr>
            <w:tcW w:type="dxa" w:w="5112"/>
            <w:shd w:fill="EAF2F8"/>
          </w:tcPr>
          <w:p>
            <w:r>
              <w:rPr>
                <w:b/>
              </w:rPr>
              <w:t>Board actor</w:t>
            </w:r>
          </w:p>
        </w:tc>
        <w:tc>
          <w:tcPr>
            <w:tcW w:type="dxa" w:w="5112"/>
          </w:tcPr>
          <w:p>
            <w:r>
              <w:t>Parent BHC full board</w:t>
            </w:r>
          </w:p>
        </w:tc>
      </w:tr>
      <w:tr>
        <w:tc>
          <w:tcPr>
            <w:tcW w:type="dxa" w:w="5112"/>
            <w:shd w:fill="EAF2F8"/>
          </w:tcPr>
          <w:p>
            <w:r>
              <w:rPr>
                <w:b/>
              </w:rPr>
              <w:t>Duty summary</w:t>
            </w:r>
          </w:p>
        </w:tc>
        <w:tc>
          <w:tcPr>
            <w:tcW w:type="dxa" w:w="5112"/>
          </w:tcPr>
          <w:p>
            <w:r>
              <w:t>Board must approve and periodically review liquidity risk-management strategies, policies, and procedures established by senior management.</w:t>
            </w:r>
          </w:p>
        </w:tc>
      </w:tr>
      <w:tr>
        <w:tc>
          <w:tcPr>
            <w:tcW w:type="dxa" w:w="5112"/>
            <w:shd w:fill="EAF2F8"/>
          </w:tcPr>
          <w:p>
            <w:r>
              <w:rPr>
                <w:b/>
              </w:rPr>
              <w:t>Evidence artifact</w:t>
            </w:r>
          </w:p>
        </w:tc>
        <w:tc>
          <w:tcPr>
            <w:tcW w:type="dxa" w:w="5112"/>
          </w:tcPr>
          <w:p>
            <w:r>
              <w:t>Policy approval record; periodic review calendar.</w:t>
            </w:r>
          </w:p>
        </w:tc>
      </w:tr>
      <w:tr>
        <w:tc>
          <w:tcPr>
            <w:tcW w:type="dxa" w:w="5112"/>
            <w:shd w:fill="EAF2F8"/>
          </w:tcPr>
          <w:p>
            <w:r>
              <w:rPr>
                <w:b/>
              </w:rPr>
              <w:t>Overlap / burden issue</w:t>
            </w:r>
          </w:p>
        </w:tc>
        <w:tc>
          <w:tcPr>
            <w:tcW w:type="dxa" w:w="5112"/>
          </w:tcPr>
          <w:p>
            <w:r>
              <w:t>May pull operational procedures into board package.</w:t>
            </w:r>
          </w:p>
        </w:tc>
      </w:tr>
      <w:tr>
        <w:tc>
          <w:tcPr>
            <w:tcW w:type="dxa" w:w="5112"/>
            <w:shd w:fill="EAF2F8"/>
          </w:tcPr>
          <w:p>
            <w:r>
              <w:rPr>
                <w:b/>
              </w:rPr>
              <w:t>Potential reform treatment</w:t>
            </w:r>
          </w:p>
        </w:tc>
        <w:tc>
          <w:tcPr>
            <w:tcW w:type="dxa" w:w="5112"/>
          </w:tcPr>
          <w:p>
            <w:r>
              <w:t>Distinguish strategic liquidity policy requiring board approval from procedures owned by management.</w:t>
            </w:r>
          </w:p>
        </w:tc>
      </w:tr>
    </w:tbl>
    <w:p/>
    <w:p>
      <w:pPr>
        <w:pStyle w:val="Heading3"/>
      </w:pPr>
      <w:r>
        <w:t>LIQ-003 — Contingency funding plan</w:t>
      </w:r>
    </w:p>
    <w:tbl>
      <w:tblPr>
        <w:tblStyle w:val="TableGrid"/>
        <w:tblW w:type="auto" w:w="0"/>
        <w:tblLook w:firstColumn="1" w:firstRow="1" w:lastColumn="0" w:lastRow="0" w:noHBand="0" w:noVBand="1" w:val="04A0"/>
      </w:tblPr>
      <w:tblGrid>
        <w:gridCol w:w="5112"/>
        <w:gridCol w:w="5112"/>
      </w:tblGrid>
      <w:tr>
        <w:tc>
          <w:tcPr>
            <w:tcW w:type="dxa" w:w="5112"/>
            <w:shd w:fill="EAF2F8"/>
          </w:tcPr>
          <w:p>
            <w:r>
              <w:rPr>
                <w:b/>
              </w:rPr>
              <w:t>Legal status</w:t>
            </w:r>
          </w:p>
        </w:tc>
        <w:tc>
          <w:tcPr>
            <w:tcW w:type="dxa" w:w="5112"/>
          </w:tcPr>
          <w:p>
            <w:r>
              <w:t>Binding regulation</w:t>
            </w:r>
          </w:p>
        </w:tc>
      </w:tr>
      <w:tr>
        <w:tc>
          <w:tcPr>
            <w:tcW w:type="dxa" w:w="5112"/>
            <w:shd w:fill="EAF2F8"/>
          </w:tcPr>
          <w:p>
            <w:r>
              <w:rPr>
                <w:b/>
              </w:rPr>
              <w:t>Primary source</w:t>
            </w:r>
          </w:p>
        </w:tc>
        <w:tc>
          <w:tcPr>
            <w:tcW w:type="dxa" w:w="5112"/>
          </w:tcPr>
          <w:p>
            <w:r>
              <w:t>12 CFR 252.34(b)</w:t>
            </w:r>
          </w:p>
        </w:tc>
      </w:tr>
      <w:tr>
        <w:tc>
          <w:tcPr>
            <w:tcW w:type="dxa" w:w="5112"/>
            <w:shd w:fill="EAF2F8"/>
          </w:tcPr>
          <w:p>
            <w:r>
              <w:rPr>
                <w:b/>
              </w:rPr>
              <w:t>Board actor</w:t>
            </w:r>
          </w:p>
        </w:tc>
        <w:tc>
          <w:tcPr>
            <w:tcW w:type="dxa" w:w="5112"/>
          </w:tcPr>
          <w:p>
            <w:r>
              <w:t>Risk committee or designated board-member subcommittee</w:t>
            </w:r>
          </w:p>
        </w:tc>
      </w:tr>
      <w:tr>
        <w:tc>
          <w:tcPr>
            <w:tcW w:type="dxa" w:w="5112"/>
            <w:shd w:fill="EAF2F8"/>
          </w:tcPr>
          <w:p>
            <w:r>
              <w:rPr>
                <w:b/>
              </w:rPr>
              <w:t>Duty summary</w:t>
            </w:r>
          </w:p>
        </w:tc>
        <w:tc>
          <w:tcPr>
            <w:tcW w:type="dxa" w:w="5112"/>
          </w:tcPr>
          <w:p>
            <w:r>
              <w:t>Risk committee or designated board subcommittee must approve contingency funding plan at least annually and approve material revisions before implementation.</w:t>
            </w:r>
          </w:p>
        </w:tc>
      </w:tr>
      <w:tr>
        <w:tc>
          <w:tcPr>
            <w:tcW w:type="dxa" w:w="5112"/>
            <w:shd w:fill="EAF2F8"/>
          </w:tcPr>
          <w:p>
            <w:r>
              <w:rPr>
                <w:b/>
              </w:rPr>
              <w:t>Evidence artifact</w:t>
            </w:r>
          </w:p>
        </w:tc>
        <w:tc>
          <w:tcPr>
            <w:tcW w:type="dxa" w:w="5112"/>
          </w:tcPr>
          <w:p>
            <w:r>
              <w:t>CFP approval; material revision log; stress escalation protocols.</w:t>
            </w:r>
          </w:p>
        </w:tc>
      </w:tr>
      <w:tr>
        <w:tc>
          <w:tcPr>
            <w:tcW w:type="dxa" w:w="5112"/>
            <w:shd w:fill="EAF2F8"/>
          </w:tcPr>
          <w:p>
            <w:r>
              <w:rPr>
                <w:b/>
              </w:rPr>
              <w:t>Overlap / burden issue</w:t>
            </w:r>
          </w:p>
        </w:tc>
        <w:tc>
          <w:tcPr>
            <w:tcW w:type="dxa" w:w="5112"/>
          </w:tcPr>
          <w:p>
            <w:r>
              <w:t>Potentially duplicative with full-board liquidity policy review.</w:t>
            </w:r>
          </w:p>
        </w:tc>
      </w:tr>
      <w:tr>
        <w:tc>
          <w:tcPr>
            <w:tcW w:type="dxa" w:w="5112"/>
            <w:shd w:fill="EAF2F8"/>
          </w:tcPr>
          <w:p>
            <w:r>
              <w:rPr>
                <w:b/>
              </w:rPr>
              <w:t>Potential reform treatment</w:t>
            </w:r>
          </w:p>
        </w:tc>
        <w:tc>
          <w:tcPr>
            <w:tcW w:type="dxa" w:w="5112"/>
          </w:tcPr>
          <w:p>
            <w:r>
              <w:t>Consolidate annual liquidity approvals; retain event-driven material-change approvals.</w:t>
            </w:r>
          </w:p>
        </w:tc>
      </w:tr>
    </w:tbl>
    <w:p/>
    <w:p>
      <w:pPr>
        <w:pStyle w:val="Heading3"/>
      </w:pPr>
      <w:r>
        <w:t>LIQ-004 — Quarterly liquidity reporting</w:t>
      </w:r>
    </w:p>
    <w:tbl>
      <w:tblPr>
        <w:tblStyle w:val="TableGrid"/>
        <w:tblW w:type="auto" w:w="0"/>
        <w:tblLook w:firstColumn="1" w:firstRow="1" w:lastColumn="0" w:lastRow="0" w:noHBand="0" w:noVBand="1" w:val="04A0"/>
      </w:tblPr>
      <w:tblGrid>
        <w:gridCol w:w="5112"/>
        <w:gridCol w:w="5112"/>
      </w:tblGrid>
      <w:tr>
        <w:tc>
          <w:tcPr>
            <w:tcW w:type="dxa" w:w="5112"/>
            <w:shd w:fill="EAF2F8"/>
          </w:tcPr>
          <w:p>
            <w:r>
              <w:rPr>
                <w:b/>
              </w:rPr>
              <w:t>Legal status</w:t>
            </w:r>
          </w:p>
        </w:tc>
        <w:tc>
          <w:tcPr>
            <w:tcW w:type="dxa" w:w="5112"/>
          </w:tcPr>
          <w:p>
            <w:r>
              <w:t>Binding regulation</w:t>
            </w:r>
          </w:p>
        </w:tc>
      </w:tr>
      <w:tr>
        <w:tc>
          <w:tcPr>
            <w:tcW w:type="dxa" w:w="5112"/>
            <w:shd w:fill="EAF2F8"/>
          </w:tcPr>
          <w:p>
            <w:r>
              <w:rPr>
                <w:b/>
              </w:rPr>
              <w:t>Primary source</w:t>
            </w:r>
          </w:p>
        </w:tc>
        <w:tc>
          <w:tcPr>
            <w:tcW w:type="dxa" w:w="5112"/>
          </w:tcPr>
          <w:p>
            <w:r>
              <w:t>12 CFR 252.34(c)</w:t>
            </w:r>
          </w:p>
        </w:tc>
      </w:tr>
      <w:tr>
        <w:tc>
          <w:tcPr>
            <w:tcW w:type="dxa" w:w="5112"/>
            <w:shd w:fill="EAF2F8"/>
          </w:tcPr>
          <w:p>
            <w:r>
              <w:rPr>
                <w:b/>
              </w:rPr>
              <w:t>Board actor</w:t>
            </w:r>
          </w:p>
        </w:tc>
        <w:tc>
          <w:tcPr>
            <w:tcW w:type="dxa" w:w="5112"/>
          </w:tcPr>
          <w:p>
            <w:r>
              <w:t>Board or risk committee</w:t>
            </w:r>
          </w:p>
        </w:tc>
      </w:tr>
      <w:tr>
        <w:tc>
          <w:tcPr>
            <w:tcW w:type="dxa" w:w="5112"/>
            <w:shd w:fill="EAF2F8"/>
          </w:tcPr>
          <w:p>
            <w:r>
              <w:rPr>
                <w:b/>
              </w:rPr>
              <w:t>Duty summary</w:t>
            </w:r>
          </w:p>
        </w:tc>
        <w:tc>
          <w:tcPr>
            <w:tcW w:type="dxa" w:w="5112"/>
          </w:tcPr>
          <w:p>
            <w:r>
              <w:t>Senior management must report at least quarterly on liquidity risk profile and liquidity risk tolerance, and more frequently when warranted.</w:t>
            </w:r>
          </w:p>
        </w:tc>
      </w:tr>
      <w:tr>
        <w:tc>
          <w:tcPr>
            <w:tcW w:type="dxa" w:w="5112"/>
            <w:shd w:fill="EAF2F8"/>
          </w:tcPr>
          <w:p>
            <w:r>
              <w:rPr>
                <w:b/>
              </w:rPr>
              <w:t>Evidence artifact</w:t>
            </w:r>
          </w:p>
        </w:tc>
        <w:tc>
          <w:tcPr>
            <w:tcW w:type="dxa" w:w="5112"/>
          </w:tcPr>
          <w:p>
            <w:r>
              <w:t>Quarterly liquidity dashboard; minutes; escalation log.</w:t>
            </w:r>
          </w:p>
        </w:tc>
      </w:tr>
      <w:tr>
        <w:tc>
          <w:tcPr>
            <w:tcW w:type="dxa" w:w="5112"/>
            <w:shd w:fill="EAF2F8"/>
          </w:tcPr>
          <w:p>
            <w:r>
              <w:rPr>
                <w:b/>
              </w:rPr>
              <w:t>Overlap / burden issue</w:t>
            </w:r>
          </w:p>
        </w:tc>
        <w:tc>
          <w:tcPr>
            <w:tcW w:type="dxa" w:w="5112"/>
          </w:tcPr>
          <w:p>
            <w:r>
              <w:t>Can duplicate treasury ALCO reporting and IDI board reporting.</w:t>
            </w:r>
          </w:p>
        </w:tc>
      </w:tr>
      <w:tr>
        <w:tc>
          <w:tcPr>
            <w:tcW w:type="dxa" w:w="5112"/>
            <w:shd w:fill="EAF2F8"/>
          </w:tcPr>
          <w:p>
            <w:r>
              <w:rPr>
                <w:b/>
              </w:rPr>
              <w:t>Potential reform treatment</w:t>
            </w:r>
          </w:p>
        </w:tc>
        <w:tc>
          <w:tcPr>
            <w:tcW w:type="dxa" w:w="5112"/>
          </w:tcPr>
          <w:p>
            <w:r>
              <w:t>Use one enterprise liquidity dashboard with legal-entity annexes.</w:t>
            </w:r>
          </w:p>
        </w:tc>
      </w:tr>
    </w:tbl>
    <w:p/>
    <w:p>
      <w:pPr>
        <w:pStyle w:val="Heading3"/>
      </w:pPr>
      <w:r>
        <w:t>LIQ-005 — Liquidity stress-testing oversight</w:t>
      </w:r>
    </w:p>
    <w:tbl>
      <w:tblPr>
        <w:tblStyle w:val="TableGrid"/>
        <w:tblW w:type="auto" w:w="0"/>
        <w:tblLook w:firstColumn="1" w:firstRow="1" w:lastColumn="0" w:lastRow="0" w:noHBand="0" w:noVBand="1" w:val="04A0"/>
      </w:tblPr>
      <w:tblGrid>
        <w:gridCol w:w="5112"/>
        <w:gridCol w:w="5112"/>
      </w:tblGrid>
      <w:tr>
        <w:tc>
          <w:tcPr>
            <w:tcW w:type="dxa" w:w="5112"/>
            <w:shd w:fill="EAF2F8"/>
          </w:tcPr>
          <w:p>
            <w:r>
              <w:rPr>
                <w:b/>
              </w:rPr>
              <w:t>Legal status</w:t>
            </w:r>
          </w:p>
        </w:tc>
        <w:tc>
          <w:tcPr>
            <w:tcW w:type="dxa" w:w="5112"/>
          </w:tcPr>
          <w:p>
            <w:r>
              <w:t>Binding regulation</w:t>
            </w:r>
          </w:p>
        </w:tc>
      </w:tr>
      <w:tr>
        <w:tc>
          <w:tcPr>
            <w:tcW w:type="dxa" w:w="5112"/>
            <w:shd w:fill="EAF2F8"/>
          </w:tcPr>
          <w:p>
            <w:r>
              <w:rPr>
                <w:b/>
              </w:rPr>
              <w:t>Primary source</w:t>
            </w:r>
          </w:p>
        </w:tc>
        <w:tc>
          <w:tcPr>
            <w:tcW w:type="dxa" w:w="5112"/>
          </w:tcPr>
          <w:p>
            <w:r>
              <w:t>12 CFR 252.35</w:t>
            </w:r>
          </w:p>
        </w:tc>
      </w:tr>
      <w:tr>
        <w:tc>
          <w:tcPr>
            <w:tcW w:type="dxa" w:w="5112"/>
            <w:shd w:fill="EAF2F8"/>
          </w:tcPr>
          <w:p>
            <w:r>
              <w:rPr>
                <w:b/>
              </w:rPr>
              <w:t>Board actor</w:t>
            </w:r>
          </w:p>
        </w:tc>
        <w:tc>
          <w:tcPr>
            <w:tcW w:type="dxa" w:w="5112"/>
          </w:tcPr>
          <w:p>
            <w:r>
              <w:t>Board oversight through risk governance</w:t>
            </w:r>
          </w:p>
        </w:tc>
      </w:tr>
      <w:tr>
        <w:tc>
          <w:tcPr>
            <w:tcW w:type="dxa" w:w="5112"/>
            <w:shd w:fill="EAF2F8"/>
          </w:tcPr>
          <w:p>
            <w:r>
              <w:rPr>
                <w:b/>
              </w:rPr>
              <w:t>Duty summary</w:t>
            </w:r>
          </w:p>
        </w:tc>
        <w:tc>
          <w:tcPr>
            <w:tcW w:type="dxa" w:w="5112"/>
          </w:tcPr>
          <w:p>
            <w:r>
              <w:t>Firm must conduct liquidity stress tests and maintain controls/oversight over stress testing; board role arises through approval of policies, risk tolerance, and reporting.</w:t>
            </w:r>
          </w:p>
        </w:tc>
      </w:tr>
      <w:tr>
        <w:tc>
          <w:tcPr>
            <w:tcW w:type="dxa" w:w="5112"/>
            <w:shd w:fill="EAF2F8"/>
          </w:tcPr>
          <w:p>
            <w:r>
              <w:rPr>
                <w:b/>
              </w:rPr>
              <w:t>Evidence artifact</w:t>
            </w:r>
          </w:p>
        </w:tc>
        <w:tc>
          <w:tcPr>
            <w:tcW w:type="dxa" w:w="5112"/>
          </w:tcPr>
          <w:p>
            <w:r>
              <w:t>Stress-testing framework summary; validation; management reports.</w:t>
            </w:r>
          </w:p>
        </w:tc>
      </w:tr>
      <w:tr>
        <w:tc>
          <w:tcPr>
            <w:tcW w:type="dxa" w:w="5112"/>
            <w:shd w:fill="EAF2F8"/>
          </w:tcPr>
          <w:p>
            <w:r>
              <w:rPr>
                <w:b/>
              </w:rPr>
              <w:t>Overlap / burden issue</w:t>
            </w:r>
          </w:p>
        </w:tc>
        <w:tc>
          <w:tcPr>
            <w:tcW w:type="dxa" w:w="5112"/>
          </w:tcPr>
          <w:p>
            <w:r>
              <w:t>Overlaps with capital stress testing and model risk governance.</w:t>
            </w:r>
          </w:p>
        </w:tc>
      </w:tr>
      <w:tr>
        <w:tc>
          <w:tcPr>
            <w:tcW w:type="dxa" w:w="5112"/>
            <w:shd w:fill="EAF2F8"/>
          </w:tcPr>
          <w:p>
            <w:r>
              <w:rPr>
                <w:b/>
              </w:rPr>
              <w:t>Potential reform treatment</w:t>
            </w:r>
          </w:p>
        </w:tc>
        <w:tc>
          <w:tcPr>
            <w:tcW w:type="dxa" w:w="5112"/>
          </w:tcPr>
          <w:p>
            <w:r>
              <w:t>Align stress-testing governance across capital and liquidity.</w:t>
            </w:r>
          </w:p>
        </w:tc>
      </w:tr>
    </w:tbl>
    <w:p/>
    <w:p>
      <w:pPr>
        <w:pStyle w:val="Heading3"/>
      </w:pPr>
      <w:r>
        <w:t>RES-001 — Title I resolution plan board approval</w:t>
      </w:r>
    </w:p>
    <w:tbl>
      <w:tblPr>
        <w:tblStyle w:val="TableGrid"/>
        <w:tblW w:type="auto" w:w="0"/>
        <w:tblLook w:firstColumn="1" w:firstRow="1" w:lastColumn="0" w:lastRow="0" w:noHBand="0" w:noVBand="1" w:val="04A0"/>
      </w:tblPr>
      <w:tblGrid>
        <w:gridCol w:w="5112"/>
        <w:gridCol w:w="5112"/>
      </w:tblGrid>
      <w:tr>
        <w:tc>
          <w:tcPr>
            <w:tcW w:type="dxa" w:w="5112"/>
            <w:shd w:fill="EAF2F8"/>
          </w:tcPr>
          <w:p>
            <w:r>
              <w:rPr>
                <w:b/>
              </w:rPr>
              <w:t>Legal status</w:t>
            </w:r>
          </w:p>
        </w:tc>
        <w:tc>
          <w:tcPr>
            <w:tcW w:type="dxa" w:w="5112"/>
          </w:tcPr>
          <w:p>
            <w:r>
              <w:t>Binding regulation</w:t>
            </w:r>
          </w:p>
        </w:tc>
      </w:tr>
      <w:tr>
        <w:tc>
          <w:tcPr>
            <w:tcW w:type="dxa" w:w="5112"/>
            <w:shd w:fill="EAF2F8"/>
          </w:tcPr>
          <w:p>
            <w:r>
              <w:rPr>
                <w:b/>
              </w:rPr>
              <w:t>Primary source</w:t>
            </w:r>
          </w:p>
        </w:tc>
        <w:tc>
          <w:tcPr>
            <w:tcW w:type="dxa" w:w="5112"/>
          </w:tcPr>
          <w:p>
            <w:r>
              <w:t>12 CFR 243.4(f); 12 CFR 381.4(f)</w:t>
            </w:r>
          </w:p>
        </w:tc>
      </w:tr>
      <w:tr>
        <w:tc>
          <w:tcPr>
            <w:tcW w:type="dxa" w:w="5112"/>
            <w:shd w:fill="EAF2F8"/>
          </w:tcPr>
          <w:p>
            <w:r>
              <w:rPr>
                <w:b/>
              </w:rPr>
              <w:t>Board actor</w:t>
            </w:r>
          </w:p>
        </w:tc>
        <w:tc>
          <w:tcPr>
            <w:tcW w:type="dxa" w:w="5112"/>
          </w:tcPr>
          <w:p>
            <w:r>
              <w:t>Parent BHC full board</w:t>
            </w:r>
          </w:p>
        </w:tc>
      </w:tr>
      <w:tr>
        <w:tc>
          <w:tcPr>
            <w:tcW w:type="dxa" w:w="5112"/>
            <w:shd w:fill="EAF2F8"/>
          </w:tcPr>
          <w:p>
            <w:r>
              <w:rPr>
                <w:b/>
              </w:rPr>
              <w:t>Duty summary</w:t>
            </w:r>
          </w:p>
        </w:tc>
        <w:tc>
          <w:tcPr>
            <w:tcW w:type="dxa" w:w="5112"/>
          </w:tcPr>
          <w:p>
            <w:r>
              <w:t>Before submission, covered company resolution plan must be approved by board and noted in minutes.</w:t>
            </w:r>
          </w:p>
        </w:tc>
      </w:tr>
      <w:tr>
        <w:tc>
          <w:tcPr>
            <w:tcW w:type="dxa" w:w="5112"/>
            <w:shd w:fill="EAF2F8"/>
          </w:tcPr>
          <w:p>
            <w:r>
              <w:rPr>
                <w:b/>
              </w:rPr>
              <w:t>Evidence artifact</w:t>
            </w:r>
          </w:p>
        </w:tc>
        <w:tc>
          <w:tcPr>
            <w:tcW w:type="dxa" w:w="5112"/>
          </w:tcPr>
          <w:p>
            <w:r>
              <w:t>Board approval resolution; minutes; submission package.</w:t>
            </w:r>
          </w:p>
        </w:tc>
      </w:tr>
      <w:tr>
        <w:tc>
          <w:tcPr>
            <w:tcW w:type="dxa" w:w="5112"/>
            <w:shd w:fill="EAF2F8"/>
          </w:tcPr>
          <w:p>
            <w:r>
              <w:rPr>
                <w:b/>
              </w:rPr>
              <w:t>Overlap / burden issue</w:t>
            </w:r>
          </w:p>
        </w:tc>
        <w:tc>
          <w:tcPr>
            <w:tcW w:type="dxa" w:w="5112"/>
          </w:tcPr>
          <w:p>
            <w:r>
              <w:t>Overlaps with FDIC CIDI plan approval and recovery planning.</w:t>
            </w:r>
          </w:p>
        </w:tc>
      </w:tr>
      <w:tr>
        <w:tc>
          <w:tcPr>
            <w:tcW w:type="dxa" w:w="5112"/>
            <w:shd w:fill="EAF2F8"/>
          </w:tcPr>
          <w:p>
            <w:r>
              <w:rPr>
                <w:b/>
              </w:rPr>
              <w:t>Potential reform treatment</w:t>
            </w:r>
          </w:p>
        </w:tc>
        <w:tc>
          <w:tcPr>
            <w:tcW w:type="dxa" w:w="5112"/>
          </w:tcPr>
          <w:p>
            <w:r>
              <w:t>Permit common enterprise resolution board package with entity-specific approval pages.</w:t>
            </w:r>
          </w:p>
        </w:tc>
      </w:tr>
    </w:tbl>
    <w:p/>
    <w:p>
      <w:pPr>
        <w:pStyle w:val="Heading3"/>
      </w:pPr>
      <w:r>
        <w:t>RES-002 — Title I plan informational governance</w:t>
      </w:r>
    </w:p>
    <w:tbl>
      <w:tblPr>
        <w:tblStyle w:val="TableGrid"/>
        <w:tblW w:type="auto" w:w="0"/>
        <w:tblLook w:firstColumn="1" w:firstRow="1" w:lastColumn="0" w:lastRow="0" w:noHBand="0" w:noVBand="1" w:val="04A0"/>
      </w:tblPr>
      <w:tblGrid>
        <w:gridCol w:w="5112"/>
        <w:gridCol w:w="5112"/>
      </w:tblGrid>
      <w:tr>
        <w:tc>
          <w:tcPr>
            <w:tcW w:type="dxa" w:w="5112"/>
            <w:shd w:fill="EAF2F8"/>
          </w:tcPr>
          <w:p>
            <w:r>
              <w:rPr>
                <w:b/>
              </w:rPr>
              <w:t>Legal status</w:t>
            </w:r>
          </w:p>
        </w:tc>
        <w:tc>
          <w:tcPr>
            <w:tcW w:type="dxa" w:w="5112"/>
          </w:tcPr>
          <w:p>
            <w:r>
              <w:t>Binding regulation</w:t>
            </w:r>
          </w:p>
        </w:tc>
      </w:tr>
      <w:tr>
        <w:tc>
          <w:tcPr>
            <w:tcW w:type="dxa" w:w="5112"/>
            <w:shd w:fill="EAF2F8"/>
          </w:tcPr>
          <w:p>
            <w:r>
              <w:rPr>
                <w:b/>
              </w:rPr>
              <w:t>Primary source</w:t>
            </w:r>
          </w:p>
        </w:tc>
        <w:tc>
          <w:tcPr>
            <w:tcW w:type="dxa" w:w="5112"/>
          </w:tcPr>
          <w:p>
            <w:r>
              <w:t>12 CFR 243.5; 12 CFR 381.5</w:t>
            </w:r>
          </w:p>
        </w:tc>
      </w:tr>
      <w:tr>
        <w:tc>
          <w:tcPr>
            <w:tcW w:type="dxa" w:w="5112"/>
            <w:shd w:fill="EAF2F8"/>
          </w:tcPr>
          <w:p>
            <w:r>
              <w:rPr>
                <w:b/>
              </w:rPr>
              <w:t>Board actor</w:t>
            </w:r>
          </w:p>
        </w:tc>
        <w:tc>
          <w:tcPr>
            <w:tcW w:type="dxa" w:w="5112"/>
          </w:tcPr>
          <w:p>
            <w:r>
              <w:t>Parent BHC board oversight</w:t>
            </w:r>
          </w:p>
        </w:tc>
      </w:tr>
      <w:tr>
        <w:tc>
          <w:tcPr>
            <w:tcW w:type="dxa" w:w="5112"/>
            <w:shd w:fill="EAF2F8"/>
          </w:tcPr>
          <w:p>
            <w:r>
              <w:rPr>
                <w:b/>
              </w:rPr>
              <w:t>Duty summary</w:t>
            </w:r>
          </w:p>
        </w:tc>
        <w:tc>
          <w:tcPr>
            <w:tcW w:type="dxa" w:w="5112"/>
          </w:tcPr>
          <w:p>
            <w:r>
              <w:t>Full resolution plan must include governance mechanisms and information about operations, strategy, MIS, interconnections, and resolution capabilities.</w:t>
            </w:r>
          </w:p>
        </w:tc>
      </w:tr>
      <w:tr>
        <w:tc>
          <w:tcPr>
            <w:tcW w:type="dxa" w:w="5112"/>
            <w:shd w:fill="EAF2F8"/>
          </w:tcPr>
          <w:p>
            <w:r>
              <w:rPr>
                <w:b/>
              </w:rPr>
              <w:t>Evidence artifact</w:t>
            </w:r>
          </w:p>
        </w:tc>
        <w:tc>
          <w:tcPr>
            <w:tcW w:type="dxa" w:w="5112"/>
          </w:tcPr>
          <w:p>
            <w:r>
              <w:t>Plan governance section; capability remediation reporting.</w:t>
            </w:r>
          </w:p>
        </w:tc>
      </w:tr>
      <w:tr>
        <w:tc>
          <w:tcPr>
            <w:tcW w:type="dxa" w:w="5112"/>
            <w:shd w:fill="EAF2F8"/>
          </w:tcPr>
          <w:p>
            <w:r>
              <w:rPr>
                <w:b/>
              </w:rPr>
              <w:t>Overlap / burden issue</w:t>
            </w:r>
          </w:p>
        </w:tc>
        <w:tc>
          <w:tcPr>
            <w:tcW w:type="dxa" w:w="5112"/>
          </w:tcPr>
          <w:p>
            <w:r>
              <w:t>Can become year-round board resolvability program reporting.</w:t>
            </w:r>
          </w:p>
        </w:tc>
      </w:tr>
      <w:tr>
        <w:tc>
          <w:tcPr>
            <w:tcW w:type="dxa" w:w="5112"/>
            <w:shd w:fill="EAF2F8"/>
          </w:tcPr>
          <w:p>
            <w:r>
              <w:rPr>
                <w:b/>
              </w:rPr>
              <w:t>Potential reform treatment</w:t>
            </w:r>
          </w:p>
        </w:tc>
        <w:tc>
          <w:tcPr>
            <w:tcW w:type="dxa" w:w="5112"/>
          </w:tcPr>
          <w:p>
            <w:r>
              <w:t>Use resolvability scorecard with exception-based board escalation.</w:t>
            </w:r>
          </w:p>
        </w:tc>
      </w:tr>
    </w:tbl>
    <w:p/>
    <w:p>
      <w:pPr>
        <w:pStyle w:val="Heading3"/>
      </w:pPr>
      <w:r>
        <w:t>RES-003 — CIDI resolution submission board approval</w:t>
      </w:r>
    </w:p>
    <w:tbl>
      <w:tblPr>
        <w:tblStyle w:val="TableGrid"/>
        <w:tblW w:type="auto" w:w="0"/>
        <w:tblLook w:firstColumn="1" w:firstRow="1" w:lastColumn="0" w:lastRow="0" w:noHBand="0" w:noVBand="1" w:val="04A0"/>
      </w:tblPr>
      <w:tblGrid>
        <w:gridCol w:w="5112"/>
        <w:gridCol w:w="5112"/>
      </w:tblGrid>
      <w:tr>
        <w:tc>
          <w:tcPr>
            <w:tcW w:type="dxa" w:w="5112"/>
            <w:shd w:fill="EAF2F8"/>
          </w:tcPr>
          <w:p>
            <w:r>
              <w:rPr>
                <w:b/>
              </w:rPr>
              <w:t>Legal status</w:t>
            </w:r>
          </w:p>
        </w:tc>
        <w:tc>
          <w:tcPr>
            <w:tcW w:type="dxa" w:w="5112"/>
          </w:tcPr>
          <w:p>
            <w:r>
              <w:t>Binding regulation</w:t>
            </w:r>
          </w:p>
        </w:tc>
      </w:tr>
      <w:tr>
        <w:tc>
          <w:tcPr>
            <w:tcW w:type="dxa" w:w="5112"/>
            <w:shd w:fill="EAF2F8"/>
          </w:tcPr>
          <w:p>
            <w:r>
              <w:rPr>
                <w:b/>
              </w:rPr>
              <w:t>Primary source</w:t>
            </w:r>
          </w:p>
        </w:tc>
        <w:tc>
          <w:tcPr>
            <w:tcW w:type="dxa" w:w="5112"/>
          </w:tcPr>
          <w:p>
            <w:r>
              <w:t>12 CFR 360.10</w:t>
            </w:r>
          </w:p>
        </w:tc>
      </w:tr>
      <w:tr>
        <w:tc>
          <w:tcPr>
            <w:tcW w:type="dxa" w:w="5112"/>
            <w:shd w:fill="EAF2F8"/>
          </w:tcPr>
          <w:p>
            <w:r>
              <w:rPr>
                <w:b/>
              </w:rPr>
              <w:t>Board actor</w:t>
            </w:r>
          </w:p>
        </w:tc>
        <w:tc>
          <w:tcPr>
            <w:tcW w:type="dxa" w:w="5112"/>
          </w:tcPr>
          <w:p>
            <w:r>
              <w:t>Covered IDI board</w:t>
            </w:r>
          </w:p>
        </w:tc>
      </w:tr>
      <w:tr>
        <w:tc>
          <w:tcPr>
            <w:tcW w:type="dxa" w:w="5112"/>
            <w:shd w:fill="EAF2F8"/>
          </w:tcPr>
          <w:p>
            <w:r>
              <w:rPr>
                <w:b/>
              </w:rPr>
              <w:t>Duty summary</w:t>
            </w:r>
          </w:p>
        </w:tc>
        <w:tc>
          <w:tcPr>
            <w:tcW w:type="dxa" w:w="5112"/>
          </w:tcPr>
          <w:p>
            <w:r>
              <w:t>CIDI full resolution submission must be approved by CIDI board and noted in minutes.</w:t>
            </w:r>
          </w:p>
        </w:tc>
      </w:tr>
      <w:tr>
        <w:tc>
          <w:tcPr>
            <w:tcW w:type="dxa" w:w="5112"/>
            <w:shd w:fill="EAF2F8"/>
          </w:tcPr>
          <w:p>
            <w:r>
              <w:rPr>
                <w:b/>
              </w:rPr>
              <w:t>Evidence artifact</w:t>
            </w:r>
          </w:p>
        </w:tc>
        <w:tc>
          <w:tcPr>
            <w:tcW w:type="dxa" w:w="5112"/>
          </w:tcPr>
          <w:p>
            <w:r>
              <w:t>IDI board minutes; CIDI submission; cross-reference to Title I plan.</w:t>
            </w:r>
          </w:p>
        </w:tc>
      </w:tr>
      <w:tr>
        <w:tc>
          <w:tcPr>
            <w:tcW w:type="dxa" w:w="5112"/>
            <w:shd w:fill="EAF2F8"/>
          </w:tcPr>
          <w:p>
            <w:r>
              <w:rPr>
                <w:b/>
              </w:rPr>
              <w:t>Overlap / burden issue</w:t>
            </w:r>
          </w:p>
        </w:tc>
        <w:tc>
          <w:tcPr>
            <w:tcW w:type="dxa" w:w="5112"/>
          </w:tcPr>
          <w:p>
            <w:r>
              <w:t>Direct duplication with parent Title I plan for GSIB-owned banks.</w:t>
            </w:r>
          </w:p>
        </w:tc>
      </w:tr>
      <w:tr>
        <w:tc>
          <w:tcPr>
            <w:tcW w:type="dxa" w:w="5112"/>
            <w:shd w:fill="EAF2F8"/>
          </w:tcPr>
          <w:p>
            <w:r>
              <w:rPr>
                <w:b/>
              </w:rPr>
              <w:t>Potential reform treatment</w:t>
            </w:r>
          </w:p>
        </w:tc>
        <w:tc>
          <w:tcPr>
            <w:tcW w:type="dxa" w:w="5112"/>
          </w:tcPr>
          <w:p>
            <w:r>
              <w:t>Allow subsidiary board reliance on parent approval plus CIDI-specific annex.</w:t>
            </w:r>
          </w:p>
        </w:tc>
      </w:tr>
    </w:tbl>
    <w:p/>
    <w:p>
      <w:pPr>
        <w:pStyle w:val="Heading3"/>
      </w:pPr>
      <w:r>
        <w:t>RES-004 — Recovery planning</w:t>
      </w:r>
    </w:p>
    <w:tbl>
      <w:tblPr>
        <w:tblStyle w:val="TableGrid"/>
        <w:tblW w:type="auto" w:w="0"/>
        <w:tblLook w:firstColumn="1" w:firstRow="1" w:lastColumn="0" w:lastRow="0" w:noHBand="0" w:noVBand="1" w:val="04A0"/>
      </w:tblPr>
      <w:tblGrid>
        <w:gridCol w:w="5112"/>
        <w:gridCol w:w="5112"/>
      </w:tblGrid>
      <w:tr>
        <w:tc>
          <w:tcPr>
            <w:tcW w:type="dxa" w:w="5112"/>
            <w:shd w:fill="EAF2F8"/>
          </w:tcPr>
          <w:p>
            <w:r>
              <w:rPr>
                <w:b/>
              </w:rPr>
              <w:t>Legal status</w:t>
            </w:r>
          </w:p>
        </w:tc>
        <w:tc>
          <w:tcPr>
            <w:tcW w:type="dxa" w:w="5112"/>
          </w:tcPr>
          <w:p>
            <w:r>
              <w:t>Supervisory guidance</w:t>
            </w:r>
          </w:p>
        </w:tc>
      </w:tr>
      <w:tr>
        <w:tc>
          <w:tcPr>
            <w:tcW w:type="dxa" w:w="5112"/>
            <w:shd w:fill="EAF2F8"/>
          </w:tcPr>
          <w:p>
            <w:r>
              <w:rPr>
                <w:b/>
              </w:rPr>
              <w:t>Primary source</w:t>
            </w:r>
          </w:p>
        </w:tc>
        <w:tc>
          <w:tcPr>
            <w:tcW w:type="dxa" w:w="5112"/>
          </w:tcPr>
          <w:p>
            <w:r>
              <w:t>SR 14-8</w:t>
            </w:r>
          </w:p>
        </w:tc>
      </w:tr>
      <w:tr>
        <w:tc>
          <w:tcPr>
            <w:tcW w:type="dxa" w:w="5112"/>
            <w:shd w:fill="EAF2F8"/>
          </w:tcPr>
          <w:p>
            <w:r>
              <w:rPr>
                <w:b/>
              </w:rPr>
              <w:t>Board actor</w:t>
            </w:r>
          </w:p>
        </w:tc>
        <w:tc>
          <w:tcPr>
            <w:tcW w:type="dxa" w:w="5112"/>
          </w:tcPr>
          <w:p>
            <w:r>
              <w:t>Parent BHC board and senior management</w:t>
            </w:r>
          </w:p>
        </w:tc>
      </w:tr>
      <w:tr>
        <w:tc>
          <w:tcPr>
            <w:tcW w:type="dxa" w:w="5112"/>
            <w:shd w:fill="EAF2F8"/>
          </w:tcPr>
          <w:p>
            <w:r>
              <w:rPr>
                <w:b/>
              </w:rPr>
              <w:t>Duty summary</w:t>
            </w:r>
          </w:p>
        </w:tc>
        <w:tc>
          <w:tcPr>
            <w:tcW w:type="dxa" w:w="5112"/>
          </w:tcPr>
          <w:p>
            <w:r>
              <w:t>Covered large BHCs expected to maintain recovery planning capabilities to restore financial strength under severe stress.</w:t>
            </w:r>
          </w:p>
        </w:tc>
      </w:tr>
      <w:tr>
        <w:tc>
          <w:tcPr>
            <w:tcW w:type="dxa" w:w="5112"/>
            <w:shd w:fill="EAF2F8"/>
          </w:tcPr>
          <w:p>
            <w:r>
              <w:rPr>
                <w:b/>
              </w:rPr>
              <w:t>Evidence artifact</w:t>
            </w:r>
          </w:p>
        </w:tc>
        <w:tc>
          <w:tcPr>
            <w:tcW w:type="dxa" w:w="5112"/>
          </w:tcPr>
          <w:p>
            <w:r>
              <w:t>Recovery plan; triggers; options analysis; board updates.</w:t>
            </w:r>
          </w:p>
        </w:tc>
      </w:tr>
      <w:tr>
        <w:tc>
          <w:tcPr>
            <w:tcW w:type="dxa" w:w="5112"/>
            <w:shd w:fill="EAF2F8"/>
          </w:tcPr>
          <w:p>
            <w:r>
              <w:rPr>
                <w:b/>
              </w:rPr>
              <w:t>Overlap / burden issue</w:t>
            </w:r>
          </w:p>
        </w:tc>
        <w:tc>
          <w:tcPr>
            <w:tcW w:type="dxa" w:w="5112"/>
          </w:tcPr>
          <w:p>
            <w:r>
              <w:t>Overlaps with capital, liquidity, resolution, and contingency funding.</w:t>
            </w:r>
          </w:p>
        </w:tc>
      </w:tr>
      <w:tr>
        <w:tc>
          <w:tcPr>
            <w:tcW w:type="dxa" w:w="5112"/>
            <w:shd w:fill="EAF2F8"/>
          </w:tcPr>
          <w:p>
            <w:r>
              <w:rPr>
                <w:b/>
              </w:rPr>
              <w:t>Potential reform treatment</w:t>
            </w:r>
          </w:p>
        </w:tc>
        <w:tc>
          <w:tcPr>
            <w:tcW w:type="dxa" w:w="5112"/>
          </w:tcPr>
          <w:p>
            <w:r>
              <w:t>Integrate recovery triggers into capital/liquidity dashboards.</w:t>
            </w:r>
          </w:p>
        </w:tc>
      </w:tr>
    </w:tbl>
    <w:p/>
    <w:p>
      <w:pPr>
        <w:pStyle w:val="Heading3"/>
      </w:pPr>
      <w:r>
        <w:t>AUD-001 — FDICIA audit committee</w:t>
      </w:r>
    </w:p>
    <w:tbl>
      <w:tblPr>
        <w:tblStyle w:val="TableGrid"/>
        <w:tblW w:type="auto" w:w="0"/>
        <w:tblLook w:firstColumn="1" w:firstRow="1" w:lastColumn="0" w:lastRow="0" w:noHBand="0" w:noVBand="1" w:val="04A0"/>
      </w:tblPr>
      <w:tblGrid>
        <w:gridCol w:w="5112"/>
        <w:gridCol w:w="5112"/>
      </w:tblGrid>
      <w:tr>
        <w:tc>
          <w:tcPr>
            <w:tcW w:type="dxa" w:w="5112"/>
            <w:shd w:fill="EAF2F8"/>
          </w:tcPr>
          <w:p>
            <w:r>
              <w:rPr>
                <w:b/>
              </w:rPr>
              <w:t>Legal status</w:t>
            </w:r>
          </w:p>
        </w:tc>
        <w:tc>
          <w:tcPr>
            <w:tcW w:type="dxa" w:w="5112"/>
          </w:tcPr>
          <w:p>
            <w:r>
              <w:t>Binding regulation</w:t>
            </w:r>
          </w:p>
        </w:tc>
      </w:tr>
      <w:tr>
        <w:tc>
          <w:tcPr>
            <w:tcW w:type="dxa" w:w="5112"/>
            <w:shd w:fill="EAF2F8"/>
          </w:tcPr>
          <w:p>
            <w:r>
              <w:rPr>
                <w:b/>
              </w:rPr>
              <w:t>Primary source</w:t>
            </w:r>
          </w:p>
        </w:tc>
        <w:tc>
          <w:tcPr>
            <w:tcW w:type="dxa" w:w="5112"/>
          </w:tcPr>
          <w:p>
            <w:r>
              <w:t>12 CFR 363.5</w:t>
            </w:r>
          </w:p>
        </w:tc>
      </w:tr>
      <w:tr>
        <w:tc>
          <w:tcPr>
            <w:tcW w:type="dxa" w:w="5112"/>
            <w:shd w:fill="EAF2F8"/>
          </w:tcPr>
          <w:p>
            <w:r>
              <w:rPr>
                <w:b/>
              </w:rPr>
              <w:t>Board actor</w:t>
            </w:r>
          </w:p>
        </w:tc>
        <w:tc>
          <w:tcPr>
            <w:tcW w:type="dxa" w:w="5112"/>
          </w:tcPr>
          <w:p>
            <w:r>
              <w:t>IDI audit committee</w:t>
            </w:r>
          </w:p>
        </w:tc>
      </w:tr>
      <w:tr>
        <w:tc>
          <w:tcPr>
            <w:tcW w:type="dxa" w:w="5112"/>
            <w:shd w:fill="EAF2F8"/>
          </w:tcPr>
          <w:p>
            <w:r>
              <w:rPr>
                <w:b/>
              </w:rPr>
              <w:t>Duty summary</w:t>
            </w:r>
          </w:p>
        </w:tc>
        <w:tc>
          <w:tcPr>
            <w:tcW w:type="dxa" w:w="5112"/>
          </w:tcPr>
          <w:p>
            <w:r>
              <w:t>Large IDI must establish an independent audit committee with required outside-director composition.</w:t>
            </w:r>
          </w:p>
        </w:tc>
      </w:tr>
      <w:tr>
        <w:tc>
          <w:tcPr>
            <w:tcW w:type="dxa" w:w="5112"/>
            <w:shd w:fill="EAF2F8"/>
          </w:tcPr>
          <w:p>
            <w:r>
              <w:rPr>
                <w:b/>
              </w:rPr>
              <w:t>Evidence artifact</w:t>
            </w:r>
          </w:p>
        </w:tc>
        <w:tc>
          <w:tcPr>
            <w:tcW w:type="dxa" w:w="5112"/>
          </w:tcPr>
          <w:p>
            <w:r>
              <w:t>Audit committee charter; member independence determinations.</w:t>
            </w:r>
          </w:p>
        </w:tc>
      </w:tr>
      <w:tr>
        <w:tc>
          <w:tcPr>
            <w:tcW w:type="dxa" w:w="5112"/>
            <w:shd w:fill="EAF2F8"/>
          </w:tcPr>
          <w:p>
            <w:r>
              <w:rPr>
                <w:b/>
              </w:rPr>
              <w:t>Overlap / burden issue</w:t>
            </w:r>
          </w:p>
        </w:tc>
        <w:tc>
          <w:tcPr>
            <w:tcW w:type="dxa" w:w="5112"/>
          </w:tcPr>
          <w:p>
            <w:r>
              <w:t>Overlaps with parent public-company audit committee requirements outside this inventory.</w:t>
            </w:r>
          </w:p>
        </w:tc>
      </w:tr>
      <w:tr>
        <w:tc>
          <w:tcPr>
            <w:tcW w:type="dxa" w:w="5112"/>
            <w:shd w:fill="EAF2F8"/>
          </w:tcPr>
          <w:p>
            <w:r>
              <w:rPr>
                <w:b/>
              </w:rPr>
              <w:t>Potential reform treatment</w:t>
            </w:r>
          </w:p>
        </w:tc>
        <w:tc>
          <w:tcPr>
            <w:tcW w:type="dxa" w:w="5112"/>
          </w:tcPr>
          <w:p>
            <w:r>
              <w:t>Permit documentation crosswalk with public-company audit committee standards.</w:t>
            </w:r>
          </w:p>
        </w:tc>
      </w:tr>
    </w:tbl>
    <w:p/>
    <w:p>
      <w:pPr>
        <w:pStyle w:val="Heading3"/>
      </w:pPr>
      <w:r>
        <w:t>AUD-002 — Outside directors independent of management</w:t>
      </w:r>
    </w:p>
    <w:tbl>
      <w:tblPr>
        <w:tblStyle w:val="TableGrid"/>
        <w:tblW w:type="auto" w:w="0"/>
        <w:tblLook w:firstColumn="1" w:firstRow="1" w:lastColumn="0" w:lastRow="0" w:noHBand="0" w:noVBand="1" w:val="04A0"/>
      </w:tblPr>
      <w:tblGrid>
        <w:gridCol w:w="5112"/>
        <w:gridCol w:w="5112"/>
      </w:tblGrid>
      <w:tr>
        <w:tc>
          <w:tcPr>
            <w:tcW w:type="dxa" w:w="5112"/>
            <w:shd w:fill="EAF2F8"/>
          </w:tcPr>
          <w:p>
            <w:r>
              <w:rPr>
                <w:b/>
              </w:rPr>
              <w:t>Legal status</w:t>
            </w:r>
          </w:p>
        </w:tc>
        <w:tc>
          <w:tcPr>
            <w:tcW w:type="dxa" w:w="5112"/>
          </w:tcPr>
          <w:p>
            <w:r>
              <w:t>Binding regulation</w:t>
            </w:r>
          </w:p>
        </w:tc>
      </w:tr>
      <w:tr>
        <w:tc>
          <w:tcPr>
            <w:tcW w:type="dxa" w:w="5112"/>
            <w:shd w:fill="EAF2F8"/>
          </w:tcPr>
          <w:p>
            <w:r>
              <w:rPr>
                <w:b/>
              </w:rPr>
              <w:t>Primary source</w:t>
            </w:r>
          </w:p>
        </w:tc>
        <w:tc>
          <w:tcPr>
            <w:tcW w:type="dxa" w:w="5112"/>
          </w:tcPr>
          <w:p>
            <w:r>
              <w:t>12 CFR 363.5(a)(1)</w:t>
            </w:r>
          </w:p>
        </w:tc>
      </w:tr>
      <w:tr>
        <w:tc>
          <w:tcPr>
            <w:tcW w:type="dxa" w:w="5112"/>
            <w:shd w:fill="EAF2F8"/>
          </w:tcPr>
          <w:p>
            <w:r>
              <w:rPr>
                <w:b/>
              </w:rPr>
              <w:t>Board actor</w:t>
            </w:r>
          </w:p>
        </w:tc>
        <w:tc>
          <w:tcPr>
            <w:tcW w:type="dxa" w:w="5112"/>
          </w:tcPr>
          <w:p>
            <w:r>
              <w:t>IDI audit committee</w:t>
            </w:r>
          </w:p>
        </w:tc>
      </w:tr>
      <w:tr>
        <w:tc>
          <w:tcPr>
            <w:tcW w:type="dxa" w:w="5112"/>
            <w:shd w:fill="EAF2F8"/>
          </w:tcPr>
          <w:p>
            <w:r>
              <w:rPr>
                <w:b/>
              </w:rPr>
              <w:t>Duty summary</w:t>
            </w:r>
          </w:p>
        </w:tc>
        <w:tc>
          <w:tcPr>
            <w:tcW w:type="dxa" w:w="5112"/>
          </w:tcPr>
          <w:p>
            <w:r>
              <w:t>For $5B+ IDIs, audit committee members must be outside directors independent of management.</w:t>
            </w:r>
          </w:p>
        </w:tc>
      </w:tr>
      <w:tr>
        <w:tc>
          <w:tcPr>
            <w:tcW w:type="dxa" w:w="5112"/>
            <w:shd w:fill="EAF2F8"/>
          </w:tcPr>
          <w:p>
            <w:r>
              <w:rPr>
                <w:b/>
              </w:rPr>
              <w:t>Evidence artifact</w:t>
            </w:r>
          </w:p>
        </w:tc>
        <w:tc>
          <w:tcPr>
            <w:tcW w:type="dxa" w:w="5112"/>
          </w:tcPr>
          <w:p>
            <w:r>
              <w:t>Director independence memo; annual board questionnaire.</w:t>
            </w:r>
          </w:p>
        </w:tc>
      </w:tr>
      <w:tr>
        <w:tc>
          <w:tcPr>
            <w:tcW w:type="dxa" w:w="5112"/>
            <w:shd w:fill="EAF2F8"/>
          </w:tcPr>
          <w:p>
            <w:r>
              <w:rPr>
                <w:b/>
              </w:rPr>
              <w:t>Overlap / burden issue</w:t>
            </w:r>
          </w:p>
        </w:tc>
        <w:tc>
          <w:tcPr>
            <w:tcW w:type="dxa" w:w="5112"/>
          </w:tcPr>
          <w:p>
            <w:r>
              <w:t>Terminology differs from BHC risk committee independence and OCC appendix D independence.</w:t>
            </w:r>
          </w:p>
        </w:tc>
      </w:tr>
      <w:tr>
        <w:tc>
          <w:tcPr>
            <w:tcW w:type="dxa" w:w="5112"/>
            <w:shd w:fill="EAF2F8"/>
          </w:tcPr>
          <w:p>
            <w:r>
              <w:rPr>
                <w:b/>
              </w:rPr>
              <w:t>Potential reform treatment</w:t>
            </w:r>
          </w:p>
        </w:tc>
        <w:tc>
          <w:tcPr>
            <w:tcW w:type="dxa" w:w="5112"/>
          </w:tcPr>
          <w:p>
            <w:r>
              <w:t>Harmonize terminology and allow single annual independence package.</w:t>
            </w:r>
          </w:p>
        </w:tc>
      </w:tr>
    </w:tbl>
    <w:p/>
    <w:p>
      <w:pPr>
        <w:pStyle w:val="Heading3"/>
      </w:pPr>
      <w:r>
        <w:t>AUD-003 — Annual independent audit and management reporting</w:t>
      </w:r>
    </w:p>
    <w:tbl>
      <w:tblPr>
        <w:tblStyle w:val="TableGrid"/>
        <w:tblW w:type="auto" w:w="0"/>
        <w:tblLook w:firstColumn="1" w:firstRow="1" w:lastColumn="0" w:lastRow="0" w:noHBand="0" w:noVBand="1" w:val="04A0"/>
      </w:tblPr>
      <w:tblGrid>
        <w:gridCol w:w="5112"/>
        <w:gridCol w:w="5112"/>
      </w:tblGrid>
      <w:tr>
        <w:tc>
          <w:tcPr>
            <w:tcW w:type="dxa" w:w="5112"/>
            <w:shd w:fill="EAF2F8"/>
          </w:tcPr>
          <w:p>
            <w:r>
              <w:rPr>
                <w:b/>
              </w:rPr>
              <w:t>Legal status</w:t>
            </w:r>
          </w:p>
        </w:tc>
        <w:tc>
          <w:tcPr>
            <w:tcW w:type="dxa" w:w="5112"/>
          </w:tcPr>
          <w:p>
            <w:r>
              <w:t>Binding regulation</w:t>
            </w:r>
          </w:p>
        </w:tc>
      </w:tr>
      <w:tr>
        <w:tc>
          <w:tcPr>
            <w:tcW w:type="dxa" w:w="5112"/>
            <w:shd w:fill="EAF2F8"/>
          </w:tcPr>
          <w:p>
            <w:r>
              <w:rPr>
                <w:b/>
              </w:rPr>
              <w:t>Primary source</w:t>
            </w:r>
          </w:p>
        </w:tc>
        <w:tc>
          <w:tcPr>
            <w:tcW w:type="dxa" w:w="5112"/>
          </w:tcPr>
          <w:p>
            <w:r>
              <w:t>12 CFR part 363</w:t>
            </w:r>
          </w:p>
        </w:tc>
      </w:tr>
      <w:tr>
        <w:tc>
          <w:tcPr>
            <w:tcW w:type="dxa" w:w="5112"/>
            <w:shd w:fill="EAF2F8"/>
          </w:tcPr>
          <w:p>
            <w:r>
              <w:rPr>
                <w:b/>
              </w:rPr>
              <w:t>Board actor</w:t>
            </w:r>
          </w:p>
        </w:tc>
        <w:tc>
          <w:tcPr>
            <w:tcW w:type="dxa" w:w="5112"/>
          </w:tcPr>
          <w:p>
            <w:r>
              <w:t>IDI board/audit committee</w:t>
            </w:r>
          </w:p>
        </w:tc>
      </w:tr>
      <w:tr>
        <w:tc>
          <w:tcPr>
            <w:tcW w:type="dxa" w:w="5112"/>
            <w:shd w:fill="EAF2F8"/>
          </w:tcPr>
          <w:p>
            <w:r>
              <w:rPr>
                <w:b/>
              </w:rPr>
              <w:t>Duty summary</w:t>
            </w:r>
          </w:p>
        </w:tc>
        <w:tc>
          <w:tcPr>
            <w:tcW w:type="dxa" w:w="5112"/>
          </w:tcPr>
          <w:p>
            <w:r>
              <w:t>Large IDI must comply with annual audit and management reporting requirements.</w:t>
            </w:r>
          </w:p>
        </w:tc>
      </w:tr>
      <w:tr>
        <w:tc>
          <w:tcPr>
            <w:tcW w:type="dxa" w:w="5112"/>
            <w:shd w:fill="EAF2F8"/>
          </w:tcPr>
          <w:p>
            <w:r>
              <w:rPr>
                <w:b/>
              </w:rPr>
              <w:t>Evidence artifact</w:t>
            </w:r>
          </w:p>
        </w:tc>
        <w:tc>
          <w:tcPr>
            <w:tcW w:type="dxa" w:w="5112"/>
          </w:tcPr>
          <w:p>
            <w:r>
              <w:t>Audited financial statements; management report; audit committee minutes.</w:t>
            </w:r>
          </w:p>
        </w:tc>
      </w:tr>
      <w:tr>
        <w:tc>
          <w:tcPr>
            <w:tcW w:type="dxa" w:w="5112"/>
            <w:shd w:fill="EAF2F8"/>
          </w:tcPr>
          <w:p>
            <w:r>
              <w:rPr>
                <w:b/>
              </w:rPr>
              <w:t>Overlap / burden issue</w:t>
            </w:r>
          </w:p>
        </w:tc>
        <w:tc>
          <w:tcPr>
            <w:tcW w:type="dxa" w:w="5112"/>
          </w:tcPr>
          <w:p>
            <w:r>
              <w:t>Duplicates SOX and parent public-company reporting in practice.</w:t>
            </w:r>
          </w:p>
        </w:tc>
      </w:tr>
      <w:tr>
        <w:tc>
          <w:tcPr>
            <w:tcW w:type="dxa" w:w="5112"/>
            <w:shd w:fill="EAF2F8"/>
          </w:tcPr>
          <w:p>
            <w:r>
              <w:rPr>
                <w:b/>
              </w:rPr>
              <w:t>Potential reform treatment</w:t>
            </w:r>
          </w:p>
        </w:tc>
        <w:tc>
          <w:tcPr>
            <w:tcW w:type="dxa" w:w="5112"/>
          </w:tcPr>
          <w:p>
            <w:r>
              <w:t>Permit integrated FDICIA/SOX reporting where standards are met.</w:t>
            </w:r>
          </w:p>
        </w:tc>
      </w:tr>
    </w:tbl>
    <w:p/>
    <w:p>
      <w:pPr>
        <w:pStyle w:val="Heading3"/>
      </w:pPr>
      <w:r>
        <w:t>CYBER-001 — Information-security program approval</w:t>
      </w:r>
    </w:p>
    <w:tbl>
      <w:tblPr>
        <w:tblStyle w:val="TableGrid"/>
        <w:tblW w:type="auto" w:w="0"/>
        <w:tblLook w:firstColumn="1" w:firstRow="1" w:lastColumn="0" w:lastRow="0" w:noHBand="0" w:noVBand="1" w:val="04A0"/>
      </w:tblPr>
      <w:tblGrid>
        <w:gridCol w:w="5112"/>
        <w:gridCol w:w="5112"/>
      </w:tblGrid>
      <w:tr>
        <w:tc>
          <w:tcPr>
            <w:tcW w:type="dxa" w:w="5112"/>
            <w:shd w:fill="EAF2F8"/>
          </w:tcPr>
          <w:p>
            <w:r>
              <w:rPr>
                <w:b/>
              </w:rPr>
              <w:t>Legal status</w:t>
            </w:r>
          </w:p>
        </w:tc>
        <w:tc>
          <w:tcPr>
            <w:tcW w:type="dxa" w:w="5112"/>
          </w:tcPr>
          <w:p>
            <w:r>
              <w:t>Enforceable guideline</w:t>
            </w:r>
          </w:p>
        </w:tc>
      </w:tr>
      <w:tr>
        <w:tc>
          <w:tcPr>
            <w:tcW w:type="dxa" w:w="5112"/>
            <w:shd w:fill="EAF2F8"/>
          </w:tcPr>
          <w:p>
            <w:r>
              <w:rPr>
                <w:b/>
              </w:rPr>
              <w:t>Primary source</w:t>
            </w:r>
          </w:p>
        </w:tc>
        <w:tc>
          <w:tcPr>
            <w:tcW w:type="dxa" w:w="5112"/>
          </w:tcPr>
          <w:p>
            <w:r>
              <w:t>12 CFR part 30 appendix B; 12 CFR part 364 appendix B; 12 CFR part 225 appendix F</w:t>
            </w:r>
          </w:p>
        </w:tc>
      </w:tr>
      <w:tr>
        <w:tc>
          <w:tcPr>
            <w:tcW w:type="dxa" w:w="5112"/>
            <w:shd w:fill="EAF2F8"/>
          </w:tcPr>
          <w:p>
            <w:r>
              <w:rPr>
                <w:b/>
              </w:rPr>
              <w:t>Board actor</w:t>
            </w:r>
          </w:p>
        </w:tc>
        <w:tc>
          <w:tcPr>
            <w:tcW w:type="dxa" w:w="5112"/>
          </w:tcPr>
          <w:p>
            <w:r>
              <w:t>Board or appropriate board committee</w:t>
            </w:r>
          </w:p>
        </w:tc>
      </w:tr>
      <w:tr>
        <w:tc>
          <w:tcPr>
            <w:tcW w:type="dxa" w:w="5112"/>
            <w:shd w:fill="EAF2F8"/>
          </w:tcPr>
          <w:p>
            <w:r>
              <w:rPr>
                <w:b/>
              </w:rPr>
              <w:t>Duty summary</w:t>
            </w:r>
          </w:p>
        </w:tc>
        <w:tc>
          <w:tcPr>
            <w:tcW w:type="dxa" w:w="5112"/>
          </w:tcPr>
          <w:p>
            <w:r>
              <w:t>Board or committee must approve written information-security program.</w:t>
            </w:r>
          </w:p>
        </w:tc>
      </w:tr>
      <w:tr>
        <w:tc>
          <w:tcPr>
            <w:tcW w:type="dxa" w:w="5112"/>
            <w:shd w:fill="EAF2F8"/>
          </w:tcPr>
          <w:p>
            <w:r>
              <w:rPr>
                <w:b/>
              </w:rPr>
              <w:t>Evidence artifact</w:t>
            </w:r>
          </w:p>
        </w:tc>
        <w:tc>
          <w:tcPr>
            <w:tcW w:type="dxa" w:w="5112"/>
          </w:tcPr>
          <w:p>
            <w:r>
              <w:t>Program approval; minutes; information security policy.</w:t>
            </w:r>
          </w:p>
        </w:tc>
      </w:tr>
      <w:tr>
        <w:tc>
          <w:tcPr>
            <w:tcW w:type="dxa" w:w="5112"/>
            <w:shd w:fill="EAF2F8"/>
          </w:tcPr>
          <w:p>
            <w:r>
              <w:rPr>
                <w:b/>
              </w:rPr>
              <w:t>Overlap / burden issue</w:t>
            </w:r>
          </w:p>
        </w:tc>
        <w:tc>
          <w:tcPr>
            <w:tcW w:type="dxa" w:w="5112"/>
          </w:tcPr>
          <w:p>
            <w:r>
              <w:t>Overlaps with cyber, privacy, operational resilience, TPRM, and consumer compliance.</w:t>
            </w:r>
          </w:p>
        </w:tc>
      </w:tr>
      <w:tr>
        <w:tc>
          <w:tcPr>
            <w:tcW w:type="dxa" w:w="5112"/>
            <w:shd w:fill="EAF2F8"/>
          </w:tcPr>
          <w:p>
            <w:r>
              <w:rPr>
                <w:b/>
              </w:rPr>
              <w:t>Potential reform treatment</w:t>
            </w:r>
          </w:p>
        </w:tc>
        <w:tc>
          <w:tcPr>
            <w:tcW w:type="dxa" w:w="5112"/>
          </w:tcPr>
          <w:p>
            <w:r>
              <w:t>Allow single operational-resilience/cyber program approval.</w:t>
            </w:r>
          </w:p>
        </w:tc>
      </w:tr>
    </w:tbl>
    <w:p/>
    <w:p>
      <w:pPr>
        <w:pStyle w:val="Heading3"/>
      </w:pPr>
      <w:r>
        <w:t>CYBER-002 — Oversight of information-security program</w:t>
      </w:r>
    </w:p>
    <w:tbl>
      <w:tblPr>
        <w:tblStyle w:val="TableGrid"/>
        <w:tblW w:type="auto" w:w="0"/>
        <w:tblLook w:firstColumn="1" w:firstRow="1" w:lastColumn="0" w:lastRow="0" w:noHBand="0" w:noVBand="1" w:val="04A0"/>
      </w:tblPr>
      <w:tblGrid>
        <w:gridCol w:w="5112"/>
        <w:gridCol w:w="5112"/>
      </w:tblGrid>
      <w:tr>
        <w:tc>
          <w:tcPr>
            <w:tcW w:type="dxa" w:w="5112"/>
            <w:shd w:fill="EAF2F8"/>
          </w:tcPr>
          <w:p>
            <w:r>
              <w:rPr>
                <w:b/>
              </w:rPr>
              <w:t>Legal status</w:t>
            </w:r>
          </w:p>
        </w:tc>
        <w:tc>
          <w:tcPr>
            <w:tcW w:type="dxa" w:w="5112"/>
          </w:tcPr>
          <w:p>
            <w:r>
              <w:t>Enforceable guideline</w:t>
            </w:r>
          </w:p>
        </w:tc>
      </w:tr>
      <w:tr>
        <w:tc>
          <w:tcPr>
            <w:tcW w:type="dxa" w:w="5112"/>
            <w:shd w:fill="EAF2F8"/>
          </w:tcPr>
          <w:p>
            <w:r>
              <w:rPr>
                <w:b/>
              </w:rPr>
              <w:t>Primary source</w:t>
            </w:r>
          </w:p>
        </w:tc>
        <w:tc>
          <w:tcPr>
            <w:tcW w:type="dxa" w:w="5112"/>
          </w:tcPr>
          <w:p>
            <w:r>
              <w:t>Interagency information-security guidelines</w:t>
            </w:r>
          </w:p>
        </w:tc>
      </w:tr>
      <w:tr>
        <w:tc>
          <w:tcPr>
            <w:tcW w:type="dxa" w:w="5112"/>
            <w:shd w:fill="EAF2F8"/>
          </w:tcPr>
          <w:p>
            <w:r>
              <w:rPr>
                <w:b/>
              </w:rPr>
              <w:t>Board actor</w:t>
            </w:r>
          </w:p>
        </w:tc>
        <w:tc>
          <w:tcPr>
            <w:tcW w:type="dxa" w:w="5112"/>
          </w:tcPr>
          <w:p>
            <w:r>
              <w:t>Board or appropriate board committee</w:t>
            </w:r>
          </w:p>
        </w:tc>
      </w:tr>
      <w:tr>
        <w:tc>
          <w:tcPr>
            <w:tcW w:type="dxa" w:w="5112"/>
            <w:shd w:fill="EAF2F8"/>
          </w:tcPr>
          <w:p>
            <w:r>
              <w:rPr>
                <w:b/>
              </w:rPr>
              <w:t>Duty summary</w:t>
            </w:r>
          </w:p>
        </w:tc>
        <w:tc>
          <w:tcPr>
            <w:tcW w:type="dxa" w:w="5112"/>
          </w:tcPr>
          <w:p>
            <w:r>
              <w:t>Board or committee oversees development, implementation, and maintenance, including assigning responsibility and reviewing reports from management.</w:t>
            </w:r>
          </w:p>
        </w:tc>
      </w:tr>
      <w:tr>
        <w:tc>
          <w:tcPr>
            <w:tcW w:type="dxa" w:w="5112"/>
            <w:shd w:fill="EAF2F8"/>
          </w:tcPr>
          <w:p>
            <w:r>
              <w:rPr>
                <w:b/>
              </w:rPr>
              <w:t>Evidence artifact</w:t>
            </w:r>
          </w:p>
        </w:tc>
        <w:tc>
          <w:tcPr>
            <w:tcW w:type="dxa" w:w="5112"/>
          </w:tcPr>
          <w:p>
            <w:r>
              <w:t>CISO reports; risk assessments; remediation reports.</w:t>
            </w:r>
          </w:p>
        </w:tc>
      </w:tr>
      <w:tr>
        <w:tc>
          <w:tcPr>
            <w:tcW w:type="dxa" w:w="5112"/>
            <w:shd w:fill="EAF2F8"/>
          </w:tcPr>
          <w:p>
            <w:r>
              <w:rPr>
                <w:b/>
              </w:rPr>
              <w:t>Overlap / burden issue</w:t>
            </w:r>
          </w:p>
        </w:tc>
        <w:tc>
          <w:tcPr>
            <w:tcW w:type="dxa" w:w="5112"/>
          </w:tcPr>
          <w:p>
            <w:r>
              <w:t>Can duplicate technology committee, risk committee, and audit committee reporting.</w:t>
            </w:r>
          </w:p>
        </w:tc>
      </w:tr>
      <w:tr>
        <w:tc>
          <w:tcPr>
            <w:tcW w:type="dxa" w:w="5112"/>
            <w:shd w:fill="EAF2F8"/>
          </w:tcPr>
          <w:p>
            <w:r>
              <w:rPr>
                <w:b/>
              </w:rPr>
              <w:t>Potential reform treatment</w:t>
            </w:r>
          </w:p>
        </w:tc>
        <w:tc>
          <w:tcPr>
            <w:tcW w:type="dxa" w:w="5112"/>
          </w:tcPr>
          <w:p>
            <w:r>
              <w:t>Define committee ownership and cross-reporting protocol.</w:t>
            </w:r>
          </w:p>
        </w:tc>
      </w:tr>
    </w:tbl>
    <w:p/>
    <w:p>
      <w:pPr>
        <w:pStyle w:val="Heading3"/>
      </w:pPr>
      <w:r>
        <w:t>CYBER-003 — OCC security officer annual report</w:t>
      </w:r>
    </w:p>
    <w:tbl>
      <w:tblPr>
        <w:tblStyle w:val="TableGrid"/>
        <w:tblW w:type="auto" w:w="0"/>
        <w:tblLook w:firstColumn="1" w:firstRow="1" w:lastColumn="0" w:lastRow="0" w:noHBand="0" w:noVBand="1" w:val="04A0"/>
      </w:tblPr>
      <w:tblGrid>
        <w:gridCol w:w="5112"/>
        <w:gridCol w:w="5112"/>
      </w:tblGrid>
      <w:tr>
        <w:tc>
          <w:tcPr>
            <w:tcW w:type="dxa" w:w="5112"/>
            <w:shd w:fill="EAF2F8"/>
          </w:tcPr>
          <w:p>
            <w:r>
              <w:rPr>
                <w:b/>
              </w:rPr>
              <w:t>Legal status</w:t>
            </w:r>
          </w:p>
        </w:tc>
        <w:tc>
          <w:tcPr>
            <w:tcW w:type="dxa" w:w="5112"/>
          </w:tcPr>
          <w:p>
            <w:r>
              <w:t>Binding regulation</w:t>
            </w:r>
          </w:p>
        </w:tc>
      </w:tr>
      <w:tr>
        <w:tc>
          <w:tcPr>
            <w:tcW w:type="dxa" w:w="5112"/>
            <w:shd w:fill="EAF2F8"/>
          </w:tcPr>
          <w:p>
            <w:r>
              <w:rPr>
                <w:b/>
              </w:rPr>
              <w:t>Primary source</w:t>
            </w:r>
          </w:p>
        </w:tc>
        <w:tc>
          <w:tcPr>
            <w:tcW w:type="dxa" w:w="5112"/>
          </w:tcPr>
          <w:p>
            <w:r>
              <w:t>12 CFR part 21, subpart A</w:t>
            </w:r>
          </w:p>
        </w:tc>
      </w:tr>
      <w:tr>
        <w:tc>
          <w:tcPr>
            <w:tcW w:type="dxa" w:w="5112"/>
            <w:shd w:fill="EAF2F8"/>
          </w:tcPr>
          <w:p>
            <w:r>
              <w:rPr>
                <w:b/>
              </w:rPr>
              <w:t>Board actor</w:t>
            </w:r>
          </w:p>
        </w:tc>
        <w:tc>
          <w:tcPr>
            <w:tcW w:type="dxa" w:w="5112"/>
          </w:tcPr>
          <w:p>
            <w:r>
              <w:t>National bank/FSA board</w:t>
            </w:r>
          </w:p>
        </w:tc>
      </w:tr>
      <w:tr>
        <w:tc>
          <w:tcPr>
            <w:tcW w:type="dxa" w:w="5112"/>
            <w:shd w:fill="EAF2F8"/>
          </w:tcPr>
          <w:p>
            <w:r>
              <w:rPr>
                <w:b/>
              </w:rPr>
              <w:t>Duty summary</w:t>
            </w:r>
          </w:p>
        </w:tc>
        <w:tc>
          <w:tcPr>
            <w:tcW w:type="dxa" w:w="5112"/>
          </w:tcPr>
          <w:p>
            <w:r>
              <w:t>Security officer must report at least annually to board on security program effectiveness, with substance reflected in minutes.</w:t>
            </w:r>
          </w:p>
        </w:tc>
      </w:tr>
      <w:tr>
        <w:tc>
          <w:tcPr>
            <w:tcW w:type="dxa" w:w="5112"/>
            <w:shd w:fill="EAF2F8"/>
          </w:tcPr>
          <w:p>
            <w:r>
              <w:rPr>
                <w:b/>
              </w:rPr>
              <w:t>Evidence artifact</w:t>
            </w:r>
          </w:p>
        </w:tc>
        <w:tc>
          <w:tcPr>
            <w:tcW w:type="dxa" w:w="5112"/>
          </w:tcPr>
          <w:p>
            <w:r>
              <w:t>Annual security report; minutes.</w:t>
            </w:r>
          </w:p>
        </w:tc>
      </w:tr>
      <w:tr>
        <w:tc>
          <w:tcPr>
            <w:tcW w:type="dxa" w:w="5112"/>
            <w:shd w:fill="EAF2F8"/>
          </w:tcPr>
          <w:p>
            <w:r>
              <w:rPr>
                <w:b/>
              </w:rPr>
              <w:t>Overlap / burden issue</w:t>
            </w:r>
          </w:p>
        </w:tc>
        <w:tc>
          <w:tcPr>
            <w:tcW w:type="dxa" w:w="5112"/>
          </w:tcPr>
          <w:p>
            <w:r>
              <w:t>Can overlap with information-security and operational-risk reporting.</w:t>
            </w:r>
          </w:p>
        </w:tc>
      </w:tr>
      <w:tr>
        <w:tc>
          <w:tcPr>
            <w:tcW w:type="dxa" w:w="5112"/>
            <w:shd w:fill="EAF2F8"/>
          </w:tcPr>
          <w:p>
            <w:r>
              <w:rPr>
                <w:b/>
              </w:rPr>
              <w:t>Potential reform treatment</w:t>
            </w:r>
          </w:p>
        </w:tc>
        <w:tc>
          <w:tcPr>
            <w:tcW w:type="dxa" w:w="5112"/>
          </w:tcPr>
          <w:p>
            <w:r>
              <w:t>Merge with annual cyber/operational resilience board report where permitted.</w:t>
            </w:r>
          </w:p>
        </w:tc>
      </w:tr>
    </w:tbl>
    <w:p/>
    <w:p>
      <w:pPr>
        <w:pStyle w:val="Heading3"/>
      </w:pPr>
      <w:r>
        <w:t>CYBER-004 — Computer-security incident notification governance</w:t>
      </w:r>
    </w:p>
    <w:tbl>
      <w:tblPr>
        <w:tblStyle w:val="TableGrid"/>
        <w:tblW w:type="auto" w:w="0"/>
        <w:tblLook w:firstColumn="1" w:firstRow="1" w:lastColumn="0" w:lastRow="0" w:noHBand="0" w:noVBand="1" w:val="04A0"/>
      </w:tblPr>
      <w:tblGrid>
        <w:gridCol w:w="5112"/>
        <w:gridCol w:w="5112"/>
      </w:tblGrid>
      <w:tr>
        <w:tc>
          <w:tcPr>
            <w:tcW w:type="dxa" w:w="5112"/>
            <w:shd w:fill="EAF2F8"/>
          </w:tcPr>
          <w:p>
            <w:r>
              <w:rPr>
                <w:b/>
              </w:rPr>
              <w:t>Legal status</w:t>
            </w:r>
          </w:p>
        </w:tc>
        <w:tc>
          <w:tcPr>
            <w:tcW w:type="dxa" w:w="5112"/>
          </w:tcPr>
          <w:p>
            <w:r>
              <w:t>Binding regulation</w:t>
            </w:r>
          </w:p>
        </w:tc>
      </w:tr>
      <w:tr>
        <w:tc>
          <w:tcPr>
            <w:tcW w:type="dxa" w:w="5112"/>
            <w:shd w:fill="EAF2F8"/>
          </w:tcPr>
          <w:p>
            <w:r>
              <w:rPr>
                <w:b/>
              </w:rPr>
              <w:t>Primary source</w:t>
            </w:r>
          </w:p>
        </w:tc>
        <w:tc>
          <w:tcPr>
            <w:tcW w:type="dxa" w:w="5112"/>
          </w:tcPr>
          <w:p>
            <w:r>
              <w:t>12 CFR part 53; Fed/FDIC analogues</w:t>
            </w:r>
          </w:p>
        </w:tc>
      </w:tr>
      <w:tr>
        <w:tc>
          <w:tcPr>
            <w:tcW w:type="dxa" w:w="5112"/>
            <w:shd w:fill="EAF2F8"/>
          </w:tcPr>
          <w:p>
            <w:r>
              <w:rPr>
                <w:b/>
              </w:rPr>
              <w:t>Board actor</w:t>
            </w:r>
          </w:p>
        </w:tc>
        <w:tc>
          <w:tcPr>
            <w:tcW w:type="dxa" w:w="5112"/>
          </w:tcPr>
          <w:p>
            <w:r>
              <w:t>Management notification duty; board oversight indirect</w:t>
            </w:r>
          </w:p>
        </w:tc>
      </w:tr>
      <w:tr>
        <w:tc>
          <w:tcPr>
            <w:tcW w:type="dxa" w:w="5112"/>
            <w:shd w:fill="EAF2F8"/>
          </w:tcPr>
          <w:p>
            <w:r>
              <w:rPr>
                <w:b/>
              </w:rPr>
              <w:t>Duty summary</w:t>
            </w:r>
          </w:p>
        </w:tc>
        <w:tc>
          <w:tcPr>
            <w:tcW w:type="dxa" w:w="5112"/>
          </w:tcPr>
          <w:p>
            <w:r>
              <w:t>Banking organization must notify regulator after a notification incident; board governance focuses on escalation and preparedness.</w:t>
            </w:r>
          </w:p>
        </w:tc>
      </w:tr>
      <w:tr>
        <w:tc>
          <w:tcPr>
            <w:tcW w:type="dxa" w:w="5112"/>
            <w:shd w:fill="EAF2F8"/>
          </w:tcPr>
          <w:p>
            <w:r>
              <w:rPr>
                <w:b/>
              </w:rPr>
              <w:t>Evidence artifact</w:t>
            </w:r>
          </w:p>
        </w:tc>
        <w:tc>
          <w:tcPr>
            <w:tcW w:type="dxa" w:w="5112"/>
          </w:tcPr>
          <w:p>
            <w:r>
              <w:t>Incident response policy; escalation matrix; after-action reports.</w:t>
            </w:r>
          </w:p>
        </w:tc>
      </w:tr>
      <w:tr>
        <w:tc>
          <w:tcPr>
            <w:tcW w:type="dxa" w:w="5112"/>
            <w:shd w:fill="EAF2F8"/>
          </w:tcPr>
          <w:p>
            <w:r>
              <w:rPr>
                <w:b/>
              </w:rPr>
              <w:t>Overlap / burden issue</w:t>
            </w:r>
          </w:p>
        </w:tc>
        <w:tc>
          <w:tcPr>
            <w:tcW w:type="dxa" w:w="5112"/>
          </w:tcPr>
          <w:p>
            <w:r>
              <w:t>Overlaps with cyber program and third-party incident reporting.</w:t>
            </w:r>
          </w:p>
        </w:tc>
      </w:tr>
      <w:tr>
        <w:tc>
          <w:tcPr>
            <w:tcW w:type="dxa" w:w="5112"/>
            <w:shd w:fill="EAF2F8"/>
          </w:tcPr>
          <w:p>
            <w:r>
              <w:rPr>
                <w:b/>
              </w:rPr>
              <w:t>Potential reform treatment</w:t>
            </w:r>
          </w:p>
        </w:tc>
        <w:tc>
          <w:tcPr>
            <w:tcW w:type="dxa" w:w="5112"/>
          </w:tcPr>
          <w:p>
            <w:r>
              <w:t>Use one board-approved escalation framework.</w:t>
            </w:r>
          </w:p>
        </w:tc>
      </w:tr>
    </w:tbl>
    <w:p/>
    <w:p>
      <w:pPr>
        <w:pStyle w:val="Heading3"/>
      </w:pPr>
      <w:r>
        <w:t>TPRM-001 — Third-party risk life cycle</w:t>
      </w:r>
    </w:p>
    <w:tbl>
      <w:tblPr>
        <w:tblStyle w:val="TableGrid"/>
        <w:tblW w:type="auto" w:w="0"/>
        <w:tblLook w:firstColumn="1" w:firstRow="1" w:lastColumn="0" w:lastRow="0" w:noHBand="0" w:noVBand="1" w:val="04A0"/>
      </w:tblPr>
      <w:tblGrid>
        <w:gridCol w:w="5112"/>
        <w:gridCol w:w="5112"/>
      </w:tblGrid>
      <w:tr>
        <w:tc>
          <w:tcPr>
            <w:tcW w:type="dxa" w:w="5112"/>
            <w:shd w:fill="EAF2F8"/>
          </w:tcPr>
          <w:p>
            <w:r>
              <w:rPr>
                <w:b/>
              </w:rPr>
              <w:t>Legal status</w:t>
            </w:r>
          </w:p>
        </w:tc>
        <w:tc>
          <w:tcPr>
            <w:tcW w:type="dxa" w:w="5112"/>
          </w:tcPr>
          <w:p>
            <w:r>
              <w:t>Supervisory guidance</w:t>
            </w:r>
          </w:p>
        </w:tc>
      </w:tr>
      <w:tr>
        <w:tc>
          <w:tcPr>
            <w:tcW w:type="dxa" w:w="5112"/>
            <w:shd w:fill="EAF2F8"/>
          </w:tcPr>
          <w:p>
            <w:r>
              <w:rPr>
                <w:b/>
              </w:rPr>
              <w:t>Primary source</w:t>
            </w:r>
          </w:p>
        </w:tc>
        <w:tc>
          <w:tcPr>
            <w:tcW w:type="dxa" w:w="5112"/>
          </w:tcPr>
          <w:p>
            <w:r>
              <w:t>2023 interagency TPRM guidance</w:t>
            </w:r>
          </w:p>
        </w:tc>
      </w:tr>
      <w:tr>
        <w:tc>
          <w:tcPr>
            <w:tcW w:type="dxa" w:w="5112"/>
            <w:shd w:fill="EAF2F8"/>
          </w:tcPr>
          <w:p>
            <w:r>
              <w:rPr>
                <w:b/>
              </w:rPr>
              <w:t>Board actor</w:t>
            </w:r>
          </w:p>
        </w:tc>
        <w:tc>
          <w:tcPr>
            <w:tcW w:type="dxa" w:w="5112"/>
          </w:tcPr>
          <w:p>
            <w:r>
              <w:t>Board and senior management oversight</w:t>
            </w:r>
          </w:p>
        </w:tc>
      </w:tr>
      <w:tr>
        <w:tc>
          <w:tcPr>
            <w:tcW w:type="dxa" w:w="5112"/>
            <w:shd w:fill="EAF2F8"/>
          </w:tcPr>
          <w:p>
            <w:r>
              <w:rPr>
                <w:b/>
              </w:rPr>
              <w:t>Duty summary</w:t>
            </w:r>
          </w:p>
        </w:tc>
        <w:tc>
          <w:tcPr>
            <w:tcW w:type="dxa" w:w="5112"/>
          </w:tcPr>
          <w:p>
            <w:r>
              <w:t>Guidance covers planning, due diligence, contract negotiation, ongoing monitoring, and termination.</w:t>
            </w:r>
          </w:p>
        </w:tc>
      </w:tr>
      <w:tr>
        <w:tc>
          <w:tcPr>
            <w:tcW w:type="dxa" w:w="5112"/>
            <w:shd w:fill="EAF2F8"/>
          </w:tcPr>
          <w:p>
            <w:r>
              <w:rPr>
                <w:b/>
              </w:rPr>
              <w:t>Evidence artifact</w:t>
            </w:r>
          </w:p>
        </w:tc>
        <w:tc>
          <w:tcPr>
            <w:tcW w:type="dxa" w:w="5112"/>
          </w:tcPr>
          <w:p>
            <w:r>
              <w:t>TPRM policy; critical third-party inventory; risk reports.</w:t>
            </w:r>
          </w:p>
        </w:tc>
      </w:tr>
      <w:tr>
        <w:tc>
          <w:tcPr>
            <w:tcW w:type="dxa" w:w="5112"/>
            <w:shd w:fill="EAF2F8"/>
          </w:tcPr>
          <w:p>
            <w:r>
              <w:rPr>
                <w:b/>
              </w:rPr>
              <w:t>Overlap / burden issue</w:t>
            </w:r>
          </w:p>
        </w:tc>
        <w:tc>
          <w:tcPr>
            <w:tcW w:type="dxa" w:w="5112"/>
          </w:tcPr>
          <w:p>
            <w:r>
              <w:t>Crosscuts cyber, AML, consumer compliance, model, AI, cloud, and operations.</w:t>
            </w:r>
          </w:p>
        </w:tc>
      </w:tr>
      <w:tr>
        <w:tc>
          <w:tcPr>
            <w:tcW w:type="dxa" w:w="5112"/>
            <w:shd w:fill="EAF2F8"/>
          </w:tcPr>
          <w:p>
            <w:r>
              <w:rPr>
                <w:b/>
              </w:rPr>
              <w:t>Potential reform treatment</w:t>
            </w:r>
          </w:p>
        </w:tc>
        <w:tc>
          <w:tcPr>
            <w:tcW w:type="dxa" w:w="5112"/>
          </w:tcPr>
          <w:p>
            <w:r>
              <w:t>Adopt criticality-based board reporting threshold.</w:t>
            </w:r>
          </w:p>
        </w:tc>
      </w:tr>
    </w:tbl>
    <w:p/>
    <w:p>
      <w:pPr>
        <w:pStyle w:val="Heading3"/>
      </w:pPr>
      <w:r>
        <w:t>TPRM-002 — Responsibility not outsourced</w:t>
      </w:r>
    </w:p>
    <w:tbl>
      <w:tblPr>
        <w:tblStyle w:val="TableGrid"/>
        <w:tblW w:type="auto" w:w="0"/>
        <w:tblLook w:firstColumn="1" w:firstRow="1" w:lastColumn="0" w:lastRow="0" w:noHBand="0" w:noVBand="1" w:val="04A0"/>
      </w:tblPr>
      <w:tblGrid>
        <w:gridCol w:w="5112"/>
        <w:gridCol w:w="5112"/>
      </w:tblGrid>
      <w:tr>
        <w:tc>
          <w:tcPr>
            <w:tcW w:type="dxa" w:w="5112"/>
            <w:shd w:fill="EAF2F8"/>
          </w:tcPr>
          <w:p>
            <w:r>
              <w:rPr>
                <w:b/>
              </w:rPr>
              <w:t>Legal status</w:t>
            </w:r>
          </w:p>
        </w:tc>
        <w:tc>
          <w:tcPr>
            <w:tcW w:type="dxa" w:w="5112"/>
          </w:tcPr>
          <w:p>
            <w:r>
              <w:t>Supervisory guidance</w:t>
            </w:r>
          </w:p>
        </w:tc>
      </w:tr>
      <w:tr>
        <w:tc>
          <w:tcPr>
            <w:tcW w:type="dxa" w:w="5112"/>
            <w:shd w:fill="EAF2F8"/>
          </w:tcPr>
          <w:p>
            <w:r>
              <w:rPr>
                <w:b/>
              </w:rPr>
              <w:t>Primary source</w:t>
            </w:r>
          </w:p>
        </w:tc>
        <w:tc>
          <w:tcPr>
            <w:tcW w:type="dxa" w:w="5112"/>
          </w:tcPr>
          <w:p>
            <w:r>
              <w:t>2023 interagency TPRM guidance</w:t>
            </w:r>
          </w:p>
        </w:tc>
      </w:tr>
      <w:tr>
        <w:tc>
          <w:tcPr>
            <w:tcW w:type="dxa" w:w="5112"/>
            <w:shd w:fill="EAF2F8"/>
          </w:tcPr>
          <w:p>
            <w:r>
              <w:rPr>
                <w:b/>
              </w:rPr>
              <w:t>Board actor</w:t>
            </w:r>
          </w:p>
        </w:tc>
        <w:tc>
          <w:tcPr>
            <w:tcW w:type="dxa" w:w="5112"/>
          </w:tcPr>
          <w:p>
            <w:r>
              <w:t>Board oversight principle</w:t>
            </w:r>
          </w:p>
        </w:tc>
      </w:tr>
      <w:tr>
        <w:tc>
          <w:tcPr>
            <w:tcW w:type="dxa" w:w="5112"/>
            <w:shd w:fill="EAF2F8"/>
          </w:tcPr>
          <w:p>
            <w:r>
              <w:rPr>
                <w:b/>
              </w:rPr>
              <w:t>Duty summary</w:t>
            </w:r>
          </w:p>
        </w:tc>
        <w:tc>
          <w:tcPr>
            <w:tcW w:type="dxa" w:w="5112"/>
          </w:tcPr>
          <w:p>
            <w:r>
              <w:t>Bank remains responsible for safe and sound operation and legal compliance even when using third parties.</w:t>
            </w:r>
          </w:p>
        </w:tc>
      </w:tr>
      <w:tr>
        <w:tc>
          <w:tcPr>
            <w:tcW w:type="dxa" w:w="5112"/>
            <w:shd w:fill="EAF2F8"/>
          </w:tcPr>
          <w:p>
            <w:r>
              <w:rPr>
                <w:b/>
              </w:rPr>
              <w:t>Evidence artifact</w:t>
            </w:r>
          </w:p>
        </w:tc>
        <w:tc>
          <w:tcPr>
            <w:tcW w:type="dxa" w:w="5112"/>
          </w:tcPr>
          <w:p>
            <w:r>
              <w:t>Board risk appetite; committee reports; policy statements.</w:t>
            </w:r>
          </w:p>
        </w:tc>
      </w:tr>
      <w:tr>
        <w:tc>
          <w:tcPr>
            <w:tcW w:type="dxa" w:w="5112"/>
            <w:shd w:fill="EAF2F8"/>
          </w:tcPr>
          <w:p>
            <w:r>
              <w:rPr>
                <w:b/>
              </w:rPr>
              <w:t>Overlap / burden issue</w:t>
            </w:r>
          </w:p>
        </w:tc>
        <w:tc>
          <w:tcPr>
            <w:tcW w:type="dxa" w:w="5112"/>
          </w:tcPr>
          <w:p>
            <w:r>
              <w:t>Can turn every vendor issue into potential board issue.</w:t>
            </w:r>
          </w:p>
        </w:tc>
      </w:tr>
      <w:tr>
        <w:tc>
          <w:tcPr>
            <w:tcW w:type="dxa" w:w="5112"/>
            <w:shd w:fill="EAF2F8"/>
          </w:tcPr>
          <w:p>
            <w:r>
              <w:rPr>
                <w:b/>
              </w:rPr>
              <w:t>Potential reform treatment</w:t>
            </w:r>
          </w:p>
        </w:tc>
        <w:tc>
          <w:tcPr>
            <w:tcW w:type="dxa" w:w="5112"/>
          </w:tcPr>
          <w:p>
            <w:r>
              <w:t>Limit board escalation to critical activities, material incidents, and aggregate trends.</w:t>
            </w:r>
          </w:p>
        </w:tc>
      </w:tr>
    </w:tbl>
    <w:p/>
    <w:p>
      <w:pPr>
        <w:pStyle w:val="Heading3"/>
      </w:pPr>
      <w:r>
        <w:t>TPRM-003 — CFPB service-provider oversight</w:t>
      </w:r>
    </w:p>
    <w:tbl>
      <w:tblPr>
        <w:tblStyle w:val="TableGrid"/>
        <w:tblW w:type="auto" w:w="0"/>
        <w:tblLook w:firstColumn="1" w:firstRow="1" w:lastColumn="0" w:lastRow="0" w:noHBand="0" w:noVBand="1" w:val="04A0"/>
      </w:tblPr>
      <w:tblGrid>
        <w:gridCol w:w="5112"/>
        <w:gridCol w:w="5112"/>
      </w:tblGrid>
      <w:tr>
        <w:tc>
          <w:tcPr>
            <w:tcW w:type="dxa" w:w="5112"/>
            <w:shd w:fill="EAF2F8"/>
          </w:tcPr>
          <w:p>
            <w:r>
              <w:rPr>
                <w:b/>
              </w:rPr>
              <w:t>Legal status</w:t>
            </w:r>
          </w:p>
        </w:tc>
        <w:tc>
          <w:tcPr>
            <w:tcW w:type="dxa" w:w="5112"/>
          </w:tcPr>
          <w:p>
            <w:r>
              <w:t>Examination expectation</w:t>
            </w:r>
          </w:p>
        </w:tc>
      </w:tr>
      <w:tr>
        <w:tc>
          <w:tcPr>
            <w:tcW w:type="dxa" w:w="5112"/>
            <w:shd w:fill="EAF2F8"/>
          </w:tcPr>
          <w:p>
            <w:r>
              <w:rPr>
                <w:b/>
              </w:rPr>
              <w:t>Primary source</w:t>
            </w:r>
          </w:p>
        </w:tc>
        <w:tc>
          <w:tcPr>
            <w:tcW w:type="dxa" w:w="5112"/>
          </w:tcPr>
          <w:p>
            <w:r>
              <w:t>CFPB CMR procedures</w:t>
            </w:r>
          </w:p>
        </w:tc>
      </w:tr>
      <w:tr>
        <w:tc>
          <w:tcPr>
            <w:tcW w:type="dxa" w:w="5112"/>
            <w:shd w:fill="EAF2F8"/>
          </w:tcPr>
          <w:p>
            <w:r>
              <w:rPr>
                <w:b/>
              </w:rPr>
              <w:t>Board actor</w:t>
            </w:r>
          </w:p>
        </w:tc>
        <w:tc>
          <w:tcPr>
            <w:tcW w:type="dxa" w:w="5112"/>
          </w:tcPr>
          <w:p>
            <w:r>
              <w:t>Board and management oversight</w:t>
            </w:r>
          </w:p>
        </w:tc>
      </w:tr>
      <w:tr>
        <w:tc>
          <w:tcPr>
            <w:tcW w:type="dxa" w:w="5112"/>
            <w:shd w:fill="EAF2F8"/>
          </w:tcPr>
          <w:p>
            <w:r>
              <w:rPr>
                <w:b/>
              </w:rPr>
              <w:t>Duty summary</w:t>
            </w:r>
          </w:p>
        </w:tc>
        <w:tc>
          <w:tcPr>
            <w:tcW w:type="dxa" w:w="5112"/>
          </w:tcPr>
          <w:p>
            <w:r>
              <w:t>CFPB evaluates due diligence and oversight over service providers affecting consumer compliance.</w:t>
            </w:r>
          </w:p>
        </w:tc>
      </w:tr>
      <w:tr>
        <w:tc>
          <w:tcPr>
            <w:tcW w:type="dxa" w:w="5112"/>
            <w:shd w:fill="EAF2F8"/>
          </w:tcPr>
          <w:p>
            <w:r>
              <w:rPr>
                <w:b/>
              </w:rPr>
              <w:t>Evidence artifact</w:t>
            </w:r>
          </w:p>
        </w:tc>
        <w:tc>
          <w:tcPr>
            <w:tcW w:type="dxa" w:w="5112"/>
          </w:tcPr>
          <w:p>
            <w:r>
              <w:t>CMS reports; service-provider reviews; complaint trends.</w:t>
            </w:r>
          </w:p>
        </w:tc>
      </w:tr>
      <w:tr>
        <w:tc>
          <w:tcPr>
            <w:tcW w:type="dxa" w:w="5112"/>
            <w:shd w:fill="EAF2F8"/>
          </w:tcPr>
          <w:p>
            <w:r>
              <w:rPr>
                <w:b/>
              </w:rPr>
              <w:t>Overlap / burden issue</w:t>
            </w:r>
          </w:p>
        </w:tc>
        <w:tc>
          <w:tcPr>
            <w:tcW w:type="dxa" w:w="5112"/>
          </w:tcPr>
          <w:p>
            <w:r>
              <w:t>Duplicates interagency TPRM guidance with consumer-compliance lens.</w:t>
            </w:r>
          </w:p>
        </w:tc>
      </w:tr>
      <w:tr>
        <w:tc>
          <w:tcPr>
            <w:tcW w:type="dxa" w:w="5112"/>
            <w:shd w:fill="EAF2F8"/>
          </w:tcPr>
          <w:p>
            <w:r>
              <w:rPr>
                <w:b/>
              </w:rPr>
              <w:t>Potential reform treatment</w:t>
            </w:r>
          </w:p>
        </w:tc>
        <w:tc>
          <w:tcPr>
            <w:tcW w:type="dxa" w:w="5112"/>
          </w:tcPr>
          <w:p>
            <w:r>
              <w:t>Use consumer compliance tag in enterprise TPRM inventory.</w:t>
            </w:r>
          </w:p>
        </w:tc>
      </w:tr>
    </w:tbl>
    <w:p/>
    <w:p>
      <w:pPr>
        <w:pStyle w:val="Heading3"/>
      </w:pPr>
      <w:r>
        <w:t>MODEL-001 — Model risk governance</w:t>
      </w:r>
    </w:p>
    <w:tbl>
      <w:tblPr>
        <w:tblStyle w:val="TableGrid"/>
        <w:tblW w:type="auto" w:w="0"/>
        <w:tblLook w:firstColumn="1" w:firstRow="1" w:lastColumn="0" w:lastRow="0" w:noHBand="0" w:noVBand="1" w:val="04A0"/>
      </w:tblPr>
      <w:tblGrid>
        <w:gridCol w:w="5112"/>
        <w:gridCol w:w="5112"/>
      </w:tblGrid>
      <w:tr>
        <w:tc>
          <w:tcPr>
            <w:tcW w:type="dxa" w:w="5112"/>
            <w:shd w:fill="EAF2F8"/>
          </w:tcPr>
          <w:p>
            <w:r>
              <w:rPr>
                <w:b/>
              </w:rPr>
              <w:t>Legal status</w:t>
            </w:r>
          </w:p>
        </w:tc>
        <w:tc>
          <w:tcPr>
            <w:tcW w:type="dxa" w:w="5112"/>
          </w:tcPr>
          <w:p>
            <w:r>
              <w:t>Supervisory guidance</w:t>
            </w:r>
          </w:p>
        </w:tc>
      </w:tr>
      <w:tr>
        <w:tc>
          <w:tcPr>
            <w:tcW w:type="dxa" w:w="5112"/>
            <w:shd w:fill="EAF2F8"/>
          </w:tcPr>
          <w:p>
            <w:r>
              <w:rPr>
                <w:b/>
              </w:rPr>
              <w:t>Primary source</w:t>
            </w:r>
          </w:p>
        </w:tc>
        <w:tc>
          <w:tcPr>
            <w:tcW w:type="dxa" w:w="5112"/>
          </w:tcPr>
          <w:p>
            <w:r>
              <w:t>SR 26-2</w:t>
            </w:r>
          </w:p>
        </w:tc>
      </w:tr>
      <w:tr>
        <w:tc>
          <w:tcPr>
            <w:tcW w:type="dxa" w:w="5112"/>
            <w:shd w:fill="EAF2F8"/>
          </w:tcPr>
          <w:p>
            <w:r>
              <w:rPr>
                <w:b/>
              </w:rPr>
              <w:t>Board actor</w:t>
            </w:r>
          </w:p>
        </w:tc>
        <w:tc>
          <w:tcPr>
            <w:tcW w:type="dxa" w:w="5112"/>
          </w:tcPr>
          <w:p>
            <w:r>
              <w:t>Board and senior management oversight</w:t>
            </w:r>
          </w:p>
        </w:tc>
      </w:tr>
      <w:tr>
        <w:tc>
          <w:tcPr>
            <w:tcW w:type="dxa" w:w="5112"/>
            <w:shd w:fill="EAF2F8"/>
          </w:tcPr>
          <w:p>
            <w:r>
              <w:rPr>
                <w:b/>
              </w:rPr>
              <w:t>Duty summary</w:t>
            </w:r>
          </w:p>
        </w:tc>
        <w:tc>
          <w:tcPr>
            <w:tcW w:type="dxa" w:w="5112"/>
          </w:tcPr>
          <w:p>
            <w:r>
              <w:t>Model risk management includes governance and control mechanisms such as board and senior management oversight, policies, procedures, controls, compliance, and incentives.</w:t>
            </w:r>
          </w:p>
        </w:tc>
      </w:tr>
      <w:tr>
        <w:tc>
          <w:tcPr>
            <w:tcW w:type="dxa" w:w="5112"/>
            <w:shd w:fill="EAF2F8"/>
          </w:tcPr>
          <w:p>
            <w:r>
              <w:rPr>
                <w:b/>
              </w:rPr>
              <w:t>Evidence artifact</w:t>
            </w:r>
          </w:p>
        </w:tc>
        <w:tc>
          <w:tcPr>
            <w:tcW w:type="dxa" w:w="5112"/>
          </w:tcPr>
          <w:p>
            <w:r>
              <w:t>Model risk policy; inventory; validation reports; issue reporting.</w:t>
            </w:r>
          </w:p>
        </w:tc>
      </w:tr>
      <w:tr>
        <w:tc>
          <w:tcPr>
            <w:tcW w:type="dxa" w:w="5112"/>
            <w:shd w:fill="EAF2F8"/>
          </w:tcPr>
          <w:p>
            <w:r>
              <w:rPr>
                <w:b/>
              </w:rPr>
              <w:t>Overlap / burden issue</w:t>
            </w:r>
          </w:p>
        </w:tc>
        <w:tc>
          <w:tcPr>
            <w:tcW w:type="dxa" w:w="5112"/>
          </w:tcPr>
          <w:p>
            <w:r>
              <w:t>Overlaps with capital, liquidity, AML, fair lending, fraud, AI, and TPRM.</w:t>
            </w:r>
          </w:p>
        </w:tc>
      </w:tr>
      <w:tr>
        <w:tc>
          <w:tcPr>
            <w:tcW w:type="dxa" w:w="5112"/>
            <w:shd w:fill="EAF2F8"/>
          </w:tcPr>
          <w:p>
            <w:r>
              <w:rPr>
                <w:b/>
              </w:rPr>
              <w:t>Potential reform treatment</w:t>
            </w:r>
          </w:p>
        </w:tc>
        <w:tc>
          <w:tcPr>
            <w:tcW w:type="dxa" w:w="5112"/>
          </w:tcPr>
          <w:p>
            <w:r>
              <w:t>Create model-risk board dashboard aligned to material model use.</w:t>
            </w:r>
          </w:p>
        </w:tc>
      </w:tr>
    </w:tbl>
    <w:p/>
    <w:p>
      <w:pPr>
        <w:pStyle w:val="Heading3"/>
      </w:pPr>
      <w:r>
        <w:t>MODEL-002 — Risk-based model tailoring</w:t>
      </w:r>
    </w:p>
    <w:tbl>
      <w:tblPr>
        <w:tblStyle w:val="TableGrid"/>
        <w:tblW w:type="auto" w:w="0"/>
        <w:tblLook w:firstColumn="1" w:firstRow="1" w:lastColumn="0" w:lastRow="0" w:noHBand="0" w:noVBand="1" w:val="04A0"/>
      </w:tblPr>
      <w:tblGrid>
        <w:gridCol w:w="5112"/>
        <w:gridCol w:w="5112"/>
      </w:tblGrid>
      <w:tr>
        <w:tc>
          <w:tcPr>
            <w:tcW w:type="dxa" w:w="5112"/>
            <w:shd w:fill="EAF2F8"/>
          </w:tcPr>
          <w:p>
            <w:r>
              <w:rPr>
                <w:b/>
              </w:rPr>
              <w:t>Legal status</w:t>
            </w:r>
          </w:p>
        </w:tc>
        <w:tc>
          <w:tcPr>
            <w:tcW w:type="dxa" w:w="5112"/>
          </w:tcPr>
          <w:p>
            <w:r>
              <w:t>Supervisory guidance</w:t>
            </w:r>
          </w:p>
        </w:tc>
      </w:tr>
      <w:tr>
        <w:tc>
          <w:tcPr>
            <w:tcW w:type="dxa" w:w="5112"/>
            <w:shd w:fill="EAF2F8"/>
          </w:tcPr>
          <w:p>
            <w:r>
              <w:rPr>
                <w:b/>
              </w:rPr>
              <w:t>Primary source</w:t>
            </w:r>
          </w:p>
        </w:tc>
        <w:tc>
          <w:tcPr>
            <w:tcW w:type="dxa" w:w="5112"/>
          </w:tcPr>
          <w:p>
            <w:r>
              <w:t>SR 26-2</w:t>
            </w:r>
          </w:p>
        </w:tc>
      </w:tr>
      <w:tr>
        <w:tc>
          <w:tcPr>
            <w:tcW w:type="dxa" w:w="5112"/>
            <w:shd w:fill="EAF2F8"/>
          </w:tcPr>
          <w:p>
            <w:r>
              <w:rPr>
                <w:b/>
              </w:rPr>
              <w:t>Board actor</w:t>
            </w:r>
          </w:p>
        </w:tc>
        <w:tc>
          <w:tcPr>
            <w:tcW w:type="dxa" w:w="5112"/>
          </w:tcPr>
          <w:p>
            <w:r>
              <w:t>Board oversight of risk-based framework</w:t>
            </w:r>
          </w:p>
        </w:tc>
      </w:tr>
      <w:tr>
        <w:tc>
          <w:tcPr>
            <w:tcW w:type="dxa" w:w="5112"/>
            <w:shd w:fill="EAF2F8"/>
          </w:tcPr>
          <w:p>
            <w:r>
              <w:rPr>
                <w:b/>
              </w:rPr>
              <w:t>Duty summary</w:t>
            </w:r>
          </w:p>
        </w:tc>
        <w:tc>
          <w:tcPr>
            <w:tcW w:type="dxa" w:w="5112"/>
          </w:tcPr>
          <w:p>
            <w:r>
              <w:t>Practices should vary by model risk profile and model usage.</w:t>
            </w:r>
          </w:p>
        </w:tc>
      </w:tr>
      <w:tr>
        <w:tc>
          <w:tcPr>
            <w:tcW w:type="dxa" w:w="5112"/>
            <w:shd w:fill="EAF2F8"/>
          </w:tcPr>
          <w:p>
            <w:r>
              <w:rPr>
                <w:b/>
              </w:rPr>
              <w:t>Evidence artifact</w:t>
            </w:r>
          </w:p>
        </w:tc>
        <w:tc>
          <w:tcPr>
            <w:tcW w:type="dxa" w:w="5112"/>
          </w:tcPr>
          <w:p>
            <w:r>
              <w:t>Model tiering; risk appetite; validation scope.</w:t>
            </w:r>
          </w:p>
        </w:tc>
      </w:tr>
      <w:tr>
        <w:tc>
          <w:tcPr>
            <w:tcW w:type="dxa" w:w="5112"/>
            <w:shd w:fill="EAF2F8"/>
          </w:tcPr>
          <w:p>
            <w:r>
              <w:rPr>
                <w:b/>
              </w:rPr>
              <w:t>Overlap / burden issue</w:t>
            </w:r>
          </w:p>
        </w:tc>
        <w:tc>
          <w:tcPr>
            <w:tcW w:type="dxa" w:w="5112"/>
          </w:tcPr>
          <w:p>
            <w:r>
              <w:t>Risk-based concept can conflict with examiner expectations for uniform documentation.</w:t>
            </w:r>
          </w:p>
        </w:tc>
      </w:tr>
      <w:tr>
        <w:tc>
          <w:tcPr>
            <w:tcW w:type="dxa" w:w="5112"/>
            <w:shd w:fill="EAF2F8"/>
          </w:tcPr>
          <w:p>
            <w:r>
              <w:rPr>
                <w:b/>
              </w:rPr>
              <w:t>Potential reform treatment</w:t>
            </w:r>
          </w:p>
        </w:tc>
        <w:tc>
          <w:tcPr>
            <w:tcW w:type="dxa" w:w="5112"/>
          </w:tcPr>
          <w:p>
            <w:r>
              <w:t>Clarify materiality thresholds and model tiers in board-approved policy.</w:t>
            </w:r>
          </w:p>
        </w:tc>
      </w:tr>
    </w:tbl>
    <w:p/>
    <w:p>
      <w:pPr>
        <w:pStyle w:val="Heading3"/>
      </w:pPr>
      <w:r>
        <w:t>MODEL-003 — Capital/stress testing model governance</w:t>
      </w:r>
    </w:p>
    <w:tbl>
      <w:tblPr>
        <w:tblStyle w:val="TableGrid"/>
        <w:tblW w:type="auto" w:w="0"/>
        <w:tblLook w:firstColumn="1" w:firstRow="1" w:lastColumn="0" w:lastRow="0" w:noHBand="0" w:noVBand="1" w:val="04A0"/>
      </w:tblPr>
      <w:tblGrid>
        <w:gridCol w:w="5112"/>
        <w:gridCol w:w="5112"/>
      </w:tblGrid>
      <w:tr>
        <w:tc>
          <w:tcPr>
            <w:tcW w:type="dxa" w:w="5112"/>
            <w:shd w:fill="EAF2F8"/>
          </w:tcPr>
          <w:p>
            <w:r>
              <w:rPr>
                <w:b/>
              </w:rPr>
              <w:t>Legal status</w:t>
            </w:r>
          </w:p>
        </w:tc>
        <w:tc>
          <w:tcPr>
            <w:tcW w:type="dxa" w:w="5112"/>
          </w:tcPr>
          <w:p>
            <w:r>
              <w:t>Rule plus guidance</w:t>
            </w:r>
          </w:p>
        </w:tc>
      </w:tr>
      <w:tr>
        <w:tc>
          <w:tcPr>
            <w:tcW w:type="dxa" w:w="5112"/>
            <w:shd w:fill="EAF2F8"/>
          </w:tcPr>
          <w:p>
            <w:r>
              <w:rPr>
                <w:b/>
              </w:rPr>
              <w:t>Primary source</w:t>
            </w:r>
          </w:p>
        </w:tc>
        <w:tc>
          <w:tcPr>
            <w:tcW w:type="dxa" w:w="5112"/>
          </w:tcPr>
          <w:p>
            <w:r>
              <w:t>12 CFR 225.8; 12 CFR part 252; SR 15-18</w:t>
            </w:r>
          </w:p>
        </w:tc>
      </w:tr>
      <w:tr>
        <w:tc>
          <w:tcPr>
            <w:tcW w:type="dxa" w:w="5112"/>
            <w:shd w:fill="EAF2F8"/>
          </w:tcPr>
          <w:p>
            <w:r>
              <w:rPr>
                <w:b/>
              </w:rPr>
              <w:t>Board actor</w:t>
            </w:r>
          </w:p>
        </w:tc>
        <w:tc>
          <w:tcPr>
            <w:tcW w:type="dxa" w:w="5112"/>
          </w:tcPr>
          <w:p>
            <w:r>
              <w:t>Board/risk/audit committees</w:t>
            </w:r>
          </w:p>
        </w:tc>
      </w:tr>
      <w:tr>
        <w:tc>
          <w:tcPr>
            <w:tcW w:type="dxa" w:w="5112"/>
            <w:shd w:fill="EAF2F8"/>
          </w:tcPr>
          <w:p>
            <w:r>
              <w:rPr>
                <w:b/>
              </w:rPr>
              <w:t>Duty summary</w:t>
            </w:r>
          </w:p>
        </w:tc>
        <w:tc>
          <w:tcPr>
            <w:tcW w:type="dxa" w:w="5112"/>
          </w:tcPr>
          <w:p>
            <w:r>
              <w:t>Capital planning and stress testing require governance over methodologies, controls, validation, and overlays.</w:t>
            </w:r>
          </w:p>
        </w:tc>
      </w:tr>
      <w:tr>
        <w:tc>
          <w:tcPr>
            <w:tcW w:type="dxa" w:w="5112"/>
            <w:shd w:fill="EAF2F8"/>
          </w:tcPr>
          <w:p>
            <w:r>
              <w:rPr>
                <w:b/>
              </w:rPr>
              <w:t>Evidence artifact</w:t>
            </w:r>
          </w:p>
        </w:tc>
        <w:tc>
          <w:tcPr>
            <w:tcW w:type="dxa" w:w="5112"/>
          </w:tcPr>
          <w:p>
            <w:r>
              <w:t>Methodology summaries; validation exceptions; audit reports.</w:t>
            </w:r>
          </w:p>
        </w:tc>
      </w:tr>
      <w:tr>
        <w:tc>
          <w:tcPr>
            <w:tcW w:type="dxa" w:w="5112"/>
            <w:shd w:fill="EAF2F8"/>
          </w:tcPr>
          <w:p>
            <w:r>
              <w:rPr>
                <w:b/>
              </w:rPr>
              <w:t>Overlap / burden issue</w:t>
            </w:r>
          </w:p>
        </w:tc>
        <w:tc>
          <w:tcPr>
            <w:tcW w:type="dxa" w:w="5112"/>
          </w:tcPr>
          <w:p>
            <w:r>
              <w:t>Most technical board package material.</w:t>
            </w:r>
          </w:p>
        </w:tc>
      </w:tr>
      <w:tr>
        <w:tc>
          <w:tcPr>
            <w:tcW w:type="dxa" w:w="5112"/>
            <w:shd w:fill="EAF2F8"/>
          </w:tcPr>
          <w:p>
            <w:r>
              <w:rPr>
                <w:b/>
              </w:rPr>
              <w:t>Potential reform treatment</w:t>
            </w:r>
          </w:p>
        </w:tc>
        <w:tc>
          <w:tcPr>
            <w:tcW w:type="dxa" w:w="5112"/>
          </w:tcPr>
          <w:p>
            <w:r>
              <w:t>Push technical methodology detail to management and provide board with explainable summary and exceptions.</w:t>
            </w:r>
          </w:p>
        </w:tc>
      </w:tr>
    </w:tbl>
    <w:p/>
    <w:p>
      <w:pPr>
        <w:pStyle w:val="Heading3"/>
      </w:pPr>
      <w:r>
        <w:t>COMP-001 — Incentive compensation safety and soundness</w:t>
      </w:r>
    </w:p>
    <w:tbl>
      <w:tblPr>
        <w:tblStyle w:val="TableGrid"/>
        <w:tblW w:type="auto" w:w="0"/>
        <w:tblLook w:firstColumn="1" w:firstRow="1" w:lastColumn="0" w:lastRow="0" w:noHBand="0" w:noVBand="1" w:val="04A0"/>
      </w:tblPr>
      <w:tblGrid>
        <w:gridCol w:w="5112"/>
        <w:gridCol w:w="5112"/>
      </w:tblGrid>
      <w:tr>
        <w:tc>
          <w:tcPr>
            <w:tcW w:type="dxa" w:w="5112"/>
            <w:shd w:fill="EAF2F8"/>
          </w:tcPr>
          <w:p>
            <w:r>
              <w:rPr>
                <w:b/>
              </w:rPr>
              <w:t>Legal status</w:t>
            </w:r>
          </w:p>
        </w:tc>
        <w:tc>
          <w:tcPr>
            <w:tcW w:type="dxa" w:w="5112"/>
          </w:tcPr>
          <w:p>
            <w:r>
              <w:t>Supervisory guidance</w:t>
            </w:r>
          </w:p>
        </w:tc>
      </w:tr>
      <w:tr>
        <w:tc>
          <w:tcPr>
            <w:tcW w:type="dxa" w:w="5112"/>
            <w:shd w:fill="EAF2F8"/>
          </w:tcPr>
          <w:p>
            <w:r>
              <w:rPr>
                <w:b/>
              </w:rPr>
              <w:t>Primary source</w:t>
            </w:r>
          </w:p>
        </w:tc>
        <w:tc>
          <w:tcPr>
            <w:tcW w:type="dxa" w:w="5112"/>
          </w:tcPr>
          <w:p>
            <w:r>
              <w:t>2010 interagency incentive compensation guidance; OCC Bulletin 2010-24</w:t>
            </w:r>
          </w:p>
        </w:tc>
      </w:tr>
      <w:tr>
        <w:tc>
          <w:tcPr>
            <w:tcW w:type="dxa" w:w="5112"/>
            <w:shd w:fill="EAF2F8"/>
          </w:tcPr>
          <w:p>
            <w:r>
              <w:rPr>
                <w:b/>
              </w:rPr>
              <w:t>Board actor</w:t>
            </w:r>
          </w:p>
        </w:tc>
        <w:tc>
          <w:tcPr>
            <w:tcW w:type="dxa" w:w="5112"/>
          </w:tcPr>
          <w:p>
            <w:r>
              <w:t>Board or compensation committee</w:t>
            </w:r>
          </w:p>
        </w:tc>
      </w:tr>
      <w:tr>
        <w:tc>
          <w:tcPr>
            <w:tcW w:type="dxa" w:w="5112"/>
            <w:shd w:fill="EAF2F8"/>
          </w:tcPr>
          <w:p>
            <w:r>
              <w:rPr>
                <w:b/>
              </w:rPr>
              <w:t>Duty summary</w:t>
            </w:r>
          </w:p>
        </w:tc>
        <w:tc>
          <w:tcPr>
            <w:tcW w:type="dxa" w:w="5112"/>
          </w:tcPr>
          <w:p>
            <w:r>
              <w:t>Incentive compensation should not encourage imprudent risk-taking and should be consistent with safety and soundness.</w:t>
            </w:r>
          </w:p>
        </w:tc>
      </w:tr>
      <w:tr>
        <w:tc>
          <w:tcPr>
            <w:tcW w:type="dxa" w:w="5112"/>
            <w:shd w:fill="EAF2F8"/>
          </w:tcPr>
          <w:p>
            <w:r>
              <w:rPr>
                <w:b/>
              </w:rPr>
              <w:t>Evidence artifact</w:t>
            </w:r>
          </w:p>
        </w:tc>
        <w:tc>
          <w:tcPr>
            <w:tcW w:type="dxa" w:w="5112"/>
          </w:tcPr>
          <w:p>
            <w:r>
              <w:t>Compensation committee minutes; risk review; control-function input.</w:t>
            </w:r>
          </w:p>
        </w:tc>
      </w:tr>
      <w:tr>
        <w:tc>
          <w:tcPr>
            <w:tcW w:type="dxa" w:w="5112"/>
            <w:shd w:fill="EAF2F8"/>
          </w:tcPr>
          <w:p>
            <w:r>
              <w:rPr>
                <w:b/>
              </w:rPr>
              <w:t>Overlap / burden issue</w:t>
            </w:r>
          </w:p>
        </w:tc>
        <w:tc>
          <w:tcPr>
            <w:tcW w:type="dxa" w:w="5112"/>
          </w:tcPr>
          <w:p>
            <w:r>
              <w:t>Overlaps with risk appetite, culture, conduct risk, and performance management.</w:t>
            </w:r>
          </w:p>
        </w:tc>
      </w:tr>
      <w:tr>
        <w:tc>
          <w:tcPr>
            <w:tcW w:type="dxa" w:w="5112"/>
            <w:shd w:fill="EAF2F8"/>
          </w:tcPr>
          <w:p>
            <w:r>
              <w:rPr>
                <w:b/>
              </w:rPr>
              <w:t>Potential reform treatment</w:t>
            </w:r>
          </w:p>
        </w:tc>
        <w:tc>
          <w:tcPr>
            <w:tcW w:type="dxa" w:w="5112"/>
          </w:tcPr>
          <w:p>
            <w:r>
              <w:t>Clarify coordination between risk and compensation committees.</w:t>
            </w:r>
          </w:p>
        </w:tc>
      </w:tr>
    </w:tbl>
    <w:p/>
    <w:p>
      <w:pPr>
        <w:pStyle w:val="Heading3"/>
      </w:pPr>
      <w:r>
        <w:t>COMP-002 — Board expertise and resources for compensation</w:t>
      </w:r>
    </w:p>
    <w:tbl>
      <w:tblPr>
        <w:tblStyle w:val="TableGrid"/>
        <w:tblW w:type="auto" w:w="0"/>
        <w:tblLook w:firstColumn="1" w:firstRow="1" w:lastColumn="0" w:lastRow="0" w:noHBand="0" w:noVBand="1" w:val="04A0"/>
      </w:tblPr>
      <w:tblGrid>
        <w:gridCol w:w="5112"/>
        <w:gridCol w:w="5112"/>
      </w:tblGrid>
      <w:tr>
        <w:tc>
          <w:tcPr>
            <w:tcW w:type="dxa" w:w="5112"/>
            <w:shd w:fill="EAF2F8"/>
          </w:tcPr>
          <w:p>
            <w:r>
              <w:rPr>
                <w:b/>
              </w:rPr>
              <w:t>Legal status</w:t>
            </w:r>
          </w:p>
        </w:tc>
        <w:tc>
          <w:tcPr>
            <w:tcW w:type="dxa" w:w="5112"/>
          </w:tcPr>
          <w:p>
            <w:r>
              <w:t>Supervisory guidance</w:t>
            </w:r>
          </w:p>
        </w:tc>
      </w:tr>
      <w:tr>
        <w:tc>
          <w:tcPr>
            <w:tcW w:type="dxa" w:w="5112"/>
            <w:shd w:fill="EAF2F8"/>
          </w:tcPr>
          <w:p>
            <w:r>
              <w:rPr>
                <w:b/>
              </w:rPr>
              <w:t>Primary source</w:t>
            </w:r>
          </w:p>
        </w:tc>
        <w:tc>
          <w:tcPr>
            <w:tcW w:type="dxa" w:w="5112"/>
          </w:tcPr>
          <w:p>
            <w:r>
              <w:t>2010 interagency incentive compensation guidance</w:t>
            </w:r>
          </w:p>
        </w:tc>
      </w:tr>
      <w:tr>
        <w:tc>
          <w:tcPr>
            <w:tcW w:type="dxa" w:w="5112"/>
            <w:shd w:fill="EAF2F8"/>
          </w:tcPr>
          <w:p>
            <w:r>
              <w:rPr>
                <w:b/>
              </w:rPr>
              <w:t>Board actor</w:t>
            </w:r>
          </w:p>
        </w:tc>
        <w:tc>
          <w:tcPr>
            <w:tcW w:type="dxa" w:w="5112"/>
          </w:tcPr>
          <w:p>
            <w:r>
              <w:t>Board or compensation committee</w:t>
            </w:r>
          </w:p>
        </w:tc>
      </w:tr>
      <w:tr>
        <w:tc>
          <w:tcPr>
            <w:tcW w:type="dxa" w:w="5112"/>
            <w:shd w:fill="EAF2F8"/>
          </w:tcPr>
          <w:p>
            <w:r>
              <w:rPr>
                <w:b/>
              </w:rPr>
              <w:t>Duty summary</w:t>
            </w:r>
          </w:p>
        </w:tc>
        <w:tc>
          <w:tcPr>
            <w:tcW w:type="dxa" w:w="5112"/>
          </w:tcPr>
          <w:p>
            <w:r>
              <w:t>Board organization, composition, and resources should permit effective oversight; board should have or access appropriate risk and compensation expertise.</w:t>
            </w:r>
          </w:p>
        </w:tc>
      </w:tr>
      <w:tr>
        <w:tc>
          <w:tcPr>
            <w:tcW w:type="dxa" w:w="5112"/>
            <w:shd w:fill="EAF2F8"/>
          </w:tcPr>
          <w:p>
            <w:r>
              <w:rPr>
                <w:b/>
              </w:rPr>
              <w:t>Evidence artifact</w:t>
            </w:r>
          </w:p>
        </w:tc>
        <w:tc>
          <w:tcPr>
            <w:tcW w:type="dxa" w:w="5112"/>
          </w:tcPr>
          <w:p>
            <w:r>
              <w:t>Skills matrix; advisor engagements; committee materials.</w:t>
            </w:r>
          </w:p>
        </w:tc>
      </w:tr>
      <w:tr>
        <w:tc>
          <w:tcPr>
            <w:tcW w:type="dxa" w:w="5112"/>
            <w:shd w:fill="EAF2F8"/>
          </w:tcPr>
          <w:p>
            <w:r>
              <w:rPr>
                <w:b/>
              </w:rPr>
              <w:t>Overlap / burden issue</w:t>
            </w:r>
          </w:p>
        </w:tc>
        <w:tc>
          <w:tcPr>
            <w:tcW w:type="dxa" w:w="5112"/>
          </w:tcPr>
          <w:p>
            <w:r>
              <w:t>No precise banking-law independence requirement, but public-company rules may apply separately.</w:t>
            </w:r>
          </w:p>
        </w:tc>
      </w:tr>
      <w:tr>
        <w:tc>
          <w:tcPr>
            <w:tcW w:type="dxa" w:w="5112"/>
            <w:shd w:fill="EAF2F8"/>
          </w:tcPr>
          <w:p>
            <w:r>
              <w:rPr>
                <w:b/>
              </w:rPr>
              <w:t>Potential reform treatment</w:t>
            </w:r>
          </w:p>
        </w:tc>
        <w:tc>
          <w:tcPr>
            <w:tcW w:type="dxa" w:w="5112"/>
          </w:tcPr>
          <w:p>
            <w:r>
              <w:t>Use unified skills matrix and advisor-retention record.</w:t>
            </w:r>
          </w:p>
        </w:tc>
      </w:tr>
    </w:tbl>
    <w:p/>
    <w:p>
      <w:pPr>
        <w:pStyle w:val="Heading3"/>
      </w:pPr>
      <w:r>
        <w:t>BSA-001 — OCC BSA program approval</w:t>
      </w:r>
    </w:p>
    <w:tbl>
      <w:tblPr>
        <w:tblStyle w:val="TableGrid"/>
        <w:tblW w:type="auto" w:w="0"/>
        <w:tblLook w:firstColumn="1" w:firstRow="1" w:lastColumn="0" w:lastRow="0" w:noHBand="0" w:noVBand="1" w:val="04A0"/>
      </w:tblPr>
      <w:tblGrid>
        <w:gridCol w:w="5112"/>
        <w:gridCol w:w="5112"/>
      </w:tblGrid>
      <w:tr>
        <w:tc>
          <w:tcPr>
            <w:tcW w:type="dxa" w:w="5112"/>
            <w:shd w:fill="EAF2F8"/>
          </w:tcPr>
          <w:p>
            <w:r>
              <w:rPr>
                <w:b/>
              </w:rPr>
              <w:t>Legal status</w:t>
            </w:r>
          </w:p>
        </w:tc>
        <w:tc>
          <w:tcPr>
            <w:tcW w:type="dxa" w:w="5112"/>
          </w:tcPr>
          <w:p>
            <w:r>
              <w:t>Binding regulation</w:t>
            </w:r>
          </w:p>
        </w:tc>
      </w:tr>
      <w:tr>
        <w:tc>
          <w:tcPr>
            <w:tcW w:type="dxa" w:w="5112"/>
            <w:shd w:fill="EAF2F8"/>
          </w:tcPr>
          <w:p>
            <w:r>
              <w:rPr>
                <w:b/>
              </w:rPr>
              <w:t>Primary source</w:t>
            </w:r>
          </w:p>
        </w:tc>
        <w:tc>
          <w:tcPr>
            <w:tcW w:type="dxa" w:w="5112"/>
          </w:tcPr>
          <w:p>
            <w:r>
              <w:t>12 CFR 21.21</w:t>
            </w:r>
          </w:p>
        </w:tc>
      </w:tr>
      <w:tr>
        <w:tc>
          <w:tcPr>
            <w:tcW w:type="dxa" w:w="5112"/>
            <w:shd w:fill="EAF2F8"/>
          </w:tcPr>
          <w:p>
            <w:r>
              <w:rPr>
                <w:b/>
              </w:rPr>
              <w:t>Board actor</w:t>
            </w:r>
          </w:p>
        </w:tc>
        <w:tc>
          <w:tcPr>
            <w:tcW w:type="dxa" w:w="5112"/>
          </w:tcPr>
          <w:p>
            <w:r>
              <w:t>National bank/FSA board</w:t>
            </w:r>
          </w:p>
        </w:tc>
      </w:tr>
      <w:tr>
        <w:tc>
          <w:tcPr>
            <w:tcW w:type="dxa" w:w="5112"/>
            <w:shd w:fill="EAF2F8"/>
          </w:tcPr>
          <w:p>
            <w:r>
              <w:rPr>
                <w:b/>
              </w:rPr>
              <w:t>Duty summary</w:t>
            </w:r>
          </w:p>
        </w:tc>
        <w:tc>
          <w:tcPr>
            <w:tcW w:type="dxa" w:w="5112"/>
          </w:tcPr>
          <w:p>
            <w:r>
              <w:t>BSA compliance program must be written, approved by board, and reflected in minutes.</w:t>
            </w:r>
          </w:p>
        </w:tc>
      </w:tr>
      <w:tr>
        <w:tc>
          <w:tcPr>
            <w:tcW w:type="dxa" w:w="5112"/>
            <w:shd w:fill="EAF2F8"/>
          </w:tcPr>
          <w:p>
            <w:r>
              <w:rPr>
                <w:b/>
              </w:rPr>
              <w:t>Evidence artifact</w:t>
            </w:r>
          </w:p>
        </w:tc>
        <w:tc>
          <w:tcPr>
            <w:tcW w:type="dxa" w:w="5112"/>
          </w:tcPr>
          <w:p>
            <w:r>
              <w:t>Board resolution; minutes; BSA/AML program.</w:t>
            </w:r>
          </w:p>
        </w:tc>
      </w:tr>
      <w:tr>
        <w:tc>
          <w:tcPr>
            <w:tcW w:type="dxa" w:w="5112"/>
            <w:shd w:fill="EAF2F8"/>
          </w:tcPr>
          <w:p>
            <w:r>
              <w:rPr>
                <w:b/>
              </w:rPr>
              <w:t>Overlap / burden issue</w:t>
            </w:r>
          </w:p>
        </w:tc>
        <w:tc>
          <w:tcPr>
            <w:tcW w:type="dxa" w:w="5112"/>
          </w:tcPr>
          <w:p>
            <w:r>
              <w:t>Hard board approval requirement; overlaps with financial-crimes governance and enterprise compliance.</w:t>
            </w:r>
          </w:p>
        </w:tc>
      </w:tr>
      <w:tr>
        <w:tc>
          <w:tcPr>
            <w:tcW w:type="dxa" w:w="5112"/>
            <w:shd w:fill="EAF2F8"/>
          </w:tcPr>
          <w:p>
            <w:r>
              <w:rPr>
                <w:b/>
              </w:rPr>
              <w:t>Potential reform treatment</w:t>
            </w:r>
          </w:p>
        </w:tc>
        <w:tc>
          <w:tcPr>
            <w:tcW w:type="dxa" w:w="5112"/>
          </w:tcPr>
          <w:p>
            <w:r>
              <w:t>Allow annual approval of framework with management authority for procedural updates.</w:t>
            </w:r>
          </w:p>
        </w:tc>
      </w:tr>
    </w:tbl>
    <w:p/>
    <w:p>
      <w:pPr>
        <w:pStyle w:val="Heading3"/>
      </w:pPr>
      <w:r>
        <w:t>BSA-002 — Federal Reserve BSA program approval</w:t>
      </w:r>
    </w:p>
    <w:tbl>
      <w:tblPr>
        <w:tblStyle w:val="TableGrid"/>
        <w:tblW w:type="auto" w:w="0"/>
        <w:tblLook w:firstColumn="1" w:firstRow="1" w:lastColumn="0" w:lastRow="0" w:noHBand="0" w:noVBand="1" w:val="04A0"/>
      </w:tblPr>
      <w:tblGrid>
        <w:gridCol w:w="5112"/>
        <w:gridCol w:w="5112"/>
      </w:tblGrid>
      <w:tr>
        <w:tc>
          <w:tcPr>
            <w:tcW w:type="dxa" w:w="5112"/>
            <w:shd w:fill="EAF2F8"/>
          </w:tcPr>
          <w:p>
            <w:r>
              <w:rPr>
                <w:b/>
              </w:rPr>
              <w:t>Legal status</w:t>
            </w:r>
          </w:p>
        </w:tc>
        <w:tc>
          <w:tcPr>
            <w:tcW w:type="dxa" w:w="5112"/>
          </w:tcPr>
          <w:p>
            <w:r>
              <w:t>Binding regulation</w:t>
            </w:r>
          </w:p>
        </w:tc>
      </w:tr>
      <w:tr>
        <w:tc>
          <w:tcPr>
            <w:tcW w:type="dxa" w:w="5112"/>
            <w:shd w:fill="EAF2F8"/>
          </w:tcPr>
          <w:p>
            <w:r>
              <w:rPr>
                <w:b/>
              </w:rPr>
              <w:t>Primary source</w:t>
            </w:r>
          </w:p>
        </w:tc>
        <w:tc>
          <w:tcPr>
            <w:tcW w:type="dxa" w:w="5112"/>
          </w:tcPr>
          <w:p>
            <w:r>
              <w:t>12 CFR 208.63</w:t>
            </w:r>
          </w:p>
        </w:tc>
      </w:tr>
      <w:tr>
        <w:tc>
          <w:tcPr>
            <w:tcW w:type="dxa" w:w="5112"/>
            <w:shd w:fill="EAF2F8"/>
          </w:tcPr>
          <w:p>
            <w:r>
              <w:rPr>
                <w:b/>
              </w:rPr>
              <w:t>Board actor</w:t>
            </w:r>
          </w:p>
        </w:tc>
        <w:tc>
          <w:tcPr>
            <w:tcW w:type="dxa" w:w="5112"/>
          </w:tcPr>
          <w:p>
            <w:r>
              <w:t>State member bank board</w:t>
            </w:r>
          </w:p>
        </w:tc>
      </w:tr>
      <w:tr>
        <w:tc>
          <w:tcPr>
            <w:tcW w:type="dxa" w:w="5112"/>
            <w:shd w:fill="EAF2F8"/>
          </w:tcPr>
          <w:p>
            <w:r>
              <w:rPr>
                <w:b/>
              </w:rPr>
              <w:t>Duty summary</w:t>
            </w:r>
          </w:p>
        </w:tc>
        <w:tc>
          <w:tcPr>
            <w:tcW w:type="dxa" w:w="5112"/>
          </w:tcPr>
          <w:p>
            <w:r>
              <w:t>BSA compliance program must be reduced to writing, approved by board, and noted in minutes.</w:t>
            </w:r>
          </w:p>
        </w:tc>
      </w:tr>
      <w:tr>
        <w:tc>
          <w:tcPr>
            <w:tcW w:type="dxa" w:w="5112"/>
            <w:shd w:fill="EAF2F8"/>
          </w:tcPr>
          <w:p>
            <w:r>
              <w:rPr>
                <w:b/>
              </w:rPr>
              <w:t>Evidence artifact</w:t>
            </w:r>
          </w:p>
        </w:tc>
        <w:tc>
          <w:tcPr>
            <w:tcW w:type="dxa" w:w="5112"/>
          </w:tcPr>
          <w:p>
            <w:r>
              <w:t>Board approval; minutes.</w:t>
            </w:r>
          </w:p>
        </w:tc>
      </w:tr>
      <w:tr>
        <w:tc>
          <w:tcPr>
            <w:tcW w:type="dxa" w:w="5112"/>
            <w:shd w:fill="EAF2F8"/>
          </w:tcPr>
          <w:p>
            <w:r>
              <w:rPr>
                <w:b/>
              </w:rPr>
              <w:t>Overlap / burden issue</w:t>
            </w:r>
          </w:p>
        </w:tc>
        <w:tc>
          <w:tcPr>
            <w:tcW w:type="dxa" w:w="5112"/>
          </w:tcPr>
          <w:p>
            <w:r>
              <w:t>Parallel wording with OCC and FDIC rules.</w:t>
            </w:r>
          </w:p>
        </w:tc>
      </w:tr>
      <w:tr>
        <w:tc>
          <w:tcPr>
            <w:tcW w:type="dxa" w:w="5112"/>
            <w:shd w:fill="EAF2F8"/>
          </w:tcPr>
          <w:p>
            <w:r>
              <w:rPr>
                <w:b/>
              </w:rPr>
              <w:t>Potential reform treatment</w:t>
            </w:r>
          </w:p>
        </w:tc>
        <w:tc>
          <w:tcPr>
            <w:tcW w:type="dxa" w:w="5112"/>
          </w:tcPr>
          <w:p>
            <w:r>
              <w:t>Harmonize cross-agency BSA board approval text.</w:t>
            </w:r>
          </w:p>
        </w:tc>
      </w:tr>
    </w:tbl>
    <w:p/>
    <w:p>
      <w:pPr>
        <w:pStyle w:val="Heading3"/>
      </w:pPr>
      <w:r>
        <w:t>BSA-003 — FDIC BSA program approval</w:t>
      </w:r>
    </w:p>
    <w:tbl>
      <w:tblPr>
        <w:tblStyle w:val="TableGrid"/>
        <w:tblW w:type="auto" w:w="0"/>
        <w:tblLook w:firstColumn="1" w:firstRow="1" w:lastColumn="0" w:lastRow="0" w:noHBand="0" w:noVBand="1" w:val="04A0"/>
      </w:tblPr>
      <w:tblGrid>
        <w:gridCol w:w="5112"/>
        <w:gridCol w:w="5112"/>
      </w:tblGrid>
      <w:tr>
        <w:tc>
          <w:tcPr>
            <w:tcW w:type="dxa" w:w="5112"/>
            <w:shd w:fill="EAF2F8"/>
          </w:tcPr>
          <w:p>
            <w:r>
              <w:rPr>
                <w:b/>
              </w:rPr>
              <w:t>Legal status</w:t>
            </w:r>
          </w:p>
        </w:tc>
        <w:tc>
          <w:tcPr>
            <w:tcW w:type="dxa" w:w="5112"/>
          </w:tcPr>
          <w:p>
            <w:r>
              <w:t>Binding regulation</w:t>
            </w:r>
          </w:p>
        </w:tc>
      </w:tr>
      <w:tr>
        <w:tc>
          <w:tcPr>
            <w:tcW w:type="dxa" w:w="5112"/>
            <w:shd w:fill="EAF2F8"/>
          </w:tcPr>
          <w:p>
            <w:r>
              <w:rPr>
                <w:b/>
              </w:rPr>
              <w:t>Primary source</w:t>
            </w:r>
          </w:p>
        </w:tc>
        <w:tc>
          <w:tcPr>
            <w:tcW w:type="dxa" w:w="5112"/>
          </w:tcPr>
          <w:p>
            <w:r>
              <w:t>12 CFR 326.8</w:t>
            </w:r>
          </w:p>
        </w:tc>
      </w:tr>
      <w:tr>
        <w:tc>
          <w:tcPr>
            <w:tcW w:type="dxa" w:w="5112"/>
            <w:shd w:fill="EAF2F8"/>
          </w:tcPr>
          <w:p>
            <w:r>
              <w:rPr>
                <w:b/>
              </w:rPr>
              <w:t>Board actor</w:t>
            </w:r>
          </w:p>
        </w:tc>
        <w:tc>
          <w:tcPr>
            <w:tcW w:type="dxa" w:w="5112"/>
          </w:tcPr>
          <w:p>
            <w:r>
              <w:t>State nonmember bank board</w:t>
            </w:r>
          </w:p>
        </w:tc>
      </w:tr>
      <w:tr>
        <w:tc>
          <w:tcPr>
            <w:tcW w:type="dxa" w:w="5112"/>
            <w:shd w:fill="EAF2F8"/>
          </w:tcPr>
          <w:p>
            <w:r>
              <w:rPr>
                <w:b/>
              </w:rPr>
              <w:t>Duty summary</w:t>
            </w:r>
          </w:p>
        </w:tc>
        <w:tc>
          <w:tcPr>
            <w:tcW w:type="dxa" w:w="5112"/>
          </w:tcPr>
          <w:p>
            <w:r>
              <w:t>BSA compliance program must be written, approved by board, and noted in minutes.</w:t>
            </w:r>
          </w:p>
        </w:tc>
      </w:tr>
      <w:tr>
        <w:tc>
          <w:tcPr>
            <w:tcW w:type="dxa" w:w="5112"/>
            <w:shd w:fill="EAF2F8"/>
          </w:tcPr>
          <w:p>
            <w:r>
              <w:rPr>
                <w:b/>
              </w:rPr>
              <w:t>Evidence artifact</w:t>
            </w:r>
          </w:p>
        </w:tc>
        <w:tc>
          <w:tcPr>
            <w:tcW w:type="dxa" w:w="5112"/>
          </w:tcPr>
          <w:p>
            <w:r>
              <w:t>Board approval; minutes.</w:t>
            </w:r>
          </w:p>
        </w:tc>
      </w:tr>
      <w:tr>
        <w:tc>
          <w:tcPr>
            <w:tcW w:type="dxa" w:w="5112"/>
            <w:shd w:fill="EAF2F8"/>
          </w:tcPr>
          <w:p>
            <w:r>
              <w:rPr>
                <w:b/>
              </w:rPr>
              <w:t>Overlap / burden issue</w:t>
            </w:r>
          </w:p>
        </w:tc>
        <w:tc>
          <w:tcPr>
            <w:tcW w:type="dxa" w:w="5112"/>
          </w:tcPr>
          <w:p>
            <w:r>
              <w:t>Parallel wording with OCC and Fed rules.</w:t>
            </w:r>
          </w:p>
        </w:tc>
      </w:tr>
      <w:tr>
        <w:tc>
          <w:tcPr>
            <w:tcW w:type="dxa" w:w="5112"/>
            <w:shd w:fill="EAF2F8"/>
          </w:tcPr>
          <w:p>
            <w:r>
              <w:rPr>
                <w:b/>
              </w:rPr>
              <w:t>Potential reform treatment</w:t>
            </w:r>
          </w:p>
        </w:tc>
        <w:tc>
          <w:tcPr>
            <w:tcW w:type="dxa" w:w="5112"/>
          </w:tcPr>
          <w:p>
            <w:r>
              <w:t>Harmonize cross-agency BSA board approval text.</w:t>
            </w:r>
          </w:p>
        </w:tc>
      </w:tr>
    </w:tbl>
    <w:p/>
    <w:p>
      <w:pPr>
        <w:pStyle w:val="Heading3"/>
      </w:pPr>
      <w:r>
        <w:t>BSA-004 — BSA program contents</w:t>
      </w:r>
    </w:p>
    <w:tbl>
      <w:tblPr>
        <w:tblStyle w:val="TableGrid"/>
        <w:tblW w:type="auto" w:w="0"/>
        <w:tblLook w:firstColumn="1" w:firstRow="1" w:lastColumn="0" w:lastRow="0" w:noHBand="0" w:noVBand="1" w:val="04A0"/>
      </w:tblPr>
      <w:tblGrid>
        <w:gridCol w:w="5112"/>
        <w:gridCol w:w="5112"/>
      </w:tblGrid>
      <w:tr>
        <w:tc>
          <w:tcPr>
            <w:tcW w:type="dxa" w:w="5112"/>
            <w:shd w:fill="EAF2F8"/>
          </w:tcPr>
          <w:p>
            <w:r>
              <w:rPr>
                <w:b/>
              </w:rPr>
              <w:t>Legal status</w:t>
            </w:r>
          </w:p>
        </w:tc>
        <w:tc>
          <w:tcPr>
            <w:tcW w:type="dxa" w:w="5112"/>
          </w:tcPr>
          <w:p>
            <w:r>
              <w:t>Binding regulation</w:t>
            </w:r>
          </w:p>
        </w:tc>
      </w:tr>
      <w:tr>
        <w:tc>
          <w:tcPr>
            <w:tcW w:type="dxa" w:w="5112"/>
            <w:shd w:fill="EAF2F8"/>
          </w:tcPr>
          <w:p>
            <w:r>
              <w:rPr>
                <w:b/>
              </w:rPr>
              <w:t>Primary source</w:t>
            </w:r>
          </w:p>
        </w:tc>
        <w:tc>
          <w:tcPr>
            <w:tcW w:type="dxa" w:w="5112"/>
          </w:tcPr>
          <w:p>
            <w:r>
              <w:t>12 CFR 21.21; 208.63; 326.8</w:t>
            </w:r>
          </w:p>
        </w:tc>
      </w:tr>
      <w:tr>
        <w:tc>
          <w:tcPr>
            <w:tcW w:type="dxa" w:w="5112"/>
            <w:shd w:fill="EAF2F8"/>
          </w:tcPr>
          <w:p>
            <w:r>
              <w:rPr>
                <w:b/>
              </w:rPr>
              <w:t>Board actor</w:t>
            </w:r>
          </w:p>
        </w:tc>
        <w:tc>
          <w:tcPr>
            <w:tcW w:type="dxa" w:w="5112"/>
          </w:tcPr>
          <w:p>
            <w:r>
              <w:t>IDI board approves program; management executes</w:t>
            </w:r>
          </w:p>
        </w:tc>
      </w:tr>
      <w:tr>
        <w:tc>
          <w:tcPr>
            <w:tcW w:type="dxa" w:w="5112"/>
            <w:shd w:fill="EAF2F8"/>
          </w:tcPr>
          <w:p>
            <w:r>
              <w:rPr>
                <w:b/>
              </w:rPr>
              <w:t>Duty summary</w:t>
            </w:r>
          </w:p>
        </w:tc>
        <w:tc>
          <w:tcPr>
            <w:tcW w:type="dxa" w:w="5112"/>
          </w:tcPr>
          <w:p>
            <w:r>
              <w:t>Program must include internal controls, independent testing, BSA officer, training, and customer identification program elements.</w:t>
            </w:r>
          </w:p>
        </w:tc>
      </w:tr>
      <w:tr>
        <w:tc>
          <w:tcPr>
            <w:tcW w:type="dxa" w:w="5112"/>
            <w:shd w:fill="EAF2F8"/>
          </w:tcPr>
          <w:p>
            <w:r>
              <w:rPr>
                <w:b/>
              </w:rPr>
              <w:t>Evidence artifact</w:t>
            </w:r>
          </w:p>
        </w:tc>
        <w:tc>
          <w:tcPr>
            <w:tcW w:type="dxa" w:w="5112"/>
          </w:tcPr>
          <w:p>
            <w:r>
              <w:t>Program document; audit/testing results; training reports.</w:t>
            </w:r>
          </w:p>
        </w:tc>
      </w:tr>
      <w:tr>
        <w:tc>
          <w:tcPr>
            <w:tcW w:type="dxa" w:w="5112"/>
            <w:shd w:fill="EAF2F8"/>
          </w:tcPr>
          <w:p>
            <w:r>
              <w:rPr>
                <w:b/>
              </w:rPr>
              <w:t>Overlap / burden issue</w:t>
            </w:r>
          </w:p>
        </w:tc>
        <w:tc>
          <w:tcPr>
            <w:tcW w:type="dxa" w:w="5112"/>
          </w:tcPr>
          <w:p>
            <w:r>
              <w:t>Detailed operational contents may be presented to board for approval.</w:t>
            </w:r>
          </w:p>
        </w:tc>
      </w:tr>
      <w:tr>
        <w:tc>
          <w:tcPr>
            <w:tcW w:type="dxa" w:w="5112"/>
            <w:shd w:fill="EAF2F8"/>
          </w:tcPr>
          <w:p>
            <w:r>
              <w:rPr>
                <w:b/>
              </w:rPr>
              <w:t>Potential reform treatment</w:t>
            </w:r>
          </w:p>
        </w:tc>
        <w:tc>
          <w:tcPr>
            <w:tcW w:type="dxa" w:w="5112"/>
          </w:tcPr>
          <w:p>
            <w:r>
              <w:t>Distinguish board-approved framework from management-owned procedures.</w:t>
            </w:r>
          </w:p>
        </w:tc>
      </w:tr>
    </w:tbl>
    <w:p/>
    <w:p>
      <w:pPr>
        <w:pStyle w:val="Heading3"/>
      </w:pPr>
      <w:r>
        <w:t>CONS-001 — CFPB CMS board and management oversight</w:t>
      </w:r>
    </w:p>
    <w:tbl>
      <w:tblPr>
        <w:tblStyle w:val="TableGrid"/>
        <w:tblW w:type="auto" w:w="0"/>
        <w:tblLook w:firstColumn="1" w:firstRow="1" w:lastColumn="0" w:lastRow="0" w:noHBand="0" w:noVBand="1" w:val="04A0"/>
      </w:tblPr>
      <w:tblGrid>
        <w:gridCol w:w="5112"/>
        <w:gridCol w:w="5112"/>
      </w:tblGrid>
      <w:tr>
        <w:tc>
          <w:tcPr>
            <w:tcW w:type="dxa" w:w="5112"/>
            <w:shd w:fill="EAF2F8"/>
          </w:tcPr>
          <w:p>
            <w:r>
              <w:rPr>
                <w:b/>
              </w:rPr>
              <w:t>Legal status</w:t>
            </w:r>
          </w:p>
        </w:tc>
        <w:tc>
          <w:tcPr>
            <w:tcW w:type="dxa" w:w="5112"/>
          </w:tcPr>
          <w:p>
            <w:r>
              <w:t>Examination procedure</w:t>
            </w:r>
          </w:p>
        </w:tc>
      </w:tr>
      <w:tr>
        <w:tc>
          <w:tcPr>
            <w:tcW w:type="dxa" w:w="5112"/>
            <w:shd w:fill="EAF2F8"/>
          </w:tcPr>
          <w:p>
            <w:r>
              <w:rPr>
                <w:b/>
              </w:rPr>
              <w:t>Primary source</w:t>
            </w:r>
          </w:p>
        </w:tc>
        <w:tc>
          <w:tcPr>
            <w:tcW w:type="dxa" w:w="5112"/>
          </w:tcPr>
          <w:p>
            <w:r>
              <w:t>CFPB Compliance Management Review procedures</w:t>
            </w:r>
          </w:p>
        </w:tc>
      </w:tr>
      <w:tr>
        <w:tc>
          <w:tcPr>
            <w:tcW w:type="dxa" w:w="5112"/>
            <w:shd w:fill="EAF2F8"/>
          </w:tcPr>
          <w:p>
            <w:r>
              <w:rPr>
                <w:b/>
              </w:rPr>
              <w:t>Board actor</w:t>
            </w:r>
          </w:p>
        </w:tc>
        <w:tc>
          <w:tcPr>
            <w:tcW w:type="dxa" w:w="5112"/>
          </w:tcPr>
          <w:p>
            <w:r>
              <w:t>Board and management oversight</w:t>
            </w:r>
          </w:p>
        </w:tc>
      </w:tr>
      <w:tr>
        <w:tc>
          <w:tcPr>
            <w:tcW w:type="dxa" w:w="5112"/>
            <w:shd w:fill="EAF2F8"/>
          </w:tcPr>
          <w:p>
            <w:r>
              <w:rPr>
                <w:b/>
              </w:rPr>
              <w:t>Duty summary</w:t>
            </w:r>
          </w:p>
        </w:tc>
        <w:tc>
          <w:tcPr>
            <w:tcW w:type="dxa" w:w="5112"/>
          </w:tcPr>
          <w:p>
            <w:r>
              <w:t>CFPB evaluates board and management oversight as a CMS component.</w:t>
            </w:r>
          </w:p>
        </w:tc>
      </w:tr>
      <w:tr>
        <w:tc>
          <w:tcPr>
            <w:tcW w:type="dxa" w:w="5112"/>
            <w:shd w:fill="EAF2F8"/>
          </w:tcPr>
          <w:p>
            <w:r>
              <w:rPr>
                <w:b/>
              </w:rPr>
              <w:t>Evidence artifact</w:t>
            </w:r>
          </w:p>
        </w:tc>
        <w:tc>
          <w:tcPr>
            <w:tcW w:type="dxa" w:w="5112"/>
          </w:tcPr>
          <w:p>
            <w:r>
              <w:t>Board minutes; compliance reports; issue remediation.</w:t>
            </w:r>
          </w:p>
        </w:tc>
      </w:tr>
      <w:tr>
        <w:tc>
          <w:tcPr>
            <w:tcW w:type="dxa" w:w="5112"/>
            <w:shd w:fill="EAF2F8"/>
          </w:tcPr>
          <w:p>
            <w:r>
              <w:rPr>
                <w:b/>
              </w:rPr>
              <w:t>Overlap / burden issue</w:t>
            </w:r>
          </w:p>
        </w:tc>
        <w:tc>
          <w:tcPr>
            <w:tcW w:type="dxa" w:w="5112"/>
          </w:tcPr>
          <w:p>
            <w:r>
              <w:t>Not a binding rule but drives board documentation.</w:t>
            </w:r>
          </w:p>
        </w:tc>
      </w:tr>
      <w:tr>
        <w:tc>
          <w:tcPr>
            <w:tcW w:type="dxa" w:w="5112"/>
            <w:shd w:fill="EAF2F8"/>
          </w:tcPr>
          <w:p>
            <w:r>
              <w:rPr>
                <w:b/>
              </w:rPr>
              <w:t>Potential reform treatment</w:t>
            </w:r>
          </w:p>
        </w:tc>
        <w:tc>
          <w:tcPr>
            <w:tcW w:type="dxa" w:w="5112"/>
          </w:tcPr>
          <w:p>
            <w:r>
              <w:t>Clarify materiality and risk-based evidence expectations.</w:t>
            </w:r>
          </w:p>
        </w:tc>
      </w:tr>
    </w:tbl>
    <w:p/>
    <w:p>
      <w:pPr>
        <w:pStyle w:val="Heading3"/>
      </w:pPr>
      <w:r>
        <w:t>CONS-002 — CFPB board minutes review</w:t>
      </w:r>
    </w:p>
    <w:tbl>
      <w:tblPr>
        <w:tblStyle w:val="TableGrid"/>
        <w:tblW w:type="auto" w:w="0"/>
        <w:tblLook w:firstColumn="1" w:firstRow="1" w:lastColumn="0" w:lastRow="0" w:noHBand="0" w:noVBand="1" w:val="04A0"/>
      </w:tblPr>
      <w:tblGrid>
        <w:gridCol w:w="5112"/>
        <w:gridCol w:w="5112"/>
      </w:tblGrid>
      <w:tr>
        <w:tc>
          <w:tcPr>
            <w:tcW w:type="dxa" w:w="5112"/>
            <w:shd w:fill="EAF2F8"/>
          </w:tcPr>
          <w:p>
            <w:r>
              <w:rPr>
                <w:b/>
              </w:rPr>
              <w:t>Legal status</w:t>
            </w:r>
          </w:p>
        </w:tc>
        <w:tc>
          <w:tcPr>
            <w:tcW w:type="dxa" w:w="5112"/>
          </w:tcPr>
          <w:p>
            <w:r>
              <w:t>Examination procedure</w:t>
            </w:r>
          </w:p>
        </w:tc>
      </w:tr>
      <w:tr>
        <w:tc>
          <w:tcPr>
            <w:tcW w:type="dxa" w:w="5112"/>
            <w:shd w:fill="EAF2F8"/>
          </w:tcPr>
          <w:p>
            <w:r>
              <w:rPr>
                <w:b/>
              </w:rPr>
              <w:t>Primary source</w:t>
            </w:r>
          </w:p>
        </w:tc>
        <w:tc>
          <w:tcPr>
            <w:tcW w:type="dxa" w:w="5112"/>
          </w:tcPr>
          <w:p>
            <w:r>
              <w:t>CFPB CMR procedures</w:t>
            </w:r>
          </w:p>
        </w:tc>
      </w:tr>
      <w:tr>
        <w:tc>
          <w:tcPr>
            <w:tcW w:type="dxa" w:w="5112"/>
            <w:shd w:fill="EAF2F8"/>
          </w:tcPr>
          <w:p>
            <w:r>
              <w:rPr>
                <w:b/>
              </w:rPr>
              <w:t>Board actor</w:t>
            </w:r>
          </w:p>
        </w:tc>
        <w:tc>
          <w:tcPr>
            <w:tcW w:type="dxa" w:w="5112"/>
          </w:tcPr>
          <w:p>
            <w:r>
              <w:t>Board and relevant committees</w:t>
            </w:r>
          </w:p>
        </w:tc>
      </w:tr>
      <w:tr>
        <w:tc>
          <w:tcPr>
            <w:tcW w:type="dxa" w:w="5112"/>
            <w:shd w:fill="EAF2F8"/>
          </w:tcPr>
          <w:p>
            <w:r>
              <w:rPr>
                <w:b/>
              </w:rPr>
              <w:t>Duty summary</w:t>
            </w:r>
          </w:p>
        </w:tc>
        <w:tc>
          <w:tcPr>
            <w:tcW w:type="dxa" w:w="5112"/>
          </w:tcPr>
          <w:p>
            <w:r>
              <w:t>Examiners review board minutes and supporting materials for coverage of compliance matters.</w:t>
            </w:r>
          </w:p>
        </w:tc>
      </w:tr>
      <w:tr>
        <w:tc>
          <w:tcPr>
            <w:tcW w:type="dxa" w:w="5112"/>
            <w:shd w:fill="EAF2F8"/>
          </w:tcPr>
          <w:p>
            <w:r>
              <w:rPr>
                <w:b/>
              </w:rPr>
              <w:t>Evidence artifact</w:t>
            </w:r>
          </w:p>
        </w:tc>
        <w:tc>
          <w:tcPr>
            <w:tcW w:type="dxa" w:w="5112"/>
          </w:tcPr>
          <w:p>
            <w:r>
              <w:t>Minutes; supporting materials; compliance calendar.</w:t>
            </w:r>
          </w:p>
        </w:tc>
      </w:tr>
      <w:tr>
        <w:tc>
          <w:tcPr>
            <w:tcW w:type="dxa" w:w="5112"/>
            <w:shd w:fill="EAF2F8"/>
          </w:tcPr>
          <w:p>
            <w:r>
              <w:rPr>
                <w:b/>
              </w:rPr>
              <w:t>Overlap / burden issue</w:t>
            </w:r>
          </w:p>
        </w:tc>
        <w:tc>
          <w:tcPr>
            <w:tcW w:type="dxa" w:w="5112"/>
          </w:tcPr>
          <w:p>
            <w:r>
              <w:t>Incentivizes broad consumer-compliance reporting to board.</w:t>
            </w:r>
          </w:p>
        </w:tc>
      </w:tr>
      <w:tr>
        <w:tc>
          <w:tcPr>
            <w:tcW w:type="dxa" w:w="5112"/>
            <w:shd w:fill="EAF2F8"/>
          </w:tcPr>
          <w:p>
            <w:r>
              <w:rPr>
                <w:b/>
              </w:rPr>
              <w:t>Potential reform treatment</w:t>
            </w:r>
          </w:p>
        </w:tc>
        <w:tc>
          <w:tcPr>
            <w:tcW w:type="dxa" w:w="5112"/>
          </w:tcPr>
          <w:p>
            <w:r>
              <w:t>Allow concise minutes plus indexed management reports.</w:t>
            </w:r>
          </w:p>
        </w:tc>
      </w:tr>
    </w:tbl>
    <w:p/>
    <w:p>
      <w:pPr>
        <w:pStyle w:val="Heading3"/>
      </w:pPr>
      <w:r>
        <w:t>CONS-003 — Fair lending CMS</w:t>
      </w:r>
    </w:p>
    <w:tbl>
      <w:tblPr>
        <w:tblStyle w:val="TableGrid"/>
        <w:tblW w:type="auto" w:w="0"/>
        <w:tblLook w:firstColumn="1" w:firstRow="1" w:lastColumn="0" w:lastRow="0" w:noHBand="0" w:noVBand="1" w:val="04A0"/>
      </w:tblPr>
      <w:tblGrid>
        <w:gridCol w:w="5112"/>
        <w:gridCol w:w="5112"/>
      </w:tblGrid>
      <w:tr>
        <w:tc>
          <w:tcPr>
            <w:tcW w:type="dxa" w:w="5112"/>
            <w:shd w:fill="EAF2F8"/>
          </w:tcPr>
          <w:p>
            <w:r>
              <w:rPr>
                <w:b/>
              </w:rPr>
              <w:t>Legal status</w:t>
            </w:r>
          </w:p>
        </w:tc>
        <w:tc>
          <w:tcPr>
            <w:tcW w:type="dxa" w:w="5112"/>
          </w:tcPr>
          <w:p>
            <w:r>
              <w:t>Examination procedure</w:t>
            </w:r>
          </w:p>
        </w:tc>
      </w:tr>
      <w:tr>
        <w:tc>
          <w:tcPr>
            <w:tcW w:type="dxa" w:w="5112"/>
            <w:shd w:fill="EAF2F8"/>
          </w:tcPr>
          <w:p>
            <w:r>
              <w:rPr>
                <w:b/>
              </w:rPr>
              <w:t>Primary source</w:t>
            </w:r>
          </w:p>
        </w:tc>
        <w:tc>
          <w:tcPr>
            <w:tcW w:type="dxa" w:w="5112"/>
          </w:tcPr>
          <w:p>
            <w:r>
              <w:t>CFPB ECOA baseline procedures</w:t>
            </w:r>
          </w:p>
        </w:tc>
      </w:tr>
      <w:tr>
        <w:tc>
          <w:tcPr>
            <w:tcW w:type="dxa" w:w="5112"/>
            <w:shd w:fill="EAF2F8"/>
          </w:tcPr>
          <w:p>
            <w:r>
              <w:rPr>
                <w:b/>
              </w:rPr>
              <w:t>Board actor</w:t>
            </w:r>
          </w:p>
        </w:tc>
        <w:tc>
          <w:tcPr>
            <w:tcW w:type="dxa" w:w="5112"/>
          </w:tcPr>
          <w:p>
            <w:r>
              <w:t>Board and management oversight</w:t>
            </w:r>
          </w:p>
        </w:tc>
      </w:tr>
      <w:tr>
        <w:tc>
          <w:tcPr>
            <w:tcW w:type="dxa" w:w="5112"/>
            <w:shd w:fill="EAF2F8"/>
          </w:tcPr>
          <w:p>
            <w:r>
              <w:rPr>
                <w:b/>
              </w:rPr>
              <w:t>Duty summary</w:t>
            </w:r>
          </w:p>
        </w:tc>
        <w:tc>
          <w:tcPr>
            <w:tcW w:type="dxa" w:w="5112"/>
          </w:tcPr>
          <w:p>
            <w:r>
              <w:t>Examiners evaluate fair lending CMS including board and management oversight, policies/procedures, training, monitoring/audit, complaints, and service-provider risk.</w:t>
            </w:r>
          </w:p>
        </w:tc>
      </w:tr>
      <w:tr>
        <w:tc>
          <w:tcPr>
            <w:tcW w:type="dxa" w:w="5112"/>
            <w:shd w:fill="EAF2F8"/>
          </w:tcPr>
          <w:p>
            <w:r>
              <w:rPr>
                <w:b/>
              </w:rPr>
              <w:t>Evidence artifact</w:t>
            </w:r>
          </w:p>
        </w:tc>
        <w:tc>
          <w:tcPr>
            <w:tcW w:type="dxa" w:w="5112"/>
          </w:tcPr>
          <w:p>
            <w:r>
              <w:t>Fair lending reports; monitoring results; complaints; service-provider reviews.</w:t>
            </w:r>
          </w:p>
        </w:tc>
      </w:tr>
      <w:tr>
        <w:tc>
          <w:tcPr>
            <w:tcW w:type="dxa" w:w="5112"/>
            <w:shd w:fill="EAF2F8"/>
          </w:tcPr>
          <w:p>
            <w:r>
              <w:rPr>
                <w:b/>
              </w:rPr>
              <w:t>Overlap / burden issue</w:t>
            </w:r>
          </w:p>
        </w:tc>
        <w:tc>
          <w:tcPr>
            <w:tcW w:type="dxa" w:w="5112"/>
          </w:tcPr>
          <w:p>
            <w:r>
              <w:t>Overlaps with model risk, consumer compliance, TPRM, and UDAAP.</w:t>
            </w:r>
          </w:p>
        </w:tc>
      </w:tr>
      <w:tr>
        <w:tc>
          <w:tcPr>
            <w:tcW w:type="dxa" w:w="5112"/>
            <w:shd w:fill="EAF2F8"/>
          </w:tcPr>
          <w:p>
            <w:r>
              <w:rPr>
                <w:b/>
              </w:rPr>
              <w:t>Potential reform treatment</w:t>
            </w:r>
          </w:p>
        </w:tc>
        <w:tc>
          <w:tcPr>
            <w:tcW w:type="dxa" w:w="5112"/>
          </w:tcPr>
          <w:p>
            <w:r>
              <w:t>Create integrated consumer-risk dashboard.</w:t>
            </w:r>
          </w:p>
        </w:tc>
      </w:tr>
    </w:tbl>
    <w:p/>
    <w:p>
      <w:pPr>
        <w:pStyle w:val="Heading3"/>
      </w:pPr>
      <w:r>
        <w:t>CONS-004 — UDAAP governance</w:t>
      </w:r>
    </w:p>
    <w:tbl>
      <w:tblPr>
        <w:tblStyle w:val="TableGrid"/>
        <w:tblW w:type="auto" w:w="0"/>
        <w:tblLook w:firstColumn="1" w:firstRow="1" w:lastColumn="0" w:lastRow="0" w:noHBand="0" w:noVBand="1" w:val="04A0"/>
      </w:tblPr>
      <w:tblGrid>
        <w:gridCol w:w="5112"/>
        <w:gridCol w:w="5112"/>
      </w:tblGrid>
      <w:tr>
        <w:tc>
          <w:tcPr>
            <w:tcW w:type="dxa" w:w="5112"/>
            <w:shd w:fill="EAF2F8"/>
          </w:tcPr>
          <w:p>
            <w:r>
              <w:rPr>
                <w:b/>
              </w:rPr>
              <w:t>Legal status</w:t>
            </w:r>
          </w:p>
        </w:tc>
        <w:tc>
          <w:tcPr>
            <w:tcW w:type="dxa" w:w="5112"/>
          </w:tcPr>
          <w:p>
            <w:r>
              <w:t>Examination procedure</w:t>
            </w:r>
          </w:p>
        </w:tc>
      </w:tr>
      <w:tr>
        <w:tc>
          <w:tcPr>
            <w:tcW w:type="dxa" w:w="5112"/>
            <w:shd w:fill="EAF2F8"/>
          </w:tcPr>
          <w:p>
            <w:r>
              <w:rPr>
                <w:b/>
              </w:rPr>
              <w:t>Primary source</w:t>
            </w:r>
          </w:p>
        </w:tc>
        <w:tc>
          <w:tcPr>
            <w:tcW w:type="dxa" w:w="5112"/>
          </w:tcPr>
          <w:p>
            <w:r>
              <w:t>CFPB UDAAP examination procedures</w:t>
            </w:r>
          </w:p>
        </w:tc>
      </w:tr>
      <w:tr>
        <w:tc>
          <w:tcPr>
            <w:tcW w:type="dxa" w:w="5112"/>
            <w:shd w:fill="EAF2F8"/>
          </w:tcPr>
          <w:p>
            <w:r>
              <w:rPr>
                <w:b/>
              </w:rPr>
              <w:t>Board actor</w:t>
            </w:r>
          </w:p>
        </w:tc>
        <w:tc>
          <w:tcPr>
            <w:tcW w:type="dxa" w:w="5112"/>
          </w:tcPr>
          <w:p>
            <w:r>
              <w:t>Board and management oversight through CMS</w:t>
            </w:r>
          </w:p>
        </w:tc>
      </w:tr>
      <w:tr>
        <w:tc>
          <w:tcPr>
            <w:tcW w:type="dxa" w:w="5112"/>
            <w:shd w:fill="EAF2F8"/>
          </w:tcPr>
          <w:p>
            <w:r>
              <w:rPr>
                <w:b/>
              </w:rPr>
              <w:t>Duty summary</w:t>
            </w:r>
          </w:p>
        </w:tc>
        <w:tc>
          <w:tcPr>
            <w:tcW w:type="dxa" w:w="5112"/>
          </w:tcPr>
          <w:p>
            <w:r>
              <w:t>Board oversight arises through risk identification, complaints, corrective action, and remediation of consumer harm.</w:t>
            </w:r>
          </w:p>
        </w:tc>
      </w:tr>
      <w:tr>
        <w:tc>
          <w:tcPr>
            <w:tcW w:type="dxa" w:w="5112"/>
            <w:shd w:fill="EAF2F8"/>
          </w:tcPr>
          <w:p>
            <w:r>
              <w:rPr>
                <w:b/>
              </w:rPr>
              <w:t>Evidence artifact</w:t>
            </w:r>
          </w:p>
        </w:tc>
        <w:tc>
          <w:tcPr>
            <w:tcW w:type="dxa" w:w="5112"/>
          </w:tcPr>
          <w:p>
            <w:r>
              <w:t>UDAAP risk assessment; complaint trends; remediation reports.</w:t>
            </w:r>
          </w:p>
        </w:tc>
      </w:tr>
      <w:tr>
        <w:tc>
          <w:tcPr>
            <w:tcW w:type="dxa" w:w="5112"/>
            <w:shd w:fill="EAF2F8"/>
          </w:tcPr>
          <w:p>
            <w:r>
              <w:rPr>
                <w:b/>
              </w:rPr>
              <w:t>Overlap / burden issue</w:t>
            </w:r>
          </w:p>
        </w:tc>
        <w:tc>
          <w:tcPr>
            <w:tcW w:type="dxa" w:w="5112"/>
          </w:tcPr>
          <w:p>
            <w:r>
              <w:t>Broad principle can produce wide board reporting.</w:t>
            </w:r>
          </w:p>
        </w:tc>
      </w:tr>
      <w:tr>
        <w:tc>
          <w:tcPr>
            <w:tcW w:type="dxa" w:w="5112"/>
            <w:shd w:fill="EAF2F8"/>
          </w:tcPr>
          <w:p>
            <w:r>
              <w:rPr>
                <w:b/>
              </w:rPr>
              <w:t>Potential reform treatment</w:t>
            </w:r>
          </w:p>
        </w:tc>
        <w:tc>
          <w:tcPr>
            <w:tcW w:type="dxa" w:w="5112"/>
          </w:tcPr>
          <w:p>
            <w:r>
              <w:t>Focus board reporting on material consumer harm and systemic issues.</w:t>
            </w:r>
          </w:p>
        </w:tc>
      </w:tr>
    </w:tbl>
    <w:p/>
    <w:p>
      <w:pPr>
        <w:pStyle w:val="Heading3"/>
      </w:pPr>
      <w:r>
        <w:t>GOV-001 — Board effectiveness</w:t>
      </w:r>
    </w:p>
    <w:tbl>
      <w:tblPr>
        <w:tblStyle w:val="TableGrid"/>
        <w:tblW w:type="auto" w:w="0"/>
        <w:tblLook w:firstColumn="1" w:firstRow="1" w:lastColumn="0" w:lastRow="0" w:noHBand="0" w:noVBand="1" w:val="04A0"/>
      </w:tblPr>
      <w:tblGrid>
        <w:gridCol w:w="5112"/>
        <w:gridCol w:w="5112"/>
      </w:tblGrid>
      <w:tr>
        <w:tc>
          <w:tcPr>
            <w:tcW w:type="dxa" w:w="5112"/>
            <w:shd w:fill="EAF2F8"/>
          </w:tcPr>
          <w:p>
            <w:r>
              <w:rPr>
                <w:b/>
              </w:rPr>
              <w:t>Legal status</w:t>
            </w:r>
          </w:p>
        </w:tc>
        <w:tc>
          <w:tcPr>
            <w:tcW w:type="dxa" w:w="5112"/>
          </w:tcPr>
          <w:p>
            <w:r>
              <w:t>Supervisory guidance</w:t>
            </w:r>
          </w:p>
        </w:tc>
      </w:tr>
      <w:tr>
        <w:tc>
          <w:tcPr>
            <w:tcW w:type="dxa" w:w="5112"/>
            <w:shd w:fill="EAF2F8"/>
          </w:tcPr>
          <w:p>
            <w:r>
              <w:rPr>
                <w:b/>
              </w:rPr>
              <w:t>Primary source</w:t>
            </w:r>
          </w:p>
        </w:tc>
        <w:tc>
          <w:tcPr>
            <w:tcW w:type="dxa" w:w="5112"/>
          </w:tcPr>
          <w:p>
            <w:r>
              <w:t>SR 21-3 / CA 21-1</w:t>
            </w:r>
          </w:p>
        </w:tc>
      </w:tr>
      <w:tr>
        <w:tc>
          <w:tcPr>
            <w:tcW w:type="dxa" w:w="5112"/>
            <w:shd w:fill="EAF2F8"/>
          </w:tcPr>
          <w:p>
            <w:r>
              <w:rPr>
                <w:b/>
              </w:rPr>
              <w:t>Board actor</w:t>
            </w:r>
          </w:p>
        </w:tc>
        <w:tc>
          <w:tcPr>
            <w:tcW w:type="dxa" w:w="5112"/>
          </w:tcPr>
          <w:p>
            <w:r>
              <w:t>Parent BHC board</w:t>
            </w:r>
          </w:p>
        </w:tc>
      </w:tr>
      <w:tr>
        <w:tc>
          <w:tcPr>
            <w:tcW w:type="dxa" w:w="5112"/>
            <w:shd w:fill="EAF2F8"/>
          </w:tcPr>
          <w:p>
            <w:r>
              <w:rPr>
                <w:b/>
              </w:rPr>
              <w:t>Duty summary</w:t>
            </w:r>
          </w:p>
        </w:tc>
        <w:tc>
          <w:tcPr>
            <w:tcW w:type="dxa" w:w="5112"/>
          </w:tcPr>
          <w:p>
            <w:r>
              <w:t>Board should provide effective oversight, set direction, hold senior management accountable, and support independent risk management and audit.</w:t>
            </w:r>
          </w:p>
        </w:tc>
      </w:tr>
      <w:tr>
        <w:tc>
          <w:tcPr>
            <w:tcW w:type="dxa" w:w="5112"/>
            <w:shd w:fill="EAF2F8"/>
          </w:tcPr>
          <w:p>
            <w:r>
              <w:rPr>
                <w:b/>
              </w:rPr>
              <w:t>Evidence artifact</w:t>
            </w:r>
          </w:p>
        </w:tc>
        <w:tc>
          <w:tcPr>
            <w:tcW w:type="dxa" w:w="5112"/>
          </w:tcPr>
          <w:p>
            <w:r>
              <w:t>Board self-assessment; governance guidelines; committee charters.</w:t>
            </w:r>
          </w:p>
        </w:tc>
      </w:tr>
      <w:tr>
        <w:tc>
          <w:tcPr>
            <w:tcW w:type="dxa" w:w="5112"/>
            <w:shd w:fill="EAF2F8"/>
          </w:tcPr>
          <w:p>
            <w:r>
              <w:rPr>
                <w:b/>
              </w:rPr>
              <w:t>Overlap / burden issue</w:t>
            </w:r>
          </w:p>
        </w:tc>
        <w:tc>
          <w:tcPr>
            <w:tcW w:type="dxa" w:w="5112"/>
          </w:tcPr>
          <w:p>
            <w:r>
              <w:t>Can overlap with OCC appendix D and corporate-governance expectations.</w:t>
            </w:r>
          </w:p>
        </w:tc>
      </w:tr>
      <w:tr>
        <w:tc>
          <w:tcPr>
            <w:tcW w:type="dxa" w:w="5112"/>
            <w:shd w:fill="EAF2F8"/>
          </w:tcPr>
          <w:p>
            <w:r>
              <w:rPr>
                <w:b/>
              </w:rPr>
              <w:t>Potential reform treatment</w:t>
            </w:r>
          </w:p>
        </w:tc>
        <w:tc>
          <w:tcPr>
            <w:tcW w:type="dxa" w:w="5112"/>
          </w:tcPr>
          <w:p>
            <w:r>
              <w:t>Use one board-effectiveness framework across BHC and subsidiaries.</w:t>
            </w:r>
          </w:p>
        </w:tc>
      </w:tr>
    </w:tbl>
    <w:p/>
    <w:p>
      <w:pPr>
        <w:pStyle w:val="Heading3"/>
      </w:pPr>
      <w:r>
        <w:t>GOV-002 — Consolidated supervision and resiliency</w:t>
      </w:r>
    </w:p>
    <w:tbl>
      <w:tblPr>
        <w:tblStyle w:val="TableGrid"/>
        <w:tblW w:type="auto" w:w="0"/>
        <w:tblLook w:firstColumn="1" w:firstRow="1" w:lastColumn="0" w:lastRow="0" w:noHBand="0" w:noVBand="1" w:val="04A0"/>
      </w:tblPr>
      <w:tblGrid>
        <w:gridCol w:w="5112"/>
        <w:gridCol w:w="5112"/>
      </w:tblGrid>
      <w:tr>
        <w:tc>
          <w:tcPr>
            <w:tcW w:type="dxa" w:w="5112"/>
            <w:shd w:fill="EAF2F8"/>
          </w:tcPr>
          <w:p>
            <w:r>
              <w:rPr>
                <w:b/>
              </w:rPr>
              <w:t>Legal status</w:t>
            </w:r>
          </w:p>
        </w:tc>
        <w:tc>
          <w:tcPr>
            <w:tcW w:type="dxa" w:w="5112"/>
          </w:tcPr>
          <w:p>
            <w:r>
              <w:t>Supervisory guidance</w:t>
            </w:r>
          </w:p>
        </w:tc>
      </w:tr>
      <w:tr>
        <w:tc>
          <w:tcPr>
            <w:tcW w:type="dxa" w:w="5112"/>
            <w:shd w:fill="EAF2F8"/>
          </w:tcPr>
          <w:p>
            <w:r>
              <w:rPr>
                <w:b/>
              </w:rPr>
              <w:t>Primary source</w:t>
            </w:r>
          </w:p>
        </w:tc>
        <w:tc>
          <w:tcPr>
            <w:tcW w:type="dxa" w:w="5112"/>
          </w:tcPr>
          <w:p>
            <w:r>
              <w:t>SR 12-17 / CA 12-14</w:t>
            </w:r>
          </w:p>
        </w:tc>
      </w:tr>
      <w:tr>
        <w:tc>
          <w:tcPr>
            <w:tcW w:type="dxa" w:w="5112"/>
            <w:shd w:fill="EAF2F8"/>
          </w:tcPr>
          <w:p>
            <w:r>
              <w:rPr>
                <w:b/>
              </w:rPr>
              <w:t>Board actor</w:t>
            </w:r>
          </w:p>
        </w:tc>
        <w:tc>
          <w:tcPr>
            <w:tcW w:type="dxa" w:w="5112"/>
          </w:tcPr>
          <w:p>
            <w:r>
              <w:t>Parent BHC board and senior management</w:t>
            </w:r>
          </w:p>
        </w:tc>
      </w:tr>
      <w:tr>
        <w:tc>
          <w:tcPr>
            <w:tcW w:type="dxa" w:w="5112"/>
            <w:shd w:fill="EAF2F8"/>
          </w:tcPr>
          <w:p>
            <w:r>
              <w:rPr>
                <w:b/>
              </w:rPr>
              <w:t>Duty summary</w:t>
            </w:r>
          </w:p>
        </w:tc>
        <w:tc>
          <w:tcPr>
            <w:tcW w:type="dxa" w:w="5112"/>
          </w:tcPr>
          <w:p>
            <w:r>
              <w:t>Large firms should maintain consolidated resiliency and risk-management frameworks that support safety and soundness and financial stability.</w:t>
            </w:r>
          </w:p>
        </w:tc>
      </w:tr>
      <w:tr>
        <w:tc>
          <w:tcPr>
            <w:tcW w:type="dxa" w:w="5112"/>
            <w:shd w:fill="EAF2F8"/>
          </w:tcPr>
          <w:p>
            <w:r>
              <w:rPr>
                <w:b/>
              </w:rPr>
              <w:t>Evidence artifact</w:t>
            </w:r>
          </w:p>
        </w:tc>
        <w:tc>
          <w:tcPr>
            <w:tcW w:type="dxa" w:w="5112"/>
          </w:tcPr>
          <w:p>
            <w:r>
              <w:t>Enterprise risk reports; recovery/resolution reports; stress dashboards.</w:t>
            </w:r>
          </w:p>
        </w:tc>
      </w:tr>
      <w:tr>
        <w:tc>
          <w:tcPr>
            <w:tcW w:type="dxa" w:w="5112"/>
            <w:shd w:fill="EAF2F8"/>
          </w:tcPr>
          <w:p>
            <w:r>
              <w:rPr>
                <w:b/>
              </w:rPr>
              <w:t>Overlap / burden issue</w:t>
            </w:r>
          </w:p>
        </w:tc>
        <w:tc>
          <w:tcPr>
            <w:tcW w:type="dxa" w:w="5112"/>
          </w:tcPr>
          <w:p>
            <w:r>
              <w:t>Broad guidance underlies many more specific obligations.</w:t>
            </w:r>
          </w:p>
        </w:tc>
      </w:tr>
      <w:tr>
        <w:tc>
          <w:tcPr>
            <w:tcW w:type="dxa" w:w="5112"/>
            <w:shd w:fill="EAF2F8"/>
          </w:tcPr>
          <w:p>
            <w:r>
              <w:rPr>
                <w:b/>
              </w:rPr>
              <w:t>Potential reform treatment</w:t>
            </w:r>
          </w:p>
        </w:tc>
        <w:tc>
          <w:tcPr>
            <w:tcW w:type="dxa" w:w="5112"/>
          </w:tcPr>
          <w:p>
            <w:r>
              <w:t>Use as umbrella rather than separate board package.</w:t>
            </w:r>
          </w:p>
        </w:tc>
      </w:tr>
    </w:tbl>
    <w:p/>
    <w:p>
      <w:pPr>
        <w:pStyle w:val="Heading3"/>
      </w:pPr>
      <w:r>
        <w:t>GOV-003 — Safety and soundness standards</w:t>
      </w:r>
    </w:p>
    <w:tbl>
      <w:tblPr>
        <w:tblStyle w:val="TableGrid"/>
        <w:tblW w:type="auto" w:w="0"/>
        <w:tblLook w:firstColumn="1" w:firstRow="1" w:lastColumn="0" w:lastRow="0" w:noHBand="0" w:noVBand="1" w:val="04A0"/>
      </w:tblPr>
      <w:tblGrid>
        <w:gridCol w:w="5112"/>
        <w:gridCol w:w="5112"/>
      </w:tblGrid>
      <w:tr>
        <w:tc>
          <w:tcPr>
            <w:tcW w:type="dxa" w:w="5112"/>
            <w:shd w:fill="EAF2F8"/>
          </w:tcPr>
          <w:p>
            <w:r>
              <w:rPr>
                <w:b/>
              </w:rPr>
              <w:t>Legal status</w:t>
            </w:r>
          </w:p>
        </w:tc>
        <w:tc>
          <w:tcPr>
            <w:tcW w:type="dxa" w:w="5112"/>
          </w:tcPr>
          <w:p>
            <w:r>
              <w:t>Enforceable guideline</w:t>
            </w:r>
          </w:p>
        </w:tc>
      </w:tr>
      <w:tr>
        <w:tc>
          <w:tcPr>
            <w:tcW w:type="dxa" w:w="5112"/>
            <w:shd w:fill="EAF2F8"/>
          </w:tcPr>
          <w:p>
            <w:r>
              <w:rPr>
                <w:b/>
              </w:rPr>
              <w:t>Primary source</w:t>
            </w:r>
          </w:p>
        </w:tc>
        <w:tc>
          <w:tcPr>
            <w:tcW w:type="dxa" w:w="5112"/>
          </w:tcPr>
          <w:p>
            <w:r>
              <w:t>12 CFR part 30 appendix A; 12 CFR part 364 appendix A; Fed analogues</w:t>
            </w:r>
          </w:p>
        </w:tc>
      </w:tr>
      <w:tr>
        <w:tc>
          <w:tcPr>
            <w:tcW w:type="dxa" w:w="5112"/>
            <w:shd w:fill="EAF2F8"/>
          </w:tcPr>
          <w:p>
            <w:r>
              <w:rPr>
                <w:b/>
              </w:rPr>
              <w:t>Board actor</w:t>
            </w:r>
          </w:p>
        </w:tc>
        <w:tc>
          <w:tcPr>
            <w:tcW w:type="dxa" w:w="5112"/>
          </w:tcPr>
          <w:p>
            <w:r>
              <w:t>IDI board and management</w:t>
            </w:r>
          </w:p>
        </w:tc>
      </w:tr>
      <w:tr>
        <w:tc>
          <w:tcPr>
            <w:tcW w:type="dxa" w:w="5112"/>
            <w:shd w:fill="EAF2F8"/>
          </w:tcPr>
          <w:p>
            <w:r>
              <w:rPr>
                <w:b/>
              </w:rPr>
              <w:t>Duty summary</w:t>
            </w:r>
          </w:p>
        </w:tc>
        <w:tc>
          <w:tcPr>
            <w:tcW w:type="dxa" w:w="5112"/>
          </w:tcPr>
          <w:p>
            <w:r>
              <w:t>Interagency standards cover internal controls, information systems, internal audit, loan documentation, credit underwriting, asset quality, earnings, compensation, and benefits.</w:t>
            </w:r>
          </w:p>
        </w:tc>
      </w:tr>
      <w:tr>
        <w:tc>
          <w:tcPr>
            <w:tcW w:type="dxa" w:w="5112"/>
            <w:shd w:fill="EAF2F8"/>
          </w:tcPr>
          <w:p>
            <w:r>
              <w:rPr>
                <w:b/>
              </w:rPr>
              <w:t>Evidence artifact</w:t>
            </w:r>
          </w:p>
        </w:tc>
        <w:tc>
          <w:tcPr>
            <w:tcW w:type="dxa" w:w="5112"/>
          </w:tcPr>
          <w:p>
            <w:r>
              <w:t>Internal control reports; audit reports; safety-and-soundness dashboards.</w:t>
            </w:r>
          </w:p>
        </w:tc>
      </w:tr>
      <w:tr>
        <w:tc>
          <w:tcPr>
            <w:tcW w:type="dxa" w:w="5112"/>
            <w:shd w:fill="EAF2F8"/>
          </w:tcPr>
          <w:p>
            <w:r>
              <w:rPr>
                <w:b/>
              </w:rPr>
              <w:t>Overlap / burden issue</w:t>
            </w:r>
          </w:p>
        </w:tc>
        <w:tc>
          <w:tcPr>
            <w:tcW w:type="dxa" w:w="5112"/>
          </w:tcPr>
          <w:p>
            <w:r>
              <w:t>Broad standards can duplicate domain-specific programs.</w:t>
            </w:r>
          </w:p>
        </w:tc>
      </w:tr>
      <w:tr>
        <w:tc>
          <w:tcPr>
            <w:tcW w:type="dxa" w:w="5112"/>
            <w:shd w:fill="EAF2F8"/>
          </w:tcPr>
          <w:p>
            <w:r>
              <w:rPr>
                <w:b/>
              </w:rPr>
              <w:t>Potential reform treatment</w:t>
            </w:r>
          </w:p>
        </w:tc>
        <w:tc>
          <w:tcPr>
            <w:tcW w:type="dxa" w:w="5112"/>
          </w:tcPr>
          <w:p>
            <w:r>
              <w:t>Map appendix A standards to existing committee reports rather than create separate reporting.</w:t>
            </w:r>
          </w:p>
        </w:tc>
      </w:tr>
    </w:tbl>
    <w:p/>
    <w:p>
      <w:pPr>
        <w:pStyle w:val="Heading1"/>
      </w:pPr>
      <w:r>
        <w:t>Appendix E — Practical Board Calendar Model</w:t>
      </w:r>
    </w:p>
    <w:p>
      <w:r>
        <w:t>January / February: approve enterprise risk appetite and, where possible, cross-reference subsidiary legal-entity risk appetite annexes. Receive prior-year audit and control assessment themes. Review incentive-compensation risk assessment before final compensation decisions.</w:t>
      </w:r>
    </w:p>
    <w:p>
      <w:r>
        <w:t>March / April: review capital plan, stress-testing governance, model risk summary, and major methodology exceptions. Audit committee receives FDICIA/SOX/internal control updates and advanced systems audit reporting where applicable.</w:t>
      </w:r>
    </w:p>
    <w:p>
      <w:r>
        <w:t>May / June: review liquidity risk tolerance, liquidity risk-management policies, contingency funding plan, and liquidity stress-testing results as a single integrated liquidity governance package. Include LCR/NSFR compliance and discount-window/collateral readiness as appendices where relevant.</w:t>
      </w:r>
    </w:p>
    <w:p>
      <w:r>
        <w:t>July / August: review cyber, information security, operational resilience, incident response, and critical third-party risk in a combined operational-resilience package. The package should include material technology/control issues, critical third-party dependencies, material incidents, and remediation status.</w:t>
      </w:r>
    </w:p>
    <w:p>
      <w:r>
        <w:t>September / October: review resolution-planning and recovery-planning materials. For GSIBs, align Title I and CIDI board processes and use common enterprise materials with IDI-specific annexes and minutes.</w:t>
      </w:r>
    </w:p>
    <w:p>
      <w:r>
        <w:t>November / December: approve BSA/AML program and receive financial-crimes risk assessment, independent testing themes, sanctions/AML model issues, and compliance officer reporting. Review consumer-compliance, fair-lending, UDAAP, complaints, and service-provider themes in an integrated compliance package.</w:t>
      </w:r>
    </w:p>
    <w:p>
      <w:pPr>
        <w:pStyle w:val="Heading1"/>
      </w:pPr>
      <w:r>
        <w:t>Appendix F — Suggested Counsel Review Questions</w:t>
      </w:r>
    </w:p>
    <w:p>
      <w:r>
        <w:t>Which obligations are indisputably binding rules, and which are supervisory expectations that can be satisfied through risk-based governance rather than formal board approval?</w:t>
      </w:r>
    </w:p>
    <w:p>
      <w:r>
        <w:t>Can subsidiary boards rely on parent board or committee approvals for enterprise functions, and what record is needed to preserve subsidiary legal-entity accountability?</w:t>
      </w:r>
    </w:p>
    <w:p>
      <w:r>
        <w:t>Where does the board need to approve a document, and where is it sufficient for management to report material changes, exceptions, and control weaknesses?</w:t>
      </w:r>
    </w:p>
    <w:p>
      <w:r>
        <w:t>Which board or committee minutes must specifically note approval, and which minutes merely need to evidence oversight?</w:t>
      </w:r>
    </w:p>
    <w:p>
      <w:r>
        <w:t>Are independence determinations supported under each applicable standard, including outside-director status, independence from management, exchange-listing independence, and banking-regulatory independence?</w:t>
      </w:r>
    </w:p>
    <w:p>
      <w:r>
        <w:t>Can board packages be redesigned around materiality, risk appetite, and exception reporting without losing examiner confidence?</w:t>
      </w:r>
    </w:p>
    <w:p>
      <w:r>
        <w:t>What firm-specific supervisory findings or commitments create additional board obligations that are not visible in public law or guidance?</w:t>
      </w:r>
    </w:p>
    <w:p>
      <w:pPr>
        <w:pStyle w:val="Heading1"/>
      </w:pPr>
      <w:r>
        <w:t>Appendix G — Policy Reform Principles</w:t>
      </w:r>
    </w:p>
    <w:p>
      <w:r>
        <w:t>Principle 1: Preserve accountability, reduce ritual. Board accountability is essential for large-bank governance; unnecessary duplication arises when the same risk is approved or reviewed repeatedly without adding incremental challenge.</w:t>
      </w:r>
    </w:p>
    <w:p>
      <w:r>
        <w:t>Principle 2: Regulate the board-management boundary. Board duties should be framed as direction, oversight, challenge, escalation, and accountability. Management duties should be framed as design, execution, monitoring, and remediation.</w:t>
      </w:r>
    </w:p>
    <w:p>
      <w:r>
        <w:t>Principle 3: Make legal-entity accountability compatible with enterprise risk management. GSIBs operate enterprise control functions, but IDI boards retain legal obligations. Reform should allow parent/subsidiary reliance with clear annexes and minutes.</w:t>
      </w:r>
    </w:p>
    <w:p>
      <w:r>
        <w:t>Principle 4: Require board attention to material changes. Static annual approvals should be replaced where possible by annual framework approval plus event-driven material-change approval and exception reporting.</w:t>
      </w:r>
    </w:p>
    <w:p>
      <w:r>
        <w:t>Principle 5: Harmonize vocabulary. Different agencies should use common definitions for board, board committee, appropriate committee, independent director, outside director, independent of management, and risk expert.</w:t>
      </w:r>
    </w:p>
    <w:p>
      <w:r>
        <w:t>Principle 6: Treat guidance as guidance. Agencies should not use examination expectations to convert nonbinding guidance into de facto rules requiring highly specific board artifacts.</w:t>
      </w:r>
    </w:p>
    <w:p>
      <w:pPr>
        <w:pStyle w:val="Heading1"/>
      </w:pPr>
      <w:r>
        <w:t>Appendix H — Source-by-Source Implementation Notes</w:t>
      </w:r>
    </w:p>
    <w:p>
      <w:pPr>
        <w:pStyle w:val="Heading2"/>
      </w:pPr>
      <w:r>
        <w:t>Regulation YY risk committee implementation note</w:t>
      </w:r>
    </w:p>
    <w:p>
      <w:r>
        <w:t>For Category I firms, the board risk committee should be treated as the central enterprise-risk oversight body. Its charter should explicitly cover approval and periodic review of global risk-management policies, oversight of the global risk-management framework, liquidity responsibilities assigned by Regulation YY, and escalation of enterprise risk appetite breaches. For reform purposes, the question is whether the same committee record can also support subsidiary-board reliance for risk areas governed by OCC appendix D.</w:t>
      </w:r>
    </w:p>
    <w:p>
      <w:r>
        <w:t>Policy-reform coding: classify this source as either a nondelegable board approval, committee approval, board oversight expectation, board reporting expectation, management duty with board escalation, or examiner evidence expectation. That coding will make duplicative board tasks visible and will help separate true safety-and-soundness obligations from documentation practices that have accumulated over time.</w:t>
      </w:r>
    </w:p>
    <w:p>
      <w:pPr>
        <w:pStyle w:val="Heading2"/>
      </w:pPr>
      <w:r>
        <w:t>Regulation YY liquidity implementation note</w:t>
      </w:r>
    </w:p>
    <w:p>
      <w:r>
        <w:t>Liquidity governance is unusually prescriptive. The full board approval of liquidity risk tolerance and liquidity policies should be distinguished from risk committee or subcommittee approval of the contingency funding plan. A practical board package can combine these items, but the minutes should separately reflect each required approval. Where the firm has IDI-specific liquidity limits, those limits should be presented as annexes rather than separate stand-alone board packages where possible.</w:t>
      </w:r>
    </w:p>
    <w:p>
      <w:r>
        <w:t>Policy-reform coding: classify this source as either a nondelegable board approval, committee approval, board oversight expectation, board reporting expectation, management duty with board escalation, or examiner evidence expectation. That coding will make duplicative board tasks visible and will help separate true safety-and-soundness obligations from documentation practices that have accumulated over time.</w:t>
      </w:r>
    </w:p>
    <w:p>
      <w:pPr>
        <w:pStyle w:val="Heading2"/>
      </w:pPr>
      <w:r>
        <w:t>OCC appendix D implementation note</w:t>
      </w:r>
    </w:p>
    <w:p>
      <w:r>
        <w:t>OCC appendix D is not merely a generic governance statement. It establishes minimum standards for a covered bank’s risk-governance framework and board oversight of that framework. The key burden issue is that covered-bank boards may be required to approve or monitor a framework that is designed and operated at the enterprise level. The cleanest reform is not repeal; it is explicit recognition that an IDI board may rely on parent enterprise functions if it receives legal-entity information sufficient to exercise independent judgment.</w:t>
      </w:r>
    </w:p>
    <w:p>
      <w:r>
        <w:t>Policy-reform coding: classify this source as either a nondelegable board approval, committee approval, board oversight expectation, board reporting expectation, management duty with board escalation, or examiner evidence expectation. That coding will make duplicative board tasks visible and will help separate true safety-and-soundness obligations from documentation practices that have accumulated over time.</w:t>
      </w:r>
    </w:p>
    <w:p>
      <w:pPr>
        <w:pStyle w:val="Heading2"/>
      </w:pPr>
      <w:r>
        <w:t>FDICIA part 363 implementation note</w:t>
      </w:r>
    </w:p>
    <w:p>
      <w:r>
        <w:t>Part 363 creates hard committee-composition and audit reporting requirements for large IDIs. For GSIB subsidiaries, the audit committee’s outside-director and independence-of-management requirements should be mapped against public-company audit committee requirements, but they should not be assumed identical. Counsel should maintain a single independence matrix showing satisfaction of each standard.</w:t>
      </w:r>
    </w:p>
    <w:p>
      <w:r>
        <w:t>Policy-reform coding: classify this source as either a nondelegable board approval, committee approval, board oversight expectation, board reporting expectation, management duty with board escalation, or examiner evidence expectation. That coding will make duplicative board tasks visible and will help separate true safety-and-soundness obligations from documentation practices that have accumulated over time.</w:t>
      </w:r>
    </w:p>
    <w:p>
      <w:pPr>
        <w:pStyle w:val="Heading2"/>
      </w:pPr>
      <w:r>
        <w:t>Resolution-planning implementation note</w:t>
      </w:r>
    </w:p>
    <w:p>
      <w:r>
        <w:t>Title I and CIDI planning obligations are separate legal regimes with separate board approval requirements. Nevertheless, for U.S. GSIBs, much of the operational content is shared. A well-designed process would maintain a common enterprise resolution-planning board book with entity-specific supplements. The minutes should make clear which legal entity’s plan is being approved and by which board.</w:t>
      </w:r>
    </w:p>
    <w:p>
      <w:r>
        <w:t>Policy-reform coding: classify this source as either a nondelegable board approval, committee approval, board oversight expectation, board reporting expectation, management duty with board escalation, or examiner evidence expectation. That coding will make duplicative board tasks visible and will help separate true safety-and-soundness obligations from documentation practices that have accumulated over time.</w:t>
      </w:r>
    </w:p>
    <w:p>
      <w:pPr>
        <w:pStyle w:val="Heading2"/>
      </w:pPr>
      <w:r>
        <w:t>BSA/AML implementation note</w:t>
      </w:r>
    </w:p>
    <w:p>
      <w:r>
        <w:t>BSA regulations are among the clearest board-approval requirements in banking law. They require a written program, board approval, and notation in the minutes. The practical question is how detailed the board-approved program must be. A reform-oriented approach would preserve board approval of the financial-crimes control framework while allowing management to update procedures, systems, staffing, and typology-specific controls subject to material-change and exception reporting.</w:t>
      </w:r>
    </w:p>
    <w:p>
      <w:r>
        <w:t>Policy-reform coding: classify this source as either a nondelegable board approval, committee approval, board oversight expectation, board reporting expectation, management duty with board escalation, or examiner evidence expectation. That coding will make duplicative board tasks visible and will help separate true safety-and-soundness obligations from documentation practices that have accumulated over time.</w:t>
      </w:r>
    </w:p>
    <w:p>
      <w:pPr>
        <w:pStyle w:val="Heading2"/>
      </w:pPr>
      <w:r>
        <w:t>Information-security implementation note</w:t>
      </w:r>
    </w:p>
    <w:p>
      <w:r>
        <w:t>The interagency safeguards guidelines require board or committee approval of the written information-security program and oversight of program development, implementation, and maintenance. For large firms, that program intersects with cyber risk, data governance, privacy, third-party technology risk, cloud concentration, resilience, and incident response. Board materials should therefore be organized around operational-resilience outcomes rather than fragmented by regulatory source.</w:t>
      </w:r>
    </w:p>
    <w:p>
      <w:r>
        <w:t>Policy-reform coding: classify this source as either a nondelegable board approval, committee approval, board oversight expectation, board reporting expectation, management duty with board escalation, or examiner evidence expectation. That coding will make duplicative board tasks visible and will help separate true safety-and-soundness obligations from documentation practices that have accumulated over time.</w:t>
      </w:r>
    </w:p>
    <w:p>
      <w:pPr>
        <w:pStyle w:val="Heading2"/>
      </w:pPr>
      <w:r>
        <w:t>Third-party risk implementation note</w:t>
      </w:r>
    </w:p>
    <w:p>
      <w:r>
        <w:t>The 2023 interagency guidance expressly states that it does not impose new requirements, but it is still operationally significant. The board-level burden arises because firms must demonstrate sound risk management over critical third-party relationships. Reform should define a minimum board-view inventory of critical activities, concentration risks, fourth-party dependencies, incidents, and control weaknesses, while leaving ordinary vendor administration to management.</w:t>
      </w:r>
    </w:p>
    <w:p>
      <w:r>
        <w:t>Policy-reform coding: classify this source as either a nondelegable board approval, committee approval, board oversight expectation, board reporting expectation, management duty with board escalation, or examiner evidence expectation. That coding will make duplicative board tasks visible and will help separate true safety-and-soundness obligations from documentation practices that have accumulated over time.</w:t>
      </w:r>
    </w:p>
    <w:p>
      <w:pPr>
        <w:pStyle w:val="Heading2"/>
      </w:pPr>
      <w:r>
        <w:t>Model-risk implementation note</w:t>
      </w:r>
    </w:p>
    <w:p>
      <w:r>
        <w:t>SR 26-2’s tailoring language is important for reform. A board should not receive the same level of detail for every model. Board reporting should identify material model uses, model risk appetite, high-risk models, validation exceptions, unresolved findings, and major AI or automation risks. Technical documentation should remain with management and validation functions unless it bears directly on board-level risk appetite or capital/liquidity adequacy.</w:t>
      </w:r>
    </w:p>
    <w:p>
      <w:r>
        <w:t>Policy-reform coding: classify this source as either a nondelegable board approval, committee approval, board oversight expectation, board reporting expectation, management duty with board escalation, or examiner evidence expectation. That coding will make duplicative board tasks visible and will help separate true safety-and-soundness obligations from documentation practices that have accumulated over time.</w:t>
      </w:r>
    </w:p>
    <w:p>
      <w:pPr>
        <w:pStyle w:val="Heading2"/>
      </w:pPr>
      <w:r>
        <w:t>Incentive-compensation implementation note</w:t>
      </w:r>
    </w:p>
    <w:p>
      <w:r>
        <w:t>The 2010 guidance embeds compensation governance in safety and soundness. It expects active and effective board oversight, expertise, and controls around risk-taking incentives. The main duplication issue is committee coordination. Risk committees understand risk appetite and control failures; compensation committees approve pay structures; audit and compliance functions identify misconduct and control weaknesses. A combined annual risk-adjustment report can reduce duplicative presentations.</w:t>
      </w:r>
    </w:p>
    <w:p>
      <w:r>
        <w:t>Policy-reform coding: classify this source as either a nondelegable board approval, committee approval, board oversight expectation, board reporting expectation, management duty with board escalation, or examiner evidence expectation. That coding will make duplicative board tasks visible and will help separate true safety-and-soundness obligations from documentation practices that have accumulated over time.</w:t>
      </w:r>
    </w:p>
    <w:p>
      <w:pPr>
        <w:pStyle w:val="Heading2"/>
      </w:pPr>
      <w:r>
        <w:t>Consumer-compliance implementation note</w:t>
      </w:r>
    </w:p>
    <w:p>
      <w:r>
        <w:t>CFPB examination materials are not board-approval rules, but they cause firms to document board and management oversight carefully. A consumer compliance board package should cover material legal risks, fair lending, UDAAP, complaints, remediation, service-provider issues, and product-governance concerns. Board reporting should not become a product-by-product compliance manual; it should focus on consumer harm, systemic weaknesses, and accountability.</w:t>
      </w:r>
    </w:p>
    <w:p>
      <w:r>
        <w:t>Policy-reform coding: classify this source as either a nondelegable board approval, committee approval, board oversight expectation, board reporting expectation, management duty with board escalation, or examiner evidence expectation. That coding will make duplicative board tasks visible and will help separate true safety-and-soundness obligations from documentation practices that have accumulated over time.</w:t>
      </w:r>
    </w:p>
    <w:p>
      <w:pPr>
        <w:pStyle w:val="Heading2"/>
      </w:pPr>
      <w:r>
        <w:t>Board-effectiveness implementation note</w:t>
      </w:r>
    </w:p>
    <w:p>
      <w:r>
        <w:t>Federal Reserve board-effectiveness guidance is useful because it tries to separate board oversight from management execution. Reformers should use that distinction as an organizing principle across domains: board sets direction, approves risk appetite and critical frameworks, challenges management, monitors remediation, and holds management accountable. Management designs, implements, tests, and operates controls.</w:t>
      </w:r>
    </w:p>
    <w:p>
      <w:r>
        <w:t>Policy-reform coding: classify this source as either a nondelegable board approval, committee approval, board oversight expectation, board reporting expectation, management duty with board escalation, or examiner evidence expectation. That coding will make duplicative board tasks visible and will help separate true safety-and-soundness obligations from documentation practices that have accumulated over time.</w:t>
      </w:r>
    </w:p>
    <w:p>
      <w:pPr>
        <w:pStyle w:val="Heading1"/>
      </w:pPr>
      <w:r>
        <w:t>Appendix I — Draft Coding Key for Duplicative Board Burden</w:t>
      </w:r>
    </w:p>
    <w:p>
      <w:pPr>
        <w:pStyle w:val="ListBullet"/>
      </w:pPr>
      <w:r>
        <w:t>Code A: Nondelegable board approval. The rule expressly requires full board approval or minute notation. Reform requires regulatory amendment or express agency interpretation.</w:t>
      </w:r>
    </w:p>
    <w:p>
      <w:pPr>
        <w:pStyle w:val="ListBullet"/>
      </w:pPr>
      <w:r>
        <w:t>Code B: Board or committee approval. The rule allows approval by a board committee or appropriate committee. Reform can focus on committee allocation and consolidated packages.</w:t>
      </w:r>
    </w:p>
    <w:p>
      <w:pPr>
        <w:pStyle w:val="ListBullet"/>
      </w:pPr>
      <w:r>
        <w:t>Code C: Board oversight expectation. The source expects the board to oversee management or a framework, but does not require detailed document approval. Reform can clarify evidence expectations.</w:t>
      </w:r>
    </w:p>
    <w:p>
      <w:pPr>
        <w:pStyle w:val="ListBullet"/>
      </w:pPr>
      <w:r>
        <w:t>Code D: Management duty with board reporting. The operational obligation belongs to management, but management must report to the board or committee. Reform can consolidate reporting.</w:t>
      </w:r>
    </w:p>
    <w:p>
      <w:pPr>
        <w:pStyle w:val="ListBullet"/>
      </w:pPr>
      <w:r>
        <w:t>Code E: Examination evidence expectation. The source is an examination manual or procedure that prompts examiners to review board materials. Reform can focus on examiner training and guidance.</w:t>
      </w:r>
    </w:p>
    <w:p>
      <w:pPr>
        <w:pStyle w:val="ListBullet"/>
      </w:pPr>
      <w:r>
        <w:t>Code F: Cross-functional control obligation. The same risk appears in several programs, such as model risk in capital, AML, fair lending, and AI. Reform can consolidate dashboards and issue tracking.</w:t>
      </w:r>
    </w:p>
    <w:p>
      <w:pPr>
        <w:pStyle w:val="ListBullet"/>
      </w:pPr>
      <w:r>
        <w:t>Code G: Legal-entity duplication. Parent and subsidiary boards review the same enterprise framework. Reform can permit reliance with legal-entity annexes.</w:t>
      </w:r>
    </w:p>
    <w:p>
      <w:pPr>
        <w:pStyle w:val="ListBullet"/>
      </w:pPr>
      <w:r>
        <w:t>Code H: Terminology conflict. Different sources use different independence or committee terms. Reform can harmonize definitions.</w:t>
      </w:r>
    </w:p>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