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right"/>
        <w:spacing w:after="0"/>
      </w:pPr>
      <w:r>
        <w:drawing>
          <wp:inline>
            <wp:extent cx="1371600" cy="320040"/>
            <wp:docPr id="1" name="Picture 1"/>
            <wp:cNvGraphicFramePr>
              <a:graphicFrameLocks noChangeAspect="1"/>
            </wp:cNvGraphicFramePr>
            <a:graphic>
              <a:graphicData uri="http://schemas.openxmlformats.org/drawingml/2006/picture">
                <pic:pic>
                  <pic:nvPicPr>
                    <pic:cNvPr id="0" name="caffrey-logo.png"/>
                    <pic:cNvPicPr/>
                  </pic:nvPicPr>
                  <pic:blipFill>
                    <a:blip r:embed="rId9"/>
                    <a:stretch>
                      <a:fillRect/>
                    </a:stretch>
                  </pic:blipFill>
                  <pic:spPr>
                    <a:xfrm>
                      <a:off x="0" y="0"/>
                      <a:ext cx="1371600" cy="320040"/>
                    </a:xfrm>
                    <a:prstGeom prst="rect"/>
                  </pic:spPr>
                </pic:pic>
              </a:graphicData>
            </a:graphic>
          </wp:inline>
        </w:drawing>
      </w:r>
    </w:p>
    <w:p>
      <w:pPr>
        <w:jc w:val="right"/>
        <w:spacing w:before="60" w:after="0"/>
      </w:pPr>
      <w:r>
        <w:rPr>
          <w:sz w:val="18"/>
          <w:szCs w:val="18"/>
          <w:b/>
          <w:color w:val="888888"/>
          <w:rFonts w:ascii="Pretendard" w:hAnsi="Pretendard"/>
        </w:rPr>
        <w:t xml:space="preserve">PRIVILEGED &amp; CONFIDENTIAL</w:t>
      </w:r>
    </w:p>
    <w:p>
      <w:pPr>
        <w:spacing w:before="600" w:after="60"/>
      </w:pPr>
      <w:r>
        <w:rPr>
          <w:sz w:val="48"/>
          <w:szCs w:val="48"/>
          <w:color w:val="1C1C1C"/>
          <w:rFonts w:ascii="Instrument Serif" w:hAnsi="Instrument Serif"/>
        </w:rPr>
        <w:t xml:space="preserve">Comprehensive Inventory of Board of Directors Obligations Applicable to Category I Global Systemically Important Bank Holding Companies and Their Insured Depository Institution Subsidiaries</w:t>
      </w:r>
    </w:p>
    <w:p>
      <w:pPr>
        <w:spacing w:before="60" w:after="560"/>
      </w:pPr>
      <w:r>
        <w:rPr>
          <w:sz w:val="20"/>
          <w:szCs w:val="20"/>
          <w:color w:val="888888"/>
          <w:rFonts w:ascii="Pretendard" w:hAnsi="Pretendard"/>
        </w:rPr>
        <w:t xml:space="preserve">May 29, 2026</w:t>
      </w:r>
    </w:p>
    <w:p>
      <w:pPr>
        <w:pStyle w:val="FirstParagraph"/>
      </w:pPr>
      <w:r>
        <w:rPr>
          <w:b/>
          <w:bCs/>
        </w:rPr>
        <w:t xml:space="preserve">PRIVILEGED &amp; CONFIDENTIAL</w:t>
      </w:r>
    </w:p>
    <w:bookmarkStart w:id="21" w:name="i.-introduction"/>
    <w:p>
      <w:pPr>
        <w:pStyle w:val="Heading1"/>
      </w:pPr>
      <w:r>
        <w:t xml:space="preserve">I. Introduction</w:t>
      </w:r>
    </w:p>
    <w:p>
      <w:pPr>
        <w:pStyle w:val="FirstParagraph"/>
      </w:pPr>
      <w:r>
        <w:t xml:space="preserve">Category I global systemically important bank holding companies (</w:t>
      </w:r>
      <w:r>
        <w:t xml:space="preserve">“</w:t>
      </w:r>
      <w:r>
        <w:t xml:space="preserve">GSIBs</w:t>
      </w:r>
      <w:r>
        <w:t xml:space="preserve">”</w:t>
      </w:r>
      <w:r>
        <w:t xml:space="preserve">) occupy a unique position in the American financial regulatory architecture. As the largest, most complex, and most systemically consequential banking organizations operating in the United States, they are subject to the most stringent tier of enhanced prudential standards under federal law. The boards of directors of these institutions, and of their insured depository institution (</w:t>
      </w:r>
      <w:r>
        <w:t xml:space="preserve">“</w:t>
      </w:r>
      <w:r>
        <w:t xml:space="preserve">IDI</w:t>
      </w:r>
      <w:r>
        <w:t xml:space="preserve">”</w:t>
      </w:r>
      <w:r>
        <w:t xml:space="preserve">) subsidiaries, bear governance obligations that are unmatched in their breadth, granularity, and cumulative weight.</w:t>
      </w:r>
    </w:p>
    <w:p>
      <w:pPr>
        <w:pStyle w:val="BodyText"/>
      </w:pPr>
      <w:r>
        <w:t xml:space="preserve">These obligations did not arise from a single, coherent regulatory design. They accumulated over decades, across multiple federal agencies exercising overlapping jurisdiction, in response to successive financial crises and evolving supervisory philosophies. The result is a governance framework of extraordinary density: board-level duties are embedded in federal statutes, codified regulations, interagency guidelines, agency-specific supervisory guidance, examination manuals, and supervisory letters, each of which carries a distinct legal character and enforcement posture, but all of which are, for practical purposes, simultaneously operative.</w:t>
      </w:r>
    </w:p>
    <w:p>
      <w:pPr>
        <w:pStyle w:val="BodyText"/>
      </w:pPr>
      <w:r>
        <w:t xml:space="preserve">This memorandum provides a comprehensive, citation-level inventory of all current, in-force obligations imposed on the boards of directors of Category I GSIB holding companies and their IDI subsidiaries. The inventory draws from all applicable federal regulations and agency guidance issued by the Federal Reserve, the Office of the Comptroller of the Currency (</w:t>
      </w:r>
      <w:r>
        <w:t xml:space="preserve">“</w:t>
      </w:r>
      <w:r>
        <w:t xml:space="preserve">OCC</w:t>
      </w:r>
      <w:r>
        <w:t xml:space="preserve">”</w:t>
      </w:r>
      <w:r>
        <w:t xml:space="preserve">), the Federal Deposit Insurance Corporation (</w:t>
      </w:r>
      <w:r>
        <w:t xml:space="preserve">“</w:t>
      </w:r>
      <w:r>
        <w:t xml:space="preserve">FDIC</w:t>
      </w:r>
      <w:r>
        <w:t xml:space="preserve">”</w:t>
      </w:r>
      <w:r>
        <w:t xml:space="preserve">), the Consumer Financial Protection Bureau (</w:t>
      </w:r>
      <w:r>
        <w:t xml:space="preserve">“</w:t>
      </w:r>
      <w:r>
        <w:t xml:space="preserve">CFPB</w:t>
      </w:r>
      <w:r>
        <w:t xml:space="preserve">”</w:t>
      </w:r>
      <w:r>
        <w:t xml:space="preserve">), and the Securities and Exchange Commission (</w:t>
      </w:r>
      <w:r>
        <w:t xml:space="preserve">“</w:t>
      </w:r>
      <w:r>
        <w:t xml:space="preserve">SEC</w:t>
      </w:r>
      <w:r>
        <w:t xml:space="preserve">”</w:t>
      </w:r>
      <w:r>
        <w:t xml:space="preserve">), as well as relevant interagency standards. It captures obligations at every level of board structure: the full board, specific committees (risk, audit, compensation, and nominating/governance), and any distinctions between inside and outside or independent and non-independent directors.</w:t>
      </w:r>
    </w:p>
    <w:p>
      <w:pPr>
        <w:pStyle w:val="BodyText"/>
      </w:pPr>
      <w:r>
        <w:t xml:space="preserve">The purpose of this inventory is to enable the identification of</w:t>
      </w:r>
      <w:r>
        <w:t xml:space="preserve"> </w:t>
      </w:r>
      <w:r>
        <w:t xml:space="preserve">“</w:t>
      </w:r>
      <w:r>
        <w:t xml:space="preserve">policy sludge,</w:t>
      </w:r>
      <w:r>
        <w:t xml:space="preserve">”</w:t>
      </w:r>
      <w:r>
        <w:t xml:space="preserve"> </w:t>
      </w:r>
      <w:r>
        <w:t xml:space="preserve">duplicative, overlapping, and unduly burdensome requirements that have accumulated over time, and to serve as a working policy reform document. Each obligation is traced to its precise regulatory source, its nature is described, and overlaps with parallel requirements from other sources are identified. The memorandum concludes with a synthesis of the reform implications that emerge from this exercise.</w:t>
      </w:r>
    </w:p>
    <w:p>
      <w:pPr>
        <w:pStyle w:val="BodyText"/>
      </w:pPr>
      <w:r>
        <w:t xml:space="preserve">As of the date of this memorandum, eight U.S. bank holding companies are designated as GSIBs: JPMorgan Chase &amp; Co., Bank of America Corporation, Citigroup Inc., Goldman Sachs Group, Inc., Morgan Stanley, Wells Fargo &amp; Company, The Bank of New York Mellon Corporation, and State Street Corporation. (</w:t>
      </w:r>
      <w:hyperlink r:id="rId20">
        <w:r>
          <w:rPr>
            <w:rStyle w:val="Hyperlink"/>
            <w:color w:val="0645AD"/>
            <w:u w:val="single"/>
          </w:rPr>
          <w:t xml:space="preserve">Federal Register, Regulatory Capital Rule: Risk-Based Capital Surcharges for GSIBs</w:t>
        </w:r>
      </w:hyperlink>
      <w:r>
        <w:t xml:space="preserve">)</w:t>
      </w:r>
    </w:p>
    <w:bookmarkEnd w:id="21"/>
    <w:bookmarkStart w:id="22" w:name="ii.-executive-summary"/>
    <w:p>
      <w:pPr>
        <w:pStyle w:val="Heading1"/>
      </w:pPr>
      <w:r>
        <w:t xml:space="preserve">II. Executive Summary</w:t>
      </w:r>
    </w:p>
    <w:p>
      <w:pPr>
        <w:pStyle w:val="FirstParagraph"/>
      </w:pPr>
      <w:r>
        <w:t xml:space="preserve">This memorandum identifies and catalogues board-level obligations for Category I GSIBs across more than twenty regulatory domains, drawing from four distinct layers of authority: federal statute, federal regulation, supervisory guidance, and supervisory rating systems. The key findings are as follows:</w:t>
      </w:r>
    </w:p>
    <w:p>
      <w:pPr>
        <w:pStyle w:val="BodyText"/>
      </w:pPr>
      <w:r>
        <w:rPr>
          <w:b/>
          <w:bCs/>
        </w:rPr>
        <w:t xml:space="preserve">Multi-Agency Layering.</w:t>
      </w:r>
      <w:r>
        <w:t xml:space="preserve"> </w:t>
      </w:r>
      <w:r>
        <w:t xml:space="preserve">Category I GSIB boards are simultaneously subject to the Federal Reserve’s enhanced prudential standards (12 C.F.R. Part 252), the OCC’s Heightened Standards (Appendix D to 12 C.F.R. Part 30), the FDIC’s safety and soundness standards and proposed corporate governance guidelines (12 C.F.R. Part 364), interagency guidance, and SEC disclosure requirements. Each agency has independently issued governance-related requirements that frequently address the same substantive governance concerns through different textual formulations, different periodicity requirements, and different enforcement mechanisms.</w:t>
      </w:r>
    </w:p>
    <w:p>
      <w:pPr>
        <w:pStyle w:val="BodyText"/>
      </w:pPr>
      <w:r>
        <w:rPr>
          <w:b/>
          <w:bCs/>
        </w:rPr>
        <w:t xml:space="preserve">Scope of Obligations.</w:t>
      </w:r>
      <w:r>
        <w:t xml:space="preserve"> </w:t>
      </w:r>
      <w:r>
        <w:t xml:space="preserve">Board-level obligations span every major regulatory domain: strategy and risk appetite; board composition and independence; risk committee structure; audit committee structure; compensation governance; nominating/governance committee functions; capital planning and stress testing; liquidity risk management; resolution planning; recovery planning; operational resilience; model risk governance; third-party risk management; cybersecurity governance; BSA/AML program oversight; consumer compliance oversight; safety and soundness standards generally; conflicts of interest and insider transactions; senior management accountability; group structure governance; and whistleblower programs, corporate culture, and ethical conduct.</w:t>
      </w:r>
    </w:p>
    <w:p>
      <w:pPr>
        <w:pStyle w:val="BodyText"/>
      </w:pPr>
      <w:r>
        <w:rPr>
          <w:b/>
          <w:bCs/>
        </w:rPr>
        <w:t xml:space="preserve">Significant Overlap.</w:t>
      </w:r>
      <w:r>
        <w:t xml:space="preserve"> </w:t>
      </w:r>
      <w:r>
        <w:t xml:space="preserve">The inventory reveals pervasive duplication, particularly between the Federal Reserve’s holding company-level requirements and the OCC’s Heightened Standards at the bank subsidiary level. Materially identical obligations, such as the requirement to approve a risk appetite statement, approve the risk governance framework, maintain a board risk committee, and oversee senior management accountability, appear in parallel instruments from different agencies applied at different levels of the corporate structure.</w:t>
      </w:r>
    </w:p>
    <w:p>
      <w:pPr>
        <w:pStyle w:val="BodyText"/>
      </w:pPr>
      <w:r>
        <w:rPr>
          <w:b/>
          <w:bCs/>
        </w:rPr>
        <w:t xml:space="preserve">The Guidance Problem.</w:t>
      </w:r>
      <w:r>
        <w:t xml:space="preserve"> </w:t>
      </w:r>
      <w:r>
        <w:t xml:space="preserve">A substantial portion of the most operationally significant board obligations arises from supervisory guidance rather than binding regulation. While federal banking agencies have acknowledged that guidance does not have the force of law, in practice, noncompliance with guidance at Category I GSIBs generates supervisory criticism, adverse examination findings, and potential predicates for formal enforcement action.</w:t>
      </w:r>
    </w:p>
    <w:p>
      <w:pPr>
        <w:pStyle w:val="BodyText"/>
      </w:pPr>
      <w:r>
        <w:rPr>
          <w:b/>
          <w:bCs/>
        </w:rPr>
        <w:t xml:space="preserve">Reform Opportunities.</w:t>
      </w:r>
      <w:r>
        <w:t xml:space="preserve"> </w:t>
      </w:r>
      <w:r>
        <w:t xml:space="preserve">The inventory identifies specific, actionable reform opportunities, including cross-agency harmonization of holding company and bank subsidiary governance requirements, consolidation of domain-specific board approval requirements, rationalization of overlapping guidance documents, and resolution of inconsistent periodicity requirements across agencies.</w:t>
      </w:r>
    </w:p>
    <w:bookmarkEnd w:id="22"/>
    <w:bookmarkStart w:id="38" w:name="Xe9d91763634c8319816404760f1cab11d6468f9"/>
    <w:p>
      <w:pPr>
        <w:pStyle w:val="Heading1"/>
      </w:pPr>
      <w:r>
        <w:t xml:space="preserve">III. Foundational Framework: Regulatory Architecture and General Board Duties</w:t>
      </w:r>
    </w:p>
    <w:bookmarkStart w:id="26" w:name="a.-statutory-architecture"/>
    <w:p>
      <w:pPr>
        <w:pStyle w:val="Heading2"/>
      </w:pPr>
      <w:r>
        <w:t xml:space="preserve">A. Statutory Architecture</w:t>
      </w:r>
    </w:p>
    <w:p>
      <w:pPr>
        <w:pStyle w:val="FirstParagraph"/>
      </w:pPr>
      <w:r>
        <w:t xml:space="preserve">The enhanced prudential standards regime applicable to Category I GSIBs originates in Section 165 of the Dodd-Frank Wall Street Reform and Consumer Protection Act, codified at 12 U.S.C. Section 5365. Congress directed the Board of Governors of the Federal Reserve System to establish prudential standards for bank holding companies with total consolidated assets of $250 billion or more that are</w:t>
      </w:r>
      <w:r>
        <w:t xml:space="preserve"> </w:t>
      </w:r>
      <w:r>
        <w:t xml:space="preserve">“</w:t>
      </w:r>
      <w:r>
        <w:t xml:space="preserve">more stringent than the standards and requirements applicable to nonbank financial companies and bank holding companies that do not present similar risks to the financial stability of the United States.</w:t>
      </w:r>
      <w:r>
        <w:t xml:space="preserve">”</w:t>
      </w:r>
      <w:r>
        <w:t xml:space="preserve"> </w:t>
      </w:r>
      <w:r>
        <w:t xml:space="preserve">(</w:t>
      </w:r>
      <w:hyperlink r:id="rId23">
        <w:r>
          <w:rPr>
            <w:rStyle w:val="Hyperlink"/>
            <w:color w:val="0645AD"/>
            <w:u w:val="single"/>
          </w:rPr>
          <w:t xml:space="preserve">12 U.S.C. Section 5365</w:t>
        </w:r>
      </w:hyperlink>
      <w:r>
        <w:t xml:space="preserve">)</w:t>
      </w:r>
    </w:p>
    <w:p>
      <w:pPr>
        <w:pStyle w:val="BodyText"/>
      </w:pPr>
      <w:r>
        <w:t xml:space="preserve">Section 165(b)(1)(A) mandates five categories of prudential standards: (1) risk-based capital requirements and leverage limits; (2) liquidity requirements; (3) overall risk management requirements; (4) resolution plan requirements; and (5) concentration limits. Each generates a distinct domain of board-level oversight obligations. Section 165(h) separately mandates that each publicly traded bank holding company with $50 billion or more in total consolidated assets establish a board-level risk committee responsible for enterprise-wide risk management oversight, including at least one risk management expert. (</w:t>
      </w:r>
      <w:hyperlink r:id="rId23">
        <w:r>
          <w:rPr>
            <w:rStyle w:val="Hyperlink"/>
            <w:color w:val="0645AD"/>
            <w:u w:val="single"/>
          </w:rPr>
          <w:t xml:space="preserve">12 U.S.C. Section 5365</w:t>
        </w:r>
      </w:hyperlink>
      <w:r>
        <w:t xml:space="preserve">)</w:t>
      </w:r>
    </w:p>
    <w:p>
      <w:pPr>
        <w:pStyle w:val="BodyText"/>
      </w:pPr>
      <w:r>
        <w:t xml:space="preserve">The Bank Holding Company Act provides the primary authority for Federal Reserve supervision of GSIB holding companies. Section 5 of the BHCA, codified at 12 U.S.C. Section 1844, authorizes the Board of Governors to issue regulations governing bank holding company activities, require financial condition and risk management reports, conduct examinations, and order termination of activities that</w:t>
      </w:r>
      <w:r>
        <w:t xml:space="preserve"> </w:t>
      </w:r>
      <w:r>
        <w:t xml:space="preserve">“</w:t>
      </w:r>
      <w:r>
        <w:t xml:space="preserve">constitute a serious risk to the financial safety, soundness, or stability of a subsidiary bank.</w:t>
      </w:r>
      <w:r>
        <w:t xml:space="preserve">”</w:t>
      </w:r>
      <w:r>
        <w:t xml:space="preserve"> </w:t>
      </w:r>
      <w:r>
        <w:t xml:space="preserve">(</w:t>
      </w:r>
      <w:hyperlink r:id="rId24">
        <w:r>
          <w:rPr>
            <w:rStyle w:val="Hyperlink"/>
            <w:color w:val="0645AD"/>
            <w:u w:val="single"/>
          </w:rPr>
          <w:t xml:space="preserve">12 U.S.C. Section 1844</w:t>
        </w:r>
      </w:hyperlink>
      <w:r>
        <w:t xml:space="preserve">)</w:t>
      </w:r>
    </w:p>
    <w:p>
      <w:pPr>
        <w:pStyle w:val="BodyText"/>
      </w:pPr>
      <w:r>
        <w:t xml:space="preserve">Section 39 of the Federal Deposit Insurance Act, codified at 12 U.S.C. Section 1831p-1, authorizes the federal banking agencies to prescribe safety and soundness standards for insured depository institutions, covering internal controls, loan documentation, credit underwriting, interest rate exposure, asset growth, and compensation. (</w:t>
      </w:r>
      <w:hyperlink r:id="rId25">
        <w:r>
          <w:rPr>
            <w:rStyle w:val="Hyperlink"/>
            <w:color w:val="0645AD"/>
            <w:u w:val="single"/>
          </w:rPr>
          <w:t xml:space="preserve">12 U.S.C. Section 1831p-1</w:t>
        </w:r>
      </w:hyperlink>
      <w:r>
        <w:t xml:space="preserve">)</w:t>
      </w:r>
    </w:p>
    <w:bookmarkEnd w:id="26"/>
    <w:bookmarkStart w:id="28" w:name="X2ccd6fbad669d62277eac943a7446c4a38962d4"/>
    <w:p>
      <w:pPr>
        <w:pStyle w:val="Heading2"/>
      </w:pPr>
      <w:r>
        <w:t xml:space="preserve">B. The Federal Reserve’s Consolidated Supervision Framework</w:t>
      </w:r>
    </w:p>
    <w:p>
      <w:pPr>
        <w:pStyle w:val="FirstParagraph"/>
      </w:pPr>
      <w:r>
        <w:t xml:space="preserve">SR Letter 12-17/CA 12-14 establishes the overarching supervisory architecture for Category I GSIBs and Large Institution Supervision Coordinating Committee (</w:t>
      </w:r>
      <w:r>
        <w:t xml:space="preserve">“</w:t>
      </w:r>
      <w:r>
        <w:t xml:space="preserve">LISCC</w:t>
      </w:r>
      <w:r>
        <w:t xml:space="preserve">”</w:t>
      </w:r>
      <w:r>
        <w:t xml:space="preserve">) firms. It identifies two primary supervisory objectives: (1) enhancing resiliency to lower the probability of failure; and (2) reducing the impact on the financial system in the event of failure or material weakness. (</w:t>
      </w:r>
      <w:hyperlink r:id="rId27">
        <w:r>
          <w:rPr>
            <w:rStyle w:val="Hyperlink"/>
            <w:color w:val="0645AD"/>
            <w:u w:val="single"/>
          </w:rPr>
          <w:t xml:space="preserve">SR 12-17/CA 12-14, Consolidated Supervision Framework for Large Financial Institutions</w:t>
        </w:r>
      </w:hyperlink>
      <w:r>
        <w:t xml:space="preserve">)</w:t>
      </w:r>
    </w:p>
    <w:p>
      <w:pPr>
        <w:pStyle w:val="BodyText"/>
      </w:pPr>
      <w:r>
        <w:t xml:space="preserve">Under SR 12-17, the board of directors and its committees should: (a) maintain a clearly articulated corporate strategy and institutional risk appetite; (b) ensure senior management has the expertise to manage core business lines and critical operations; (c) maintain a corporate culture emphasizing compliance with laws and regulations, consumer protection, and avoidance of conflicts of interest; (d) ensure the effectiveness and independence of internal audit, compliance, and risk management functions; (e) assign senior managers responsibility for aligning investments with corporate strategies; and (f) ensure that management information systems support board responsibilities. (</w:t>
      </w:r>
      <w:hyperlink r:id="rId27">
        <w:r>
          <w:rPr>
            <w:rStyle w:val="Hyperlink"/>
            <w:color w:val="0645AD"/>
            <w:u w:val="single"/>
          </w:rPr>
          <w:t xml:space="preserve">SR 12-17/CA 12-14</w:t>
        </w:r>
      </w:hyperlink>
      <w:r>
        <w:t xml:space="preserve">)</w:t>
      </w:r>
    </w:p>
    <w:bookmarkEnd w:id="28"/>
    <w:bookmarkStart w:id="31" w:name="c.-sr-21-3-board-effectiveness-guidance"/>
    <w:p>
      <w:pPr>
        <w:pStyle w:val="Heading2"/>
      </w:pPr>
      <w:r>
        <w:t xml:space="preserve">C. SR 21-3: Board Effectiveness Guidance</w:t>
      </w:r>
    </w:p>
    <w:p>
      <w:pPr>
        <w:pStyle w:val="FirstParagraph"/>
      </w:pPr>
      <w:r>
        <w:t xml:space="preserve">SR Letter 21-3/CA 21-1 is the governing supervisory guidance on board effectiveness for bank holding companies with $100 billion or more in total consolidated assets. It identifies five key attributes of an effective board: (1) set clear, aligned, and consistent direction regarding strategy and risk appetite; (2) direct senior management regarding the board’s information needs; (3) oversee and hold senior management accountable; (4) support the independence and stature of independent risk management and internal audit; and (5) maintain a capable board composition and governance structure. (</w:t>
      </w:r>
      <w:hyperlink r:id="rId29">
        <w:r>
          <w:rPr>
            <w:rStyle w:val="Hyperlink"/>
            <w:color w:val="0645AD"/>
            <w:u w:val="single"/>
          </w:rPr>
          <w:t xml:space="preserve">SR 21-3/CA 21-1, Supervisory Guidance on Board of Directors’ Effectiveness</w:t>
        </w:r>
      </w:hyperlink>
      <w:r>
        <w:t xml:space="preserve">)</w:t>
      </w:r>
    </w:p>
    <w:p>
      <w:pPr>
        <w:pStyle w:val="BodyText"/>
      </w:pPr>
      <w:r>
        <w:t xml:space="preserve">SR 21-3 is supervisory guidance, not a regulation with the force of law. However, it informs the Federal Reserve’s LFI (Large Financial Institution) rating system, which assigns three component ratings: Capital Planning and Positions, Liquidity Risk Management and Positions, and Governance and Controls. Board effectiveness is a discrete sub-element within Governance and Controls. According to Debevoise &amp; Plimpton’s analysis, the wording of the five board effectiveness attributes in SR 21-3 is</w:t>
      </w:r>
      <w:r>
        <w:t xml:space="preserve"> </w:t>
      </w:r>
      <w:r>
        <w:t xml:space="preserve">“</w:t>
      </w:r>
      <w:r>
        <w:t xml:space="preserve">nearly identical</w:t>
      </w:r>
      <w:r>
        <w:t xml:space="preserve">”</w:t>
      </w:r>
      <w:r>
        <w:t xml:space="preserve"> </w:t>
      </w:r>
      <w:r>
        <w:t xml:space="preserve">to that of the board effectiveness element of the LFI rating system. A deficient rating in any component severely impairs an institution’s ability to engage in new activities or pursue acquisitions. (</w:t>
      </w:r>
      <w:hyperlink r:id="rId30">
        <w:r>
          <w:rPr>
            <w:rStyle w:val="Hyperlink"/>
            <w:color w:val="0645AD"/>
            <w:u w:val="single"/>
          </w:rPr>
          <w:t xml:space="preserve">Debevoise &amp; Plimpton, Federal Reserve Board Finalizes Board Effectiveness Guidance</w:t>
        </w:r>
      </w:hyperlink>
      <w:r>
        <w:t xml:space="preserve">)</w:t>
      </w:r>
    </w:p>
    <w:bookmarkEnd w:id="31"/>
    <w:bookmarkStart w:id="35" w:name="d.-occ-heightened-standards"/>
    <w:p>
      <w:pPr>
        <w:pStyle w:val="Heading2"/>
      </w:pPr>
      <w:r>
        <w:t xml:space="preserve">D. OCC Heightened Standards</w:t>
      </w:r>
    </w:p>
    <w:p>
      <w:pPr>
        <w:pStyle w:val="FirstParagraph"/>
      </w:pPr>
      <w:r>
        <w:t xml:space="preserve">The OCC’s Heightened Standards, Appendix D to 12 C.F.R. Part 30, currently apply to covered banks with average total consolidated assets of $50 billion or more, encompassing all Category I GSIB national bank subsidiaries. They establish minimum standards for the design and implementation of a covered bank’s risk governance framework and minimum standards for board oversight of that framework. (</w:t>
      </w:r>
      <w:hyperlink r:id="rId32">
        <w:r>
          <w:rPr>
            <w:rStyle w:val="Hyperlink"/>
            <w:color w:val="0645AD"/>
            <w:u w:val="single"/>
          </w:rPr>
          <w:t xml:space="preserve">OCC Appendix D to 12 C.F.R. Part 30</w:t>
        </w:r>
      </w:hyperlink>
      <w:r>
        <w:t xml:space="preserve">)</w:t>
      </w:r>
    </w:p>
    <w:p>
      <w:pPr>
        <w:pStyle w:val="BodyText"/>
      </w:pPr>
      <w:r>
        <w:t xml:space="preserve">The OCC has proposed raising the threshold to $700 billion (OCC Bulletin 2025-51), which would limit the guidelines to approximately eight institutions, while also soliciting comment on whether to rescind the guidelines entirely and reissue them as nonbinding guidance, and whether to remove or adjust standards that duplicate the Federal Reserve’s Enhanced Prudential Standards. (</w:t>
      </w:r>
      <w:hyperlink r:id="rId33">
        <w:r>
          <w:rPr>
            <w:rStyle w:val="Hyperlink"/>
            <w:color w:val="0645AD"/>
            <w:u w:val="single"/>
          </w:rPr>
          <w:t xml:space="preserve">OCC Bulletin 2025-51, OCC Guidelines Establishing Heightened Standards: Notice of Proposed Rulemaking</w:t>
        </w:r>
      </w:hyperlink>
      <w:r>
        <w:t xml:space="preserve">)</w:t>
      </w:r>
    </w:p>
    <w:p>
      <w:pPr>
        <w:pStyle w:val="BodyText"/>
      </w:pPr>
      <w:r>
        <w:t xml:space="preserve">The American Bankers Association’s comment letter on this proposal explicitly argued that the Heightened Standards establish</w:t>
      </w:r>
      <w:r>
        <w:t xml:space="preserve"> </w:t>
      </w:r>
      <w:r>
        <w:t xml:space="preserve">“</w:t>
      </w:r>
      <w:r>
        <w:t xml:space="preserve">overly prescriptive standards for banking organizations’ design and implementation of a risk governance framework and how boards of directors must carry out their oversight responsibilities,</w:t>
      </w:r>
      <w:r>
        <w:t xml:space="preserve">”</w:t>
      </w:r>
      <w:r>
        <w:t xml:space="preserve"> </w:t>
      </w:r>
      <w:r>
        <w:t xml:space="preserve">and recommended complete rescission. The ABA’s core argument is that OCC-supervised institutions with holding companies exceeding $50 billion remain subject to the Federal Reserve’s Enhanced Prudential Standards, rendering the OCC’s standards duplicative. (</w:t>
      </w:r>
      <w:hyperlink r:id="rId34">
        <w:r>
          <w:rPr>
            <w:rStyle w:val="Hyperlink"/>
            <w:color w:val="0645AD"/>
            <w:u w:val="single"/>
          </w:rPr>
          <w:t xml:space="preserve">ABA Letter to OCC on Heightened Standards Proposal</w:t>
        </w:r>
      </w:hyperlink>
      <w:r>
        <w:t xml:space="preserve">)</w:t>
      </w:r>
      <w:r>
        <w:t xml:space="preserve"> </w:t>
      </w:r>
      <w:r>
        <w:rPr>
          <w:i/>
          <w:iCs/>
        </w:rPr>
        <w:t xml:space="preserve">Note: The ABA is a trade association representing large bank members; this letter reflects an industry advocacy position. However, the OCC’s own proposed rulemaking acknowledges the duplication concern, lending independent regulatory support to the structural argument.</w:t>
      </w:r>
    </w:p>
    <w:bookmarkEnd w:id="35"/>
    <w:bookmarkStart w:id="37" w:name="X2da94f84b707dcddbf1e561c9cc48f86ef3ae60"/>
    <w:p>
      <w:pPr>
        <w:pStyle w:val="Heading2"/>
      </w:pPr>
      <w:r>
        <w:t xml:space="preserve">E. Source of Strength and Foundational Holding Company Duties</w:t>
      </w:r>
    </w:p>
    <w:p>
      <w:pPr>
        <w:pStyle w:val="FirstParagraph"/>
      </w:pPr>
      <w:r>
        <w:t xml:space="preserve">The bedrock governance obligation is the source of strength doctrine, codified at 12 C.F.R. Section 225.4(a)(1):</w:t>
      </w:r>
      <w:r>
        <w:t xml:space="preserve"> </w:t>
      </w:r>
      <w:r>
        <w:t xml:space="preserve">“</w:t>
      </w:r>
      <w:r>
        <w:t xml:space="preserve">A bank holding company shall serve as a source of financial and managerial strength to its subsidiary banks and shall not conduct its operations in an unsafe or unsound manner.</w:t>
      </w:r>
      <w:r>
        <w:t xml:space="preserve">”</w:t>
      </w:r>
      <w:r>
        <w:t xml:space="preserve"> </w:t>
      </w:r>
      <w:r>
        <w:t xml:space="preserve">(</w:t>
      </w:r>
      <w:hyperlink r:id="rId36">
        <w:r>
          <w:rPr>
            <w:rStyle w:val="Hyperlink"/>
            <w:color w:val="0645AD"/>
            <w:u w:val="single"/>
          </w:rPr>
          <w:t xml:space="preserve">12 C.F.R. Section 225.4</w:t>
        </w:r>
      </w:hyperlink>
      <w:r>
        <w:t xml:space="preserve">) This obligation conditions the board’s strategic decision-making authority: any strategy that would impair the parent’s ability to support its banking subsidiaries is potentially unsafe or unsound.</w:t>
      </w:r>
    </w:p>
    <w:bookmarkEnd w:id="37"/>
    <w:bookmarkEnd w:id="38"/>
    <w:bookmarkStart w:id="46" w:name="Xec735a47e82f0bee3330ff45229501c597f5c8a"/>
    <w:p>
      <w:pPr>
        <w:pStyle w:val="Heading1"/>
      </w:pPr>
      <w:r>
        <w:t xml:space="preserve">IV. Full Board Obligations: Strategy, Risk Appetite, and Governance Framework</w:t>
      </w:r>
    </w:p>
    <w:bookmarkStart w:id="41" w:name="a.-strategic-planning"/>
    <w:p>
      <w:pPr>
        <w:pStyle w:val="Heading2"/>
      </w:pPr>
      <w:r>
        <w:t xml:space="preserve">A. Strategic Planning</w:t>
      </w:r>
    </w:p>
    <w:p>
      <w:pPr>
        <w:pStyle w:val="FirstParagraph"/>
      </w:pPr>
      <w:r>
        <w:t xml:space="preserve">Under SR 21-3, an effective board oversees the development of, reviews, approves, and periodically monitors the firm’s strategy and risk appetite. Strategy and risk appetite must be</w:t>
      </w:r>
      <w:r>
        <w:t xml:space="preserve"> </w:t>
      </w:r>
      <w:r>
        <w:t xml:space="preserve">“</w:t>
      </w:r>
      <w:r>
        <w:t xml:space="preserve">developed, reviewed, and approved consistent with one another.</w:t>
      </w:r>
      <w:r>
        <w:t xml:space="preserve">”</w:t>
      </w:r>
      <w:r>
        <w:t xml:space="preserve"> </w:t>
      </w:r>
      <w:r>
        <w:t xml:space="preserve">(</w:t>
      </w:r>
      <w:hyperlink r:id="rId39">
        <w:r>
          <w:rPr>
            <w:rStyle w:val="Hyperlink"/>
            <w:color w:val="0645AD"/>
            <w:u w:val="single"/>
          </w:rPr>
          <w:t xml:space="preserve">SR 21-3/CA 21-1 Attachment</w:t>
        </w:r>
      </w:hyperlink>
      <w:r>
        <w:t xml:space="preserve">)</w:t>
      </w:r>
    </w:p>
    <w:p>
      <w:pPr>
        <w:pStyle w:val="BodyText"/>
      </w:pPr>
      <w:r>
        <w:t xml:space="preserve">The OCC’s Heightened Standards require the board to evaluate and approve the strategic plan and monitor implementation</w:t>
      </w:r>
      <w:r>
        <w:t xml:space="preserve"> </w:t>
      </w:r>
      <w:r>
        <w:rPr>
          <w:b/>
          <w:bCs/>
        </w:rPr>
        <w:t xml:space="preserve">at least annually</w:t>
      </w:r>
      <w:r>
        <w:t xml:space="preserve">. The plan must cover at minimum a three-year period, contain a comprehensive risk assessment, articulate strategic objectives, explain how the risk governance framework will be updated, and be reviewed and updated as necessary. (</w:t>
      </w:r>
      <w:hyperlink r:id="rId32">
        <w:r>
          <w:rPr>
            <w:rStyle w:val="Hyperlink"/>
            <w:color w:val="0645AD"/>
            <w:u w:val="single"/>
          </w:rPr>
          <w:t xml:space="preserve">OCC Appendix D to 12 C.F.R. Part 30</w:t>
        </w:r>
      </w:hyperlink>
      <w:r>
        <w:t xml:space="preserve">)</w:t>
      </w:r>
    </w:p>
    <w:p>
      <w:pPr>
        <w:pStyle w:val="BodyText"/>
      </w:pPr>
      <w:r>
        <w:t xml:space="preserve">The FDIC’s proposed Guidelines (Appendix C to Part 364) impose structurally parallel requirements with substantively similar content. (</w:t>
      </w:r>
      <w:hyperlink r:id="rId40">
        <w:r>
          <w:rPr>
            <w:rStyle w:val="Hyperlink"/>
            <w:color w:val="0645AD"/>
            <w:u w:val="single"/>
          </w:rPr>
          <w:t xml:space="preserve">FDIC Proposed Guidelines, Appendix C to Part 364</w:t>
        </w:r>
      </w:hyperlink>
      <w:r>
        <w:t xml:space="preserve">)</w:t>
      </w:r>
      <w:r>
        <w:t xml:space="preserve"> </w:t>
      </w:r>
      <w:r>
        <w:rPr>
          <w:i/>
          <w:iCs/>
        </w:rPr>
        <w:t xml:space="preserve">Note: The FDIC’s proposed Guidelines have not been finalized and do not currently carry the force of binding law.</w:t>
      </w:r>
    </w:p>
    <w:p>
      <w:pPr>
        <w:pStyle w:val="BodyText"/>
      </w:pPr>
      <w:r>
        <w:rPr>
          <w:b/>
          <w:bCs/>
        </w:rPr>
        <w:t xml:space="preserve">Overlap observation:</w:t>
      </w:r>
      <w:r>
        <w:t xml:space="preserve"> </w:t>
      </w:r>
      <w:r>
        <w:t xml:space="preserve">For a Category I GSIB with a national bank subsidiary, the strategic planning obligation arises under Federal Reserve guidance (holding company level), OCC Heightened Standards (bank level), and, prospectively, FDIC proposed Guidelines (if the firm also has an FDIC-supervised subsidiary). Each is technically a distinct obligation running to a different legal entity and regulator.</w:t>
      </w:r>
    </w:p>
    <w:bookmarkEnd w:id="41"/>
    <w:bookmarkStart w:id="42" w:name="b.-risk-appetite-statement"/>
    <w:p>
      <w:pPr>
        <w:pStyle w:val="Heading2"/>
      </w:pPr>
      <w:r>
        <w:t xml:space="preserve">B. Risk Appetite Statement</w:t>
      </w:r>
    </w:p>
    <w:p>
      <w:pPr>
        <w:pStyle w:val="FirstParagraph"/>
      </w:pPr>
      <w:r>
        <w:t xml:space="preserve">The OCC’s Heightened Standards require a comprehensive written risk appetite statement that serves as the basis for the risk governance framework, including both qualitative components (describing a safe and sound risk culture) and quantitative limits (incorporating stress testing and addressing earnings, capital, and liquidity). The board or board risk committee must review and approve the risk appetite statement at least annually. (</w:t>
      </w:r>
      <w:hyperlink r:id="rId32">
        <w:r>
          <w:rPr>
            <w:rStyle w:val="Hyperlink"/>
            <w:color w:val="0645AD"/>
            <w:u w:val="single"/>
          </w:rPr>
          <w:t xml:space="preserve">OCC Appendix D to 12 C.F.R. Part 30</w:t>
        </w:r>
      </w:hyperlink>
      <w:r>
        <w:t xml:space="preserve">)</w:t>
      </w:r>
    </w:p>
    <w:p>
      <w:pPr>
        <w:pStyle w:val="BodyText"/>
      </w:pPr>
      <w:r>
        <w:t xml:space="preserve">SR 21-3 defines risk appetite as</w:t>
      </w:r>
      <w:r>
        <w:t xml:space="preserve"> </w:t>
      </w:r>
      <w:r>
        <w:t xml:space="preserve">“</w:t>
      </w:r>
      <w:r>
        <w:t xml:space="preserve">the aggregate level and types of risk the board and senior management are willing to assume to achieve the firm’s strategic business objectives, consistent with applicable capital, liquidity, and other requirements and constraints.</w:t>
      </w:r>
      <w:r>
        <w:t xml:space="preserve">”</w:t>
      </w:r>
      <w:r>
        <w:t xml:space="preserve"> </w:t>
      </w:r>
      <w:r>
        <w:t xml:space="preserve">A clear risk appetite includes sufficient detail to enable the chief risk officer and independent risk management to set firm-wide risk limits. (</w:t>
      </w:r>
      <w:hyperlink r:id="rId39">
        <w:r>
          <w:rPr>
            <w:rStyle w:val="Hyperlink"/>
            <w:color w:val="0645AD"/>
            <w:u w:val="single"/>
          </w:rPr>
          <w:t xml:space="preserve">SR 21-3/CA 21-1 Attachment</w:t>
        </w:r>
      </w:hyperlink>
      <w:r>
        <w:t xml:space="preserve">)</w:t>
      </w:r>
    </w:p>
    <w:p>
      <w:pPr>
        <w:pStyle w:val="BodyText"/>
      </w:pPr>
      <w:r>
        <w:t xml:space="preserve">The FDIC’s proposed Guidelines require at least quarterly board or risk committee review of the risk appetite statement, a materially different periodicity than the OCC’s annual minimum. (</w:t>
      </w:r>
      <w:hyperlink r:id="rId40">
        <w:r>
          <w:rPr>
            <w:rStyle w:val="Hyperlink"/>
            <w:color w:val="0645AD"/>
            <w:u w:val="single"/>
          </w:rPr>
          <w:t xml:space="preserve">FDIC Proposed Guidelines, Appendix C to Part 364</w:t>
        </w:r>
      </w:hyperlink>
      <w:r>
        <w:t xml:space="preserve">)</w:t>
      </w:r>
    </w:p>
    <w:p>
      <w:pPr>
        <w:pStyle w:val="BodyText"/>
      </w:pPr>
      <w:r>
        <w:rPr>
          <w:b/>
          <w:bCs/>
        </w:rPr>
        <w:t xml:space="preserve">Divergent periodicity:</w:t>
      </w:r>
      <w:r>
        <w:t xml:space="preserve"> </w:t>
      </w:r>
      <w:r>
        <w:t xml:space="preserve">This is a concrete example of regulatory friction: the OCC requires annual review; the FDIC would require quarterly review. A GSIB with subsidiaries subject to both regimes would need to manage different review cycles for conceptually the same document.</w:t>
      </w:r>
    </w:p>
    <w:bookmarkEnd w:id="42"/>
    <w:bookmarkStart w:id="44" w:name="c.-risk-governance-framework"/>
    <w:p>
      <w:pPr>
        <w:pStyle w:val="Heading2"/>
      </w:pPr>
      <w:r>
        <w:t xml:space="preserve">C. Risk Governance Framework</w:t>
      </w:r>
    </w:p>
    <w:p>
      <w:pPr>
        <w:pStyle w:val="FirstParagraph"/>
      </w:pPr>
      <w:r>
        <w:t xml:space="preserve">The OCC’s Heightened Standards require the board or board risk committee to approve the risk governance framework and any significant changes to it, and to monitor compliance with the framework. The framework must cover all risk categories applicable to the covered bank and include policies and supporting processes for effectively identifying, measuring, monitoring, and controlling risks. (</w:t>
      </w:r>
      <w:hyperlink r:id="rId32">
        <w:r>
          <w:rPr>
            <w:rStyle w:val="Hyperlink"/>
            <w:color w:val="0645AD"/>
            <w:u w:val="single"/>
          </w:rPr>
          <w:t xml:space="preserve">OCC Appendix D to 12 C.F.R. Part 30</w:t>
        </w:r>
      </w:hyperlink>
      <w:r>
        <w:t xml:space="preserve">)</w:t>
      </w:r>
    </w:p>
    <w:p>
      <w:pPr>
        <w:pStyle w:val="BodyText"/>
      </w:pPr>
      <w:r>
        <w:t xml:space="preserve">SR 21-3 states that an effective board reviews and approves significant policies, programs, and plans based on the firm’s strategy, risk appetite, risk management capacity, and structure. These include, among others: the capital plan, recovery and resolution plans, audit plan, enterprise-wide risk management policies, liquidity risk management policies, compliance risk management program, and performance management and compensation programs. (</w:t>
      </w:r>
      <w:hyperlink r:id="rId39">
        <w:r>
          <w:rPr>
            <w:rStyle w:val="Hyperlink"/>
            <w:color w:val="0645AD"/>
            <w:u w:val="single"/>
          </w:rPr>
          <w:t xml:space="preserve">SR 21-3/CA 21-1 Attachment</w:t>
        </w:r>
      </w:hyperlink>
      <w:r>
        <w:t xml:space="preserve">)</w:t>
      </w:r>
    </w:p>
    <w:p>
      <w:pPr>
        <w:pStyle w:val="BodyText"/>
      </w:pPr>
      <w:r>
        <w:t xml:space="preserve">The OCC permits a covered bank to use its parent company’s risk governance framework</w:t>
      </w:r>
      <w:r>
        <w:t xml:space="preserve"> </w:t>
      </w:r>
      <w:r>
        <w:t xml:space="preserve">“</w:t>
      </w:r>
      <w:r>
        <w:t xml:space="preserve">in its entirety, without modification</w:t>
      </w:r>
      <w:r>
        <w:t xml:space="preserve">”</w:t>
      </w:r>
      <w:r>
        <w:t xml:space="preserve"> </w:t>
      </w:r>
      <w:r>
        <w:t xml:space="preserve">if: the framework meets Appendix D’s minimum standards; the risk profiles of the parent and the bank are substantially the same; and the bank has demonstrated this through a documented assessment conducted at least annually. When risk profiles are not substantially the same, the bank must establish its own framework to ensure its risk profile is</w:t>
      </w:r>
      <w:r>
        <w:t xml:space="preserve"> </w:t>
      </w:r>
      <w:r>
        <w:t xml:space="preserve">“</w:t>
      </w:r>
      <w:r>
        <w:t xml:space="preserve">easily distinguished and separate from that of its parent.</w:t>
      </w:r>
      <w:r>
        <w:t xml:space="preserve">”</w:t>
      </w:r>
      <w:r>
        <w:t xml:space="preserve"> </w:t>
      </w:r>
      <w:r>
        <w:t xml:space="preserve">(</w:t>
      </w:r>
      <w:hyperlink r:id="rId43">
        <w:r>
          <w:rPr>
            <w:rStyle w:val="Hyperlink"/>
            <w:color w:val="0645AD"/>
            <w:u w:val="single"/>
          </w:rPr>
          <w:t xml:space="preserve">OCC Appendix D to 12 C.F.R. Part 30</w:t>
        </w:r>
      </w:hyperlink>
      <w:r>
        <w:t xml:space="preserve">)</w:t>
      </w:r>
    </w:p>
    <w:bookmarkEnd w:id="44"/>
    <w:bookmarkStart w:id="45" w:name="d.-board-self-assessment"/>
    <w:p>
      <w:pPr>
        <w:pStyle w:val="Heading2"/>
      </w:pPr>
      <w:r>
        <w:t xml:space="preserve">D. Board Self-Assessment</w:t>
      </w:r>
    </w:p>
    <w:p>
      <w:pPr>
        <w:pStyle w:val="FirstParagraph"/>
      </w:pPr>
      <w:r>
        <w:t xml:space="preserve">The OCC Heightened Standards require an annual self-assessment evaluating board effectiveness. (</w:t>
      </w:r>
      <w:hyperlink r:id="rId32">
        <w:r>
          <w:rPr>
            <w:rStyle w:val="Hyperlink"/>
            <w:color w:val="0645AD"/>
            <w:u w:val="single"/>
          </w:rPr>
          <w:t xml:space="preserve">OCC Appendix D to 12 C.F.R. Part 30</w:t>
        </w:r>
      </w:hyperlink>
      <w:r>
        <w:t xml:space="preserve">) SR 21-3 similarly states that an effective board evaluates its strengths and weaknesses on an ongoing basis, including committee performance. Notably, the final SR 21-3 removed a provision from the 2017 proposal that would have suggested providing examiners with self-assessment results. (</w:t>
      </w:r>
      <w:hyperlink r:id="rId39">
        <w:r>
          <w:rPr>
            <w:rStyle w:val="Hyperlink"/>
            <w:color w:val="0645AD"/>
            <w:u w:val="single"/>
          </w:rPr>
          <w:t xml:space="preserve">SR 21-3/CA 21-1 Attachment</w:t>
        </w:r>
      </w:hyperlink>
      <w:r>
        <w:t xml:space="preserve">)</w:t>
      </w:r>
    </w:p>
    <w:bookmarkEnd w:id="45"/>
    <w:bookmarkEnd w:id="46"/>
    <w:bookmarkStart w:id="52" w:name="X41ef06d2f3629e89e64e58d51d555cfcfaf6af6"/>
    <w:p>
      <w:pPr>
        <w:pStyle w:val="Heading1"/>
      </w:pPr>
      <w:r>
        <w:t xml:space="preserve">V. Board Composition, Independence, and Governance Structure</w:t>
      </w:r>
    </w:p>
    <w:bookmarkStart w:id="47" w:name="a.-director-independence"/>
    <w:p>
      <w:pPr>
        <w:pStyle w:val="Heading2"/>
      </w:pPr>
      <w:r>
        <w:t xml:space="preserve">A. Director Independence</w:t>
      </w:r>
    </w:p>
    <w:p>
      <w:pPr>
        <w:pStyle w:val="FirstParagraph"/>
      </w:pPr>
      <w:r>
        <w:t xml:space="preserve">The OCC’s Heightened Standards require at least two board members to satisfy independence criteria: (1) not an officer or employee of the parent or bank (and not having been one in the prior three years); (2) not a member of the immediate family of a current or recent executive officer; and (3) qualifying as independent under exchange listing standards. (</w:t>
      </w:r>
      <w:hyperlink r:id="rId32">
        <w:r>
          <w:rPr>
            <w:rStyle w:val="Hyperlink"/>
            <w:color w:val="0645AD"/>
            <w:u w:val="single"/>
          </w:rPr>
          <w:t xml:space="preserve">OCC Appendix D to 12 C.F.R. Part 30</w:t>
        </w:r>
      </w:hyperlink>
      <w:r>
        <w:t xml:space="preserve">)</w:t>
      </w:r>
    </w:p>
    <w:p>
      <w:pPr>
        <w:pStyle w:val="BodyText"/>
      </w:pPr>
      <w:r>
        <w:t xml:space="preserve">The FDIC’s proposed Guidelines would require a</w:t>
      </w:r>
      <w:r>
        <w:t xml:space="preserve"> </w:t>
      </w:r>
      <w:r>
        <w:rPr>
          <w:b/>
          <w:bCs/>
        </w:rPr>
        <w:t xml:space="preserve">majority</w:t>
      </w:r>
      <w:r>
        <w:t xml:space="preserve"> </w:t>
      </w:r>
      <w:r>
        <w:t xml:space="preserve">of outside and independent directors, using a different definitional framework. (</w:t>
      </w:r>
      <w:hyperlink r:id="rId40">
        <w:r>
          <w:rPr>
            <w:rStyle w:val="Hyperlink"/>
            <w:color w:val="0645AD"/>
            <w:u w:val="single"/>
          </w:rPr>
          <w:t xml:space="preserve">FDIC Proposed Guidelines, Appendix C to Part 364</w:t>
        </w:r>
      </w:hyperlink>
      <w:r>
        <w:t xml:space="preserve">)</w:t>
      </w:r>
    </w:p>
    <w:p>
      <w:pPr>
        <w:pStyle w:val="BodyText"/>
      </w:pPr>
      <w:r>
        <w:t xml:space="preserve">The Federal Reserve’s SR 21-3 does not impose a quantitative independence threshold but evaluates independence qualitatively through the LFI rating system’s Governance and Controls component. (</w:t>
      </w:r>
      <w:hyperlink r:id="rId39">
        <w:r>
          <w:rPr>
            <w:rStyle w:val="Hyperlink"/>
            <w:color w:val="0645AD"/>
            <w:u w:val="single"/>
          </w:rPr>
          <w:t xml:space="preserve">SR 21-3/CA 21-1 Attachment</w:t>
        </w:r>
      </w:hyperlink>
      <w:r>
        <w:t xml:space="preserve">)</w:t>
      </w:r>
    </w:p>
    <w:p>
      <w:pPr>
        <w:pStyle w:val="BodyText"/>
      </w:pPr>
      <w:r>
        <w:rPr>
          <w:b/>
          <w:bCs/>
        </w:rPr>
        <w:t xml:space="preserve">Three divergent regimes:</w:t>
      </w:r>
      <w:r>
        <w:t xml:space="preserve"> </w:t>
      </w:r>
      <w:r>
        <w:t xml:space="preserve">A single GSIB enterprise may be simultaneously subject to the OCC’s two-director minimum, the FDIC’s proposed majority requirement, and the Federal Reserve’s qualitative standard, each with different definitions, thresholds, and enforcement mechanisms.</w:t>
      </w:r>
    </w:p>
    <w:bookmarkEnd w:id="47"/>
    <w:bookmarkStart w:id="50" w:name="Xc9d9e33ff2bc6511dc5c82fe28a042683a83244"/>
    <w:p>
      <w:pPr>
        <w:pStyle w:val="Heading2"/>
      </w:pPr>
      <w:r>
        <w:t xml:space="preserve">B. Director Nominee Selection and Diversity</w:t>
      </w:r>
    </w:p>
    <w:p>
      <w:pPr>
        <w:pStyle w:val="FirstParagraph"/>
      </w:pPr>
      <w:r>
        <w:t xml:space="preserve">SR 21-3 requires that the board establish a process to identify and select nominees with</w:t>
      </w:r>
      <w:r>
        <w:t xml:space="preserve"> </w:t>
      </w:r>
      <w:r>
        <w:t xml:space="preserve">“</w:t>
      </w:r>
      <w:r>
        <w:t xml:space="preserve">a mix of skills, knowledge, experience, and perspectives,</w:t>
      </w:r>
      <w:r>
        <w:t xml:space="preserve">”</w:t>
      </w:r>
      <w:r>
        <w:t xml:space="preserve"> </w:t>
      </w:r>
      <w:r>
        <w:t xml:space="preserve">considering expertise, availability, integrity, potential conflicts of interest, and</w:t>
      </w:r>
      <w:r>
        <w:t xml:space="preserve"> </w:t>
      </w:r>
      <w:r>
        <w:t xml:space="preserve">“</w:t>
      </w:r>
      <w:r>
        <w:t xml:space="preserve">a diverse pool of potential nominees, including women and minorities.</w:t>
      </w:r>
      <w:r>
        <w:t xml:space="preserve">”</w:t>
      </w:r>
      <w:r>
        <w:t xml:space="preserve"> </w:t>
      </w:r>
      <w:r>
        <w:t xml:space="preserve">(</w:t>
      </w:r>
      <w:hyperlink r:id="rId39">
        <w:r>
          <w:rPr>
            <w:rStyle w:val="Hyperlink"/>
            <w:color w:val="0645AD"/>
            <w:u w:val="single"/>
          </w:rPr>
          <w:t xml:space="preserve">SR 21-3/CA 21-1 Attachment</w:t>
        </w:r>
      </w:hyperlink>
      <w:r>
        <w:t xml:space="preserve">)</w:t>
      </w:r>
    </w:p>
    <w:p>
      <w:pPr>
        <w:pStyle w:val="BodyText"/>
      </w:pPr>
      <w:r>
        <w:t xml:space="preserve">According to Covington &amp; Burling’s analysis, this language suggests the Federal Reserve may formally consider, when rating a financial institution under the LFI rating system, the extent to which a board fails to consider a diverse pool of nominees.</w:t>
      </w:r>
      <w:r>
        <w:t xml:space="preserve"> </w:t>
      </w:r>
      <w:r>
        <w:rPr>
          <w:i/>
          <w:iCs/>
        </w:rPr>
        <w:t xml:space="preserve">This is a law firm’s interpretation, not a statement of binding regulatory authority.</w:t>
      </w:r>
      <w:r>
        <w:t xml:space="preserve"> </w:t>
      </w:r>
      <w:r>
        <w:t xml:space="preserve">(</w:t>
      </w:r>
      <w:hyperlink r:id="rId48">
        <w:r>
          <w:rPr>
            <w:rStyle w:val="Hyperlink"/>
            <w:color w:val="0645AD"/>
            <w:u w:val="single"/>
          </w:rPr>
          <w:t xml:space="preserve">Covington &amp; Burling, Prepare to Meet New Fed Expectations on Effective Boards</w:t>
        </w:r>
      </w:hyperlink>
      <w:r>
        <w:t xml:space="preserve">)</w:t>
      </w:r>
    </w:p>
    <w:p>
      <w:pPr>
        <w:pStyle w:val="BodyText"/>
      </w:pPr>
      <w:r>
        <w:t xml:space="preserve">SEC Regulation S-K Item 407(c) requires disclosure of whether and how the nominating committee considers diversity in identifying nominees, and if a diversity policy exists, how it is implemented and how effectiveness is assessed. (</w:t>
      </w:r>
      <w:hyperlink r:id="rId49">
        <w:r>
          <w:rPr>
            <w:rStyle w:val="Hyperlink"/>
            <w:color w:val="0645AD"/>
            <w:u w:val="single"/>
          </w:rPr>
          <w:t xml:space="preserve">Reg S-K Rule 229.407</w:t>
        </w:r>
      </w:hyperlink>
      <w:r>
        <w:t xml:space="preserve">)</w:t>
      </w:r>
    </w:p>
    <w:bookmarkEnd w:id="50"/>
    <w:bookmarkStart w:id="51" w:name="c.-director-training"/>
    <w:p>
      <w:pPr>
        <w:pStyle w:val="Heading2"/>
      </w:pPr>
      <w:r>
        <w:t xml:space="preserve">C. Director Training</w:t>
      </w:r>
    </w:p>
    <w:p>
      <w:pPr>
        <w:pStyle w:val="FirstParagraph"/>
      </w:pPr>
      <w:r>
        <w:t xml:space="preserve">The OCC Heightened Standards require a formal, ongoing training program for all directors, covering complex products and risks, applicable laws and regulations, and other topics identified by the board. (</w:t>
      </w:r>
      <w:hyperlink r:id="rId32">
        <w:r>
          <w:rPr>
            <w:rStyle w:val="Hyperlink"/>
            <w:color w:val="0645AD"/>
            <w:u w:val="single"/>
          </w:rPr>
          <w:t xml:space="preserve">OCC Appendix D to 12 C.F.R. Part 30</w:t>
        </w:r>
      </w:hyperlink>
      <w:r>
        <w:t xml:space="preserve">) The FDIC proposed Guidelines impose a substantively identical training obligation. (</w:t>
      </w:r>
      <w:hyperlink r:id="rId40">
        <w:r>
          <w:rPr>
            <w:rStyle w:val="Hyperlink"/>
            <w:color w:val="0645AD"/>
            <w:u w:val="single"/>
          </w:rPr>
          <w:t xml:space="preserve">FDIC Proposed Guidelines, Appendix C to Part 364</w:t>
        </w:r>
      </w:hyperlink>
      <w:r>
        <w:t xml:space="preserve">) SR 21-3 does not impose a formal training requirement but addresses director knowledge as a qualitative attribute of board effectiveness.</w:t>
      </w:r>
    </w:p>
    <w:bookmarkEnd w:id="51"/>
    <w:bookmarkEnd w:id="52"/>
    <w:bookmarkStart w:id="61" w:name="vi.-board-committee-obligations"/>
    <w:p>
      <w:pPr>
        <w:pStyle w:val="Heading1"/>
      </w:pPr>
      <w:r>
        <w:t xml:space="preserve">VI. Board Committee Obligations</w:t>
      </w:r>
    </w:p>
    <w:bookmarkStart w:id="54" w:name="a.-risk-committee"/>
    <w:p>
      <w:pPr>
        <w:pStyle w:val="Heading2"/>
      </w:pPr>
      <w:r>
        <w:t xml:space="preserve">A. Risk Committee</w:t>
      </w:r>
    </w:p>
    <w:p>
      <w:pPr>
        <w:pStyle w:val="FirstParagraph"/>
      </w:pPr>
      <w:r>
        <w:t xml:space="preserve">The Federal Reserve’s Regulation YY (12 C.F.R. Section 252.33) requires each Category I GSIB to maintain a board-level risk committee responsible for enterprise-wide risk management oversight. The risk committee must include at least one member with experience in risk management of large, complex firms, and must meet at least quarterly. (</w:t>
      </w:r>
      <w:hyperlink r:id="rId23">
        <w:r>
          <w:rPr>
            <w:rStyle w:val="Hyperlink"/>
            <w:color w:val="0645AD"/>
            <w:u w:val="single"/>
          </w:rPr>
          <w:t xml:space="preserve">12 U.S.C. Section 5365</w:t>
        </w:r>
      </w:hyperlink>
      <w:r>
        <w:t xml:space="preserve">;</w:t>
      </w:r>
      <w:r>
        <w:t xml:space="preserve"> </w:t>
      </w:r>
      <w:hyperlink r:id="rId39">
        <w:r>
          <w:rPr>
            <w:rStyle w:val="Hyperlink"/>
            <w:color w:val="0645AD"/>
            <w:u w:val="single"/>
          </w:rPr>
          <w:t xml:space="preserve">SR 21-3/CA 21-1 Attachment</w:t>
        </w:r>
      </w:hyperlink>
      <w:r>
        <w:t xml:space="preserve">)</w:t>
      </w:r>
    </w:p>
    <w:p>
      <w:pPr>
        <w:pStyle w:val="BodyText"/>
      </w:pPr>
      <w:r>
        <w:t xml:space="preserve">SR 21-3 states that an effective risk committee supports the independence of independent risk management by communicating directly with the chief risk officer, overseeing the appropriateness of independent risk management’s budget and staffing, and providing independent risk management with direct and unrestricted access to the risk committee. An effective risk committee engages in robust inquiry into material or persistent breaches of risk appetite and risk limits, timeliness of remediation, and appropriateness of the audit plan. (</w:t>
      </w:r>
      <w:hyperlink r:id="rId39">
        <w:r>
          <w:rPr>
            <w:rStyle w:val="Hyperlink"/>
            <w:color w:val="0645AD"/>
            <w:u w:val="single"/>
          </w:rPr>
          <w:t xml:space="preserve">SR 21-3/CA 21-1 Attachment</w:t>
        </w:r>
      </w:hyperlink>
      <w:r>
        <w:t xml:space="preserve">)</w:t>
      </w:r>
    </w:p>
    <w:p>
      <w:pPr>
        <w:pStyle w:val="BodyText"/>
      </w:pPr>
      <w:r>
        <w:t xml:space="preserve">The OCC Heightened Standards require that the board or risk committee approve the risk governance framework, approve appointment or removal and annual compensation of the Chief Risk Executive(s), and ensure the CRE has unrestricted access to the board and its committees. (</w:t>
      </w:r>
      <w:hyperlink r:id="rId32">
        <w:r>
          <w:rPr>
            <w:rStyle w:val="Hyperlink"/>
            <w:color w:val="0645AD"/>
            <w:u w:val="single"/>
          </w:rPr>
          <w:t xml:space="preserve">OCC Appendix D to 12 C.F.R. Part 30</w:t>
        </w:r>
      </w:hyperlink>
      <w:r>
        <w:t xml:space="preserve">)</w:t>
      </w:r>
    </w:p>
    <w:p>
      <w:pPr>
        <w:pStyle w:val="BodyText"/>
      </w:pPr>
      <w:r>
        <w:t xml:space="preserve">Under 12 C.F.R. Section 252.33, the holding company CRO must report directly to both the risk committee and the CEO, and the company must ensure CRO compensation is</w:t>
      </w:r>
      <w:r>
        <w:t xml:space="preserve"> </w:t>
      </w:r>
      <w:r>
        <w:t xml:space="preserve">“</w:t>
      </w:r>
      <w:r>
        <w:t xml:space="preserve">consistent with providing an objective assessment of the risks taken by the bank holding company.</w:t>
      </w:r>
      <w:r>
        <w:t xml:space="preserve">”</w:t>
      </w:r>
      <w:r>
        <w:t xml:space="preserve"> </w:t>
      </w:r>
      <w:r>
        <w:t xml:space="preserve">(</w:t>
      </w:r>
      <w:hyperlink r:id="rId53">
        <w:r>
          <w:rPr>
            <w:rStyle w:val="Hyperlink"/>
            <w:color w:val="0645AD"/>
            <w:u w:val="single"/>
          </w:rPr>
          <w:t xml:space="preserve">12 C.F.R. Section 252.33</w:t>
        </w:r>
      </w:hyperlink>
      <w:r>
        <w:t xml:space="preserve">)</w:t>
      </w:r>
    </w:p>
    <w:bookmarkEnd w:id="54"/>
    <w:bookmarkStart w:id="55" w:name="b.-audit-committee"/>
    <w:p>
      <w:pPr>
        <w:pStyle w:val="Heading2"/>
      </w:pPr>
      <w:r>
        <w:t xml:space="preserve">B. Audit Committee</w:t>
      </w:r>
    </w:p>
    <w:p>
      <w:pPr>
        <w:pStyle w:val="FirstParagraph"/>
      </w:pPr>
      <w:r>
        <w:t xml:space="preserve">SR 21-3 states that an effective audit committee meets directly with the chief audit executive, supports internal audit’s budget and staffing, and reviews the status of actions to remediate deficiencies identified by internal audit, external audit, and supervisors. (</w:t>
      </w:r>
      <w:hyperlink r:id="rId39">
        <w:r>
          <w:rPr>
            <w:rStyle w:val="Hyperlink"/>
            <w:color w:val="0645AD"/>
            <w:u w:val="single"/>
          </w:rPr>
          <w:t xml:space="preserve">SR 21-3/CA 21-1 Attachment</w:t>
        </w:r>
      </w:hyperlink>
      <w:r>
        <w:t xml:space="preserve">)</w:t>
      </w:r>
    </w:p>
    <w:p>
      <w:pPr>
        <w:pStyle w:val="BodyText"/>
      </w:pPr>
      <w:r>
        <w:t xml:space="preserve">The OCC Heightened Standards require the audit committee to approve all decisions regarding appointment, removal, and annual compensation of the Chief Audit Executive, and to review and approve internal audit’s charter and audit plans. The CAE must have unrestricted access to the board’s audit committee. (</w:t>
      </w:r>
      <w:hyperlink r:id="rId32">
        <w:r>
          <w:rPr>
            <w:rStyle w:val="Hyperlink"/>
            <w:color w:val="0645AD"/>
            <w:u w:val="single"/>
          </w:rPr>
          <w:t xml:space="preserve">OCC Appendix D to 12 C.F.R. Part 30</w:t>
        </w:r>
      </w:hyperlink>
      <w:r>
        <w:t xml:space="preserve">)</w:t>
      </w:r>
    </w:p>
    <w:p>
      <w:pPr>
        <w:pStyle w:val="BodyText"/>
      </w:pPr>
      <w:r>
        <w:t xml:space="preserve">SEC Regulation S-K Item 407(d)(5) requires disclosure of whether at least one audit committee financial expert serves on the committee. (</w:t>
      </w:r>
      <w:hyperlink r:id="rId49">
        <w:r>
          <w:rPr>
            <w:rStyle w:val="Hyperlink"/>
            <w:color w:val="0645AD"/>
            <w:u w:val="single"/>
          </w:rPr>
          <w:t xml:space="preserve">Reg S-K Rule 229.407</w:t>
        </w:r>
      </w:hyperlink>
      <w:r>
        <w:t xml:space="preserve">)</w:t>
      </w:r>
    </w:p>
    <w:bookmarkEnd w:id="55"/>
    <w:bookmarkStart w:id="58" w:name="c.-compensation-committee"/>
    <w:p>
      <w:pPr>
        <w:pStyle w:val="Heading2"/>
      </w:pPr>
      <w:r>
        <w:t xml:space="preserve">C. Compensation Committee</w:t>
      </w:r>
    </w:p>
    <w:p>
      <w:pPr>
        <w:pStyle w:val="FirstParagraph"/>
      </w:pPr>
      <w:r>
        <w:t xml:space="preserve">The 2010 Interagency Guidance on Sound Incentive Compensation Policies requires that incentive compensation arrangements be supported by strong corporate governance, including active and effective board oversight. Large banking organizations must have systematic policies for identifying and reviewing incentive compensation arrangements for all employees who can expose the organization to material risk. (</w:t>
      </w:r>
      <w:hyperlink r:id="rId56">
        <w:r>
          <w:rPr>
            <w:rStyle w:val="Hyperlink"/>
            <w:color w:val="0645AD"/>
            <w:u w:val="single"/>
          </w:rPr>
          <w:t xml:space="preserve">OCC Bulletin 2010-24, Interagency Guidance on Sound Incentive Compensation Policies</w:t>
        </w:r>
      </w:hyperlink>
      <w:r>
        <w:t xml:space="preserve">)</w:t>
      </w:r>
    </w:p>
    <w:p>
      <w:pPr>
        <w:pStyle w:val="BodyText"/>
      </w:pPr>
      <w:r>
        <w:t xml:space="preserve">SR 21-3 requires that an effective board oversee and evaluate performance management and compensation programs that encourage behaviors consistent with strategy, risk appetite, and safety and soundness. The board must approve clear performance objectives for the CEO, business line executives, CRO, and CAE. (</w:t>
      </w:r>
      <w:hyperlink r:id="rId39">
        <w:r>
          <w:rPr>
            <w:rStyle w:val="Hyperlink"/>
            <w:color w:val="0645AD"/>
            <w:u w:val="single"/>
          </w:rPr>
          <w:t xml:space="preserve">SR 21-3/CA 21-1 Attachment</w:t>
        </w:r>
      </w:hyperlink>
      <w:r>
        <w:t xml:space="preserve">)</w:t>
      </w:r>
    </w:p>
    <w:p>
      <w:pPr>
        <w:pStyle w:val="BodyText"/>
      </w:pPr>
      <w:r>
        <w:t xml:space="preserve">The 2024 re-proposed incentive compensation rule (FDIC, OCC, and FHFA) would require Level 1 and Level 2 institutions to establish a board compensation committee composed solely of non-executive directors, which would obtain input from risk and audit committees on the effectiveness of risk measures in incentive compensation. Management and an independent function would each be required to submit annual written assessments of the incentive compensation program to the compensation committee.</w:t>
      </w:r>
      <w:r>
        <w:t xml:space="preserve"> </w:t>
      </w:r>
      <w:r>
        <w:rPr>
          <w:i/>
          <w:iCs/>
        </w:rPr>
        <w:t xml:space="preserve">Note: The Federal Reserve has not joined this proposal as of May 2026; it remains a proposed rule, not yet final.</w:t>
      </w:r>
      <w:r>
        <w:t xml:space="preserve"> </w:t>
      </w:r>
      <w:r>
        <w:t xml:space="preserve">(</w:t>
      </w:r>
      <w:hyperlink r:id="rId57">
        <w:r>
          <w:rPr>
            <w:rStyle w:val="Hyperlink"/>
            <w:color w:val="0645AD"/>
            <w:u w:val="single"/>
          </w:rPr>
          <w:t xml:space="preserve">FDIC FIL-21-2024, Incentive-Based Compensation Arrangements</w:t>
        </w:r>
      </w:hyperlink>
      <w:r>
        <w:t xml:space="preserve">)</w:t>
      </w:r>
    </w:p>
    <w:bookmarkEnd w:id="58"/>
    <w:bookmarkStart w:id="60" w:name="d.-nominatinggovernance-committee"/>
    <w:p>
      <w:pPr>
        <w:pStyle w:val="Heading2"/>
      </w:pPr>
      <w:r>
        <w:t xml:space="preserve">D. Nominating/Governance Committee</w:t>
      </w:r>
    </w:p>
    <w:p>
      <w:pPr>
        <w:pStyle w:val="FirstParagraph"/>
      </w:pPr>
      <w:r>
        <w:t xml:space="preserve">SR 21-3 requires that an effective board oversee succession plans for the CEO, and, depending on the firm’s complexity, the CRO, CAE, or other senior management officials. The guidance acknowledges this</w:t>
      </w:r>
      <w:r>
        <w:t xml:space="preserve"> </w:t>
      </w:r>
      <w:r>
        <w:t xml:space="preserve">“</w:t>
      </w:r>
      <w:r>
        <w:t xml:space="preserve">may extend beyond requirements to which firms may be subject under other statutory and regulatory authorities, such as the NYSE requirement for formalized succession planning for the CEO only.</w:t>
      </w:r>
      <w:r>
        <w:t xml:space="preserve">”</w:t>
      </w:r>
      <w:r>
        <w:t xml:space="preserve"> </w:t>
      </w:r>
      <w:r>
        <w:t xml:space="preserve">(</w:t>
      </w:r>
      <w:hyperlink r:id="rId39">
        <w:r>
          <w:rPr>
            <w:rStyle w:val="Hyperlink"/>
            <w:color w:val="0645AD"/>
            <w:u w:val="single"/>
          </w:rPr>
          <w:t xml:space="preserve">SR 21-3/CA 21-1 Attachment</w:t>
        </w:r>
      </w:hyperlink>
      <w:r>
        <w:t xml:space="preserve">)</w:t>
      </w:r>
    </w:p>
    <w:p>
      <w:pPr>
        <w:pStyle w:val="BodyText"/>
      </w:pPr>
      <w:r>
        <w:t xml:space="preserve">The OCC Heightened Standards require the board to appoint the CEO and appoint or approve the CAE and CRE(s), and to review and approve a written talent management program covering development, recruitment, and succession planning. (</w:t>
      </w:r>
      <w:hyperlink r:id="rId43">
        <w:r>
          <w:rPr>
            <w:rStyle w:val="Hyperlink"/>
            <w:color w:val="0645AD"/>
            <w:u w:val="single"/>
          </w:rPr>
          <w:t xml:space="preserve">OCC Appendix D to 12 C.F.R. Part 30</w:t>
        </w:r>
      </w:hyperlink>
      <w:r>
        <w:t xml:space="preserve">)</w:t>
      </w:r>
    </w:p>
    <w:p>
      <w:pPr>
        <w:pStyle w:val="BodyText"/>
      </w:pPr>
      <w:r>
        <w:t xml:space="preserve">SEC Regulation S-K Item 407(c) requires detailed disclosure of the nominating committee’s nominee evaluation process, minimum qualifications, consideration of diversity, security holder recommendation procedures, and nominee source identification. (</w:t>
      </w:r>
      <w:hyperlink r:id="rId49">
        <w:r>
          <w:rPr>
            <w:rStyle w:val="Hyperlink"/>
            <w:color w:val="0645AD"/>
            <w:u w:val="single"/>
          </w:rPr>
          <w:t xml:space="preserve">Reg S-K Rule 229.407</w:t>
        </w:r>
      </w:hyperlink>
      <w:r>
        <w:t xml:space="preserve">;</w:t>
      </w:r>
      <w:r>
        <w:t xml:space="preserve"> </w:t>
      </w:r>
      <w:hyperlink r:id="rId59">
        <w:r>
          <w:rPr>
            <w:rStyle w:val="Hyperlink"/>
            <w:color w:val="0645AD"/>
            <w:u w:val="single"/>
          </w:rPr>
          <w:t xml:space="preserve">68 FR 66992</w:t>
        </w:r>
      </w:hyperlink>
      <w:r>
        <w:t xml:space="preserve">)</w:t>
      </w:r>
    </w:p>
    <w:bookmarkEnd w:id="60"/>
    <w:bookmarkEnd w:id="61"/>
    <w:bookmarkStart w:id="63" w:name="vii.-capital-planning-and-stress-testing"/>
    <w:p>
      <w:pPr>
        <w:pStyle w:val="Heading1"/>
      </w:pPr>
      <w:r>
        <w:t xml:space="preserve">VII. Capital Planning and Stress Testing</w:t>
      </w:r>
    </w:p>
    <w:p>
      <w:pPr>
        <w:pStyle w:val="FirstParagraph"/>
      </w:pPr>
      <w:r>
        <w:t xml:space="preserve">The Federal Reserve’s Regulation YY (12 C.F.R. Section 252.47) requires the board to review and approve the firm’s capital plan. SR 21-3 explicitly identifies the capital plan as a significant policy requiring board review and approval. (</w:t>
      </w:r>
      <w:hyperlink r:id="rId39">
        <w:r>
          <w:rPr>
            <w:rStyle w:val="Hyperlink"/>
            <w:color w:val="0645AD"/>
            <w:u w:val="single"/>
          </w:rPr>
          <w:t xml:space="preserve">SR 21-3/CA 21-1 Attachment, citing 12 C.F.R. 225.8(e)(iii) and 12 C.F.R. 252.47(a)</w:t>
        </w:r>
      </w:hyperlink>
      <w:r>
        <w:t xml:space="preserve">)</w:t>
      </w:r>
    </w:p>
    <w:p>
      <w:pPr>
        <w:pStyle w:val="BodyText"/>
      </w:pPr>
      <w:r>
        <w:t xml:space="preserve">The OCC Heightened Standards require the risk governance framework to incorporate stress testing into capital planning processes and require the board to approve a risk appetite statement with quantitative limits addressing capital. (</w:t>
      </w:r>
      <w:hyperlink r:id="rId32">
        <w:r>
          <w:rPr>
            <w:rStyle w:val="Hyperlink"/>
            <w:color w:val="0645AD"/>
            <w:u w:val="single"/>
          </w:rPr>
          <w:t xml:space="preserve">OCC Appendix D to 12 C.F.R. Part 30</w:t>
        </w:r>
      </w:hyperlink>
      <w:r>
        <w:t xml:space="preserve">)</w:t>
      </w:r>
    </w:p>
    <w:p>
      <w:pPr>
        <w:pStyle w:val="BodyText"/>
      </w:pPr>
      <w:r>
        <w:t xml:space="preserve">The 2012 Interagency Supervisory Guidance on Stress Testing requires that boards have written stress testing policies, approved and annually reviewed, that direct and govern implementation of the stress testing framework. Boards should actively evaluate stress testing results and consider them for decisions relating to capital adequacy. (</w:t>
      </w:r>
      <w:hyperlink r:id="rId62">
        <w:r>
          <w:rPr>
            <w:rStyle w:val="Hyperlink"/>
            <w:color w:val="0645AD"/>
            <w:u w:val="single"/>
          </w:rPr>
          <w:t xml:space="preserve">77 FR 29458, Supervisory Guidance on Stress Testing</w:t>
        </w:r>
      </w:hyperlink>
      <w:r>
        <w:t xml:space="preserve">)</w:t>
      </w:r>
    </w:p>
    <w:bookmarkEnd w:id="63"/>
    <w:bookmarkStart w:id="65" w:name="viii.-liquidity-risk-management"/>
    <w:p>
      <w:pPr>
        <w:pStyle w:val="Heading1"/>
      </w:pPr>
      <w:r>
        <w:t xml:space="preserve">VIII. Liquidity Risk Management</w:t>
      </w:r>
    </w:p>
    <w:p>
      <w:pPr>
        <w:pStyle w:val="FirstParagraph"/>
      </w:pPr>
      <w:r>
        <w:t xml:space="preserve">12 C.F.R. Section 252.34(a) requires the board to approve the firm’s liquidity risk management policies. 12 C.F.R. Section 252.33(a)(1) assigns the risk committee responsibility for overseeing liquidity risk management as part of enterprise-wide risk management. (</w:t>
      </w:r>
      <w:hyperlink r:id="rId39">
        <w:r>
          <w:rPr>
            <w:rStyle w:val="Hyperlink"/>
            <w:color w:val="0645AD"/>
            <w:u w:val="single"/>
          </w:rPr>
          <w:t xml:space="preserve">SR 21-3/CA 21-1 Attachment, citing 12 C.F.R. 252.34(a)</w:t>
        </w:r>
      </w:hyperlink>
      <w:r>
        <w:t xml:space="preserve">)</w:t>
      </w:r>
    </w:p>
    <w:p>
      <w:pPr>
        <w:pStyle w:val="BodyText"/>
      </w:pPr>
      <w:r>
        <w:t xml:space="preserve">The OCC Heightened Standards require the risk appetite statement to include quantitative limits addressing liquidity and require the strategic plan to contain a comprehensive assessment of liquidity risk. (</w:t>
      </w:r>
      <w:hyperlink r:id="rId32">
        <w:r>
          <w:rPr>
            <w:rStyle w:val="Hyperlink"/>
            <w:color w:val="0645AD"/>
            <w:u w:val="single"/>
          </w:rPr>
          <w:t xml:space="preserve">OCC Appendix D to 12 C.F.R. Part 30</w:t>
        </w:r>
      </w:hyperlink>
      <w:r>
        <w:t xml:space="preserve">)</w:t>
      </w:r>
    </w:p>
    <w:p>
      <w:pPr>
        <w:pStyle w:val="BodyText"/>
      </w:pPr>
      <w:r>
        <w:t xml:space="preserve">The interagency stress testing guidance (77 FR 29458) requires the board to consider stress testing results for decisions relating to liquidity adequacy, including review of the contingency funding plan. (</w:t>
      </w:r>
      <w:hyperlink r:id="rId62">
        <w:r>
          <w:rPr>
            <w:rStyle w:val="Hyperlink"/>
            <w:color w:val="0645AD"/>
            <w:u w:val="single"/>
          </w:rPr>
          <w:t xml:space="preserve">77 FR 29458, Supervisory Guidance on Stress Testing</w:t>
        </w:r>
      </w:hyperlink>
      <w:r>
        <w:t xml:space="preserve">)</w:t>
      </w:r>
    </w:p>
    <w:p>
      <w:pPr>
        <w:pStyle w:val="BodyText"/>
      </w:pPr>
      <w:r>
        <w:t xml:space="preserve">The interagency leveraged lending guidance (78 FR 17766) requires the board to approve the institution’s risk appetite for leveraged lending activities with analysis of potential liquidity effects, and to receive at least quarterly summaries of management reports on leveraged exposures including liquidity stress test results. (</w:t>
      </w:r>
      <w:hyperlink r:id="rId64">
        <w:r>
          <w:rPr>
            <w:rStyle w:val="Hyperlink"/>
            <w:color w:val="0645AD"/>
            <w:u w:val="single"/>
          </w:rPr>
          <w:t xml:space="preserve">77 FR 19417, Proposed Guidance on Leveraged Lending</w:t>
        </w:r>
      </w:hyperlink>
      <w:r>
        <w:t xml:space="preserve">)</w:t>
      </w:r>
    </w:p>
    <w:bookmarkEnd w:id="65"/>
    <w:bookmarkStart w:id="66" w:name="ix.-resolution-planning"/>
    <w:p>
      <w:pPr>
        <w:pStyle w:val="Heading1"/>
      </w:pPr>
      <w:r>
        <w:t xml:space="preserve">IX. Resolution Planning</w:t>
      </w:r>
    </w:p>
    <w:p>
      <w:pPr>
        <w:pStyle w:val="FirstParagraph"/>
      </w:pPr>
      <w:r>
        <w:t xml:space="preserve">12 U.S.C. Section 5365(d)(1) requires each Category I GSIB to develop and maintain a plan for rapid and orderly resolution in the event of material financial distress or failure. SR 21-3 explicitly identifies recovery and resolution plans as significant policies requiring board review and approval. (</w:t>
      </w:r>
      <w:hyperlink r:id="rId39">
        <w:r>
          <w:rPr>
            <w:rStyle w:val="Hyperlink"/>
            <w:color w:val="0645AD"/>
            <w:u w:val="single"/>
          </w:rPr>
          <w:t xml:space="preserve">SR 21-3/CA 21-1 Attachment, citing 12 C.F.R. Part 243 and SR Letter 14-8</w:t>
        </w:r>
      </w:hyperlink>
      <w:r>
        <w:t xml:space="preserve">)</w:t>
      </w:r>
    </w:p>
    <w:p>
      <w:pPr>
        <w:pStyle w:val="BodyText"/>
      </w:pPr>
      <w:r>
        <w:t xml:space="preserve">SR 12-17 states that resolution plans</w:t>
      </w:r>
      <w:r>
        <w:t xml:space="preserve"> </w:t>
      </w:r>
      <w:r>
        <w:t xml:space="preserve">“</w:t>
      </w:r>
      <w:r>
        <w:t xml:space="preserve">should be utilized as an element of the firm’s strategic planning and address the complexity and interconnectivity of the firm’s operations.</w:t>
      </w:r>
      <w:r>
        <w:t xml:space="preserve">”</w:t>
      </w:r>
      <w:r>
        <w:t xml:space="preserve"> </w:t>
      </w:r>
      <w:r>
        <w:t xml:space="preserve">(</w:t>
      </w:r>
      <w:hyperlink r:id="rId27">
        <w:r>
          <w:rPr>
            <w:rStyle w:val="Hyperlink"/>
            <w:color w:val="0645AD"/>
            <w:u w:val="single"/>
          </w:rPr>
          <w:t xml:space="preserve">SR 12-17/CA 12-14</w:t>
        </w:r>
      </w:hyperlink>
      <w:r>
        <w:t xml:space="preserve">)</w:t>
      </w:r>
    </w:p>
    <w:p>
      <w:pPr>
        <w:pStyle w:val="BodyText"/>
      </w:pPr>
      <w:r>
        <w:t xml:space="preserve">If the Board of Governors and the FDIC jointly determine a resolution plan is not credible, the company must resubmit with revisions. Failure to resubmit a compliant plan within two years can result in joint directives to divest assets or operations. (</w:t>
      </w:r>
      <w:hyperlink r:id="rId23">
        <w:r>
          <w:rPr>
            <w:rStyle w:val="Hyperlink"/>
            <w:color w:val="0645AD"/>
            <w:u w:val="single"/>
          </w:rPr>
          <w:t xml:space="preserve">12 U.S.C. Section 5365</w:t>
        </w:r>
      </w:hyperlink>
      <w:r>
        <w:t xml:space="preserve">)</w:t>
      </w:r>
    </w:p>
    <w:bookmarkEnd w:id="66"/>
    <w:bookmarkStart w:id="69" w:name="x.-recovery-planning"/>
    <w:p>
      <w:pPr>
        <w:pStyle w:val="Heading1"/>
      </w:pPr>
      <w:r>
        <w:t xml:space="preserve">X. Recovery Planning</w:t>
      </w:r>
    </w:p>
    <w:p>
      <w:pPr>
        <w:pStyle w:val="FirstParagraph"/>
      </w:pPr>
      <w:r>
        <w:t xml:space="preserve">SR 14-8 provides guidance on recovery planning for the eight domestic LISCC bank holding companies. The board (or a designated committee) is responsible for overseeing the firm’s recovery planning process, including the firm’s ability to identify and implement recovery options and oversee management’s remediation of identified weaknesses. A firm should review and update its recovery plan at least annually. Recovery planning should be integrated into corporate governance and operating processes and be part of business-as-usual activities. (</w:t>
      </w:r>
      <w:hyperlink r:id="rId67">
        <w:r>
          <w:rPr>
            <w:rStyle w:val="Hyperlink"/>
            <w:color w:val="0645AD"/>
            <w:u w:val="single"/>
          </w:rPr>
          <w:t xml:space="preserve">SR 14-8, Consolidated Recovery Planning for Certain Large Domestic Bank Holding Companies</w:t>
        </w:r>
      </w:hyperlink>
      <w:r>
        <w:t xml:space="preserve">)</w:t>
      </w:r>
    </w:p>
    <w:p>
      <w:pPr>
        <w:pStyle w:val="BodyText"/>
      </w:pPr>
      <w:r>
        <w:t xml:space="preserve">SR 14-1 established heightened supervisory expectations for recovery and resolution preparedness for the eight domestic GSIBs, requiring effective processes for managing collateral, understanding payment, clearing, and settlement obligations, analyzing funding sources, demonstrating MIS capabilities, and maintaining robust arrangements for continued provision of shared services. (</w:t>
      </w:r>
      <w:hyperlink r:id="rId68">
        <w:r>
          <w:rPr>
            <w:rStyle w:val="Hyperlink"/>
            <w:color w:val="0645AD"/>
            <w:u w:val="single"/>
          </w:rPr>
          <w:t xml:space="preserve">SR 14-1, Heightened Supervisory Expectations for Recovery and Resolution Preparedness</w:t>
        </w:r>
      </w:hyperlink>
      <w:r>
        <w:t xml:space="preserve">)</w:t>
      </w:r>
    </w:p>
    <w:bookmarkEnd w:id="69"/>
    <w:bookmarkStart w:id="71" w:name="xi.-operational-resilience"/>
    <w:p>
      <w:pPr>
        <w:pStyle w:val="Heading1"/>
      </w:pPr>
      <w:r>
        <w:t xml:space="preserve">XI. Operational Resilience</w:t>
      </w:r>
    </w:p>
    <w:p>
      <w:pPr>
        <w:pStyle w:val="FirstParagraph"/>
      </w:pPr>
      <w:r>
        <w:t xml:space="preserve">SR 12-17 requires each firm to ensure that critical operations are sufficiently resilient to be maintained, continued, and funded even in the event of failure or material financial or operational distress. (</w:t>
      </w:r>
      <w:hyperlink r:id="rId27">
        <w:r>
          <w:rPr>
            <w:rStyle w:val="Hyperlink"/>
            <w:color w:val="0645AD"/>
            <w:u w:val="single"/>
          </w:rPr>
          <w:t xml:space="preserve">SR 12-17/CA 12-14</w:t>
        </w:r>
      </w:hyperlink>
      <w:r>
        <w:t xml:space="preserve">)</w:t>
      </w:r>
    </w:p>
    <w:p>
      <w:pPr>
        <w:pStyle w:val="BodyText"/>
      </w:pPr>
      <w:r>
        <w:t xml:space="preserve">SR 21-3 defines operational strength and resilience as maintaining effective governance and controls to provide for continuity of the consolidated organization through a range of conditions. (</w:t>
      </w:r>
      <w:hyperlink r:id="rId39">
        <w:r>
          <w:rPr>
            <w:rStyle w:val="Hyperlink"/>
            <w:color w:val="0645AD"/>
            <w:u w:val="single"/>
          </w:rPr>
          <w:t xml:space="preserve">SR 21-3/CA 21-1 Attachment</w:t>
        </w:r>
      </w:hyperlink>
      <w:r>
        <w:t xml:space="preserve">)</w:t>
      </w:r>
    </w:p>
    <w:p>
      <w:pPr>
        <w:pStyle w:val="BodyText"/>
      </w:pPr>
      <w:r>
        <w:t xml:space="preserve">The OCC Heightened Standards require the risk governance framework to cover operational risk, including policies and processes for identifying, measuring, monitoring, and controlling operational risk concentrations. (</w:t>
      </w:r>
      <w:hyperlink r:id="rId32">
        <w:r>
          <w:rPr>
            <w:rStyle w:val="Hyperlink"/>
            <w:color w:val="0645AD"/>
            <w:u w:val="single"/>
          </w:rPr>
          <w:t xml:space="preserve">OCC Appendix D to 12 C.F.R. Part 30</w:t>
        </w:r>
      </w:hyperlink>
      <w:r>
        <w:t xml:space="preserve">)</w:t>
      </w:r>
    </w:p>
    <w:p>
      <w:pPr>
        <w:pStyle w:val="BodyText"/>
      </w:pPr>
      <w:r>
        <w:t xml:space="preserve">The 2023 Interagency Guidance on Third-Party Relationships states that the board has ultimate responsibility for providing oversight for third-party risk management and holding management accountable, and that a banking organization’s use of third parties does not diminish its responsibility to operate in a safe and sound manner. (</w:t>
      </w:r>
      <w:hyperlink r:id="rId70">
        <w:r>
          <w:rPr>
            <w:rStyle w:val="Hyperlink"/>
            <w:color w:val="0645AD"/>
            <w:u w:val="single"/>
          </w:rPr>
          <w:t xml:space="preserve">Interagency Guidance on Third-Party Relationships: Risk Management, June 2023</w:t>
        </w:r>
      </w:hyperlink>
      <w:r>
        <w:t xml:space="preserve">)</w:t>
      </w:r>
    </w:p>
    <w:bookmarkEnd w:id="71"/>
    <w:bookmarkStart w:id="76" w:name="xii.-model-risk-governance"/>
    <w:p>
      <w:pPr>
        <w:pStyle w:val="Heading1"/>
      </w:pPr>
      <w:r>
        <w:t xml:space="preserve">XII. Model Risk Governance</w:t>
      </w:r>
    </w:p>
    <w:p>
      <w:pPr>
        <w:pStyle w:val="FirstParagraph"/>
      </w:pPr>
      <w:r>
        <w:t xml:space="preserve">The 2011 Interagency Supervisory Guidance on Model Risk Management (SR 11-7/OCC Bulletin 2011-12) directed a bank’s</w:t>
      </w:r>
      <w:r>
        <w:t xml:space="preserve"> </w:t>
      </w:r>
      <w:r>
        <w:t xml:space="preserve">“</w:t>
      </w:r>
      <w:r>
        <w:t xml:space="preserve">board or its delegates</w:t>
      </w:r>
      <w:r>
        <w:t xml:space="preserve">”</w:t>
      </w:r>
      <w:r>
        <w:t xml:space="preserve"> </w:t>
      </w:r>
      <w:r>
        <w:t xml:space="preserve">to</w:t>
      </w:r>
      <w:r>
        <w:t xml:space="preserve"> </w:t>
      </w:r>
      <w:r>
        <w:t xml:space="preserve">“</w:t>
      </w:r>
      <w:r>
        <w:t xml:space="preserve">approve model risk management policies and review them annually</w:t>
      </w:r>
      <w:r>
        <w:t xml:space="preserve">”</w:t>
      </w:r>
      <w:r>
        <w:t xml:space="preserve"> </w:t>
      </w:r>
      <w:r>
        <w:t xml:space="preserve">and stated that audit findings related to models should be</w:t>
      </w:r>
      <w:r>
        <w:t xml:space="preserve"> </w:t>
      </w:r>
      <w:r>
        <w:t xml:space="preserve">“</w:t>
      </w:r>
      <w:r>
        <w:t xml:space="preserve">reported to the board or its appropriately delegated agent.</w:t>
      </w:r>
      <w:r>
        <w:t xml:space="preserve">”</w:t>
      </w:r>
      <w:r>
        <w:t xml:space="preserve"> </w:t>
      </w:r>
      <w:r>
        <w:t xml:space="preserve">(</w:t>
      </w:r>
      <w:hyperlink r:id="rId72">
        <w:r>
          <w:rPr>
            <w:rStyle w:val="Hyperlink"/>
            <w:color w:val="0645AD"/>
            <w:u w:val="single"/>
          </w:rPr>
          <w:t xml:space="preserve">OCC Bulletin 2011-12, Supervisory Guidance on Model Risk Management</w:t>
        </w:r>
      </w:hyperlink>
      <w:r>
        <w:t xml:space="preserve">)</w:t>
      </w:r>
    </w:p>
    <w:p>
      <w:pPr>
        <w:pStyle w:val="BodyText"/>
      </w:pPr>
      <w:r>
        <w:t xml:space="preserve">On April 17, 2026, the OCC, Federal Reserve, and FDIC issued revised interagency model risk management guidance (OCC Bulletin 2026-13/SR 26-2) that supersedes the 2011 guidance. The revised guidance explicitly states it</w:t>
      </w:r>
      <w:r>
        <w:t xml:space="preserve"> </w:t>
      </w:r>
      <w:r>
        <w:t xml:space="preserve">“</w:t>
      </w:r>
      <w:r>
        <w:t xml:space="preserve">does not set forth enforceable standards or prescriptive requirements</w:t>
      </w:r>
      <w:r>
        <w:t xml:space="preserve">”</w:t>
      </w:r>
      <w:r>
        <w:t xml:space="preserve"> </w:t>
      </w:r>
      <w:r>
        <w:t xml:space="preserve">and that</w:t>
      </w:r>
      <w:r>
        <w:t xml:space="preserve"> </w:t>
      </w:r>
      <w:r>
        <w:t xml:space="preserve">“</w:t>
      </w:r>
      <w:r>
        <w:t xml:space="preserve">non-compliance with this guidance will not result in supervisory criticism.</w:t>
      </w:r>
      <w:r>
        <w:t xml:space="preserve">”</w:t>
      </w:r>
      <w:r>
        <w:t xml:space="preserve"> </w:t>
      </w:r>
      <w:r>
        <w:t xml:space="preserve">It removes the specific board-level expectations present in the 2011 guidance, replacing them with the general observation that model risk management benefits from</w:t>
      </w:r>
      <w:r>
        <w:t xml:space="preserve"> </w:t>
      </w:r>
      <w:r>
        <w:t xml:space="preserve">“</w:t>
      </w:r>
      <w:r>
        <w:t xml:space="preserve">clear roles and responsibilities with well-defined accountability.</w:t>
      </w:r>
      <w:r>
        <w:t xml:space="preserve">”</w:t>
      </w:r>
      <w:r>
        <w:t xml:space="preserve"> </w:t>
      </w:r>
      <w:r>
        <w:t xml:space="preserve">(</w:t>
      </w:r>
      <w:hyperlink r:id="rId73">
        <w:r>
          <w:rPr>
            <w:rStyle w:val="Hyperlink"/>
            <w:color w:val="0645AD"/>
            <w:u w:val="single"/>
          </w:rPr>
          <w:t xml:space="preserve">OCC Bulletin 2026-13, Model Risk Management: Revised Guidance</w:t>
        </w:r>
      </w:hyperlink>
      <w:r>
        <w:t xml:space="preserve">)</w:t>
      </w:r>
    </w:p>
    <w:p>
      <w:pPr>
        <w:pStyle w:val="BodyText"/>
      </w:pPr>
      <w:r>
        <w:t xml:space="preserve">According to Sullivan &amp; Cromwell’s analysis, the revised guidance affords banking organizations</w:t>
      </w:r>
      <w:r>
        <w:t xml:space="preserve"> </w:t>
      </w:r>
      <w:r>
        <w:t xml:space="preserve">“</w:t>
      </w:r>
      <w:r>
        <w:t xml:space="preserve">considerable discretion in designing their model risk management programs</w:t>
      </w:r>
      <w:r>
        <w:t xml:space="preserve">”</w:t>
      </w:r>
      <w:r>
        <w:t xml:space="preserve"> </w:t>
      </w:r>
      <w:r>
        <w:t xml:space="preserve">and may validate the continued use of previously adopted tailored frameworks.</w:t>
      </w:r>
      <w:r>
        <w:t xml:space="preserve"> </w:t>
      </w:r>
      <w:r>
        <w:rPr>
          <w:i/>
          <w:iCs/>
        </w:rPr>
        <w:t xml:space="preserve">This is Sullivan &amp; Cromwell’s interpretation of the guidance.</w:t>
      </w:r>
      <w:r>
        <w:t xml:space="preserve"> </w:t>
      </w:r>
      <w:r>
        <w:t xml:space="preserve">(</w:t>
      </w:r>
      <w:hyperlink r:id="rId74">
        <w:r>
          <w:rPr>
            <w:rStyle w:val="Hyperlink"/>
            <w:color w:val="0645AD"/>
            <w:u w:val="single"/>
          </w:rPr>
          <w:t xml:space="preserve">Sullivan &amp; Cromwell, Federal Banking Agencies Issue Revised Guidance on Model Risk Management</w:t>
        </w:r>
      </w:hyperlink>
      <w:r>
        <w:t xml:space="preserve">)</w:t>
      </w:r>
    </w:p>
    <w:p>
      <w:pPr>
        <w:pStyle w:val="BodyText"/>
      </w:pPr>
      <w:r>
        <w:t xml:space="preserve">However, binding board-level model risk obligations remain in force through the advanced approaches capital framework. 12 C.F.R. Section 217.122(i)(2) requires the board or a designated committee to at least annually review the effectiveness of, and approve, the institution’s advanced systems. Section 217.122(i)(5) requires internal audit to report findings to the board or a committee thereof annually. Section 217.122(g)(1)(iii) requires operational risk information to be reported to the board or a designated committee. (</w:t>
      </w:r>
      <w:hyperlink r:id="rId75">
        <w:r>
          <w:rPr>
            <w:rStyle w:val="Hyperlink"/>
            <w:color w:val="0645AD"/>
            <w:u w:val="single"/>
          </w:rPr>
          <w:t xml:space="preserve">12 C.F.R. Section 217.122</w:t>
        </w:r>
      </w:hyperlink>
      <w:r>
        <w:t xml:space="preserve">)</w:t>
      </w:r>
    </w:p>
    <w:bookmarkEnd w:id="76"/>
    <w:bookmarkStart w:id="77" w:name="xiii.-third-party-risk-management"/>
    <w:p>
      <w:pPr>
        <w:pStyle w:val="Heading1"/>
      </w:pPr>
      <w:r>
        <w:t xml:space="preserve">XIII. Third-Party Risk Management</w:t>
      </w:r>
    </w:p>
    <w:p>
      <w:pPr>
        <w:pStyle w:val="FirstParagraph"/>
      </w:pPr>
      <w:r>
        <w:t xml:space="preserve">The 2023 Interagency Guidance on Third-Party Relationships establishes that the board has</w:t>
      </w:r>
      <w:r>
        <w:t xml:space="preserve"> </w:t>
      </w:r>
      <w:r>
        <w:t xml:space="preserve">“</w:t>
      </w:r>
      <w:r>
        <w:t xml:space="preserve">ultimate responsibility for providing oversight for third-party risk management and holding management accountable.</w:t>
      </w:r>
      <w:r>
        <w:t xml:space="preserve">”</w:t>
      </w:r>
      <w:r>
        <w:t xml:space="preserve"> </w:t>
      </w:r>
      <w:r>
        <w:t xml:space="preserve">The board provides</w:t>
      </w:r>
      <w:r>
        <w:t xml:space="preserve"> </w:t>
      </w:r>
      <w:r>
        <w:t xml:space="preserve">“</w:t>
      </w:r>
      <w:r>
        <w:t xml:space="preserve">clear guidance regarding acceptable risk appetite, approves appropriate policies, and ensures that appropriate procedures and practices have been established.</w:t>
      </w:r>
      <w:r>
        <w:t xml:space="preserve">”</w:t>
      </w:r>
      <w:r>
        <w:t xml:space="preserve"> </w:t>
      </w:r>
      <w:r>
        <w:t xml:space="preserve">The board or a designated committee should consider whether third-party relationships are managed consistently with strategic goals and risk appetite, whether there is appropriate periodic reporting, and whether management has remediated identified issues. As part of its oversight, the board should be aware of, and as appropriate approve, contracts involving higher-risk activities. (</w:t>
      </w:r>
      <w:hyperlink r:id="rId70">
        <w:r>
          <w:rPr>
            <w:rStyle w:val="Hyperlink"/>
            <w:color w:val="0645AD"/>
            <w:u w:val="single"/>
          </w:rPr>
          <w:t xml:space="preserve">Interagency Guidance on Third-Party Relationships: Risk Management, June 2023</w:t>
        </w:r>
      </w:hyperlink>
      <w:r>
        <w:t xml:space="preserve">)</w:t>
      </w:r>
    </w:p>
    <w:p>
      <w:pPr>
        <w:pStyle w:val="BodyText"/>
      </w:pPr>
      <w:r>
        <w:t xml:space="preserve">According to Debevoise &amp; Plimpton’s analysis, revisions to the Federal Reserve’s vendor risk management guidance (SR 13-19) eliminated the expectation that the board approve vendor risk management policies, though senior management is expected to provide the board with sufficient information regarding risks arising from such relationships.</w:t>
      </w:r>
      <w:r>
        <w:t xml:space="preserve"> </w:t>
      </w:r>
      <w:r>
        <w:rPr>
          <w:i/>
          <w:iCs/>
        </w:rPr>
        <w:t xml:space="preserve">This is a law firm’s interpretation of guidance revisions.</w:t>
      </w:r>
      <w:r>
        <w:t xml:space="preserve"> </w:t>
      </w:r>
      <w:r>
        <w:t xml:space="preserve">(</w:t>
      </w:r>
      <w:hyperlink r:id="rId30">
        <w:r>
          <w:rPr>
            <w:rStyle w:val="Hyperlink"/>
            <w:color w:val="0645AD"/>
            <w:u w:val="single"/>
          </w:rPr>
          <w:t xml:space="preserve">Debevoise &amp; Plimpton, Federal Reserve Board Finalizes Board Effectiveness Guidance</w:t>
        </w:r>
      </w:hyperlink>
      <w:r>
        <w:t xml:space="preserve">)</w:t>
      </w:r>
    </w:p>
    <w:bookmarkEnd w:id="77"/>
    <w:bookmarkStart w:id="87" w:name="xiv.-cybersecurity-governance"/>
    <w:p>
      <w:pPr>
        <w:pStyle w:val="Heading1"/>
      </w:pPr>
      <w:r>
        <w:t xml:space="preserve">XIV. Cybersecurity Governance</w:t>
      </w:r>
    </w:p>
    <w:p>
      <w:pPr>
        <w:pStyle w:val="FirstParagraph"/>
      </w:pPr>
      <w:r>
        <w:t xml:space="preserve">Board-level cybersecurity obligations arise from multiple overlapping frameworks that constitute one of the clearest examples of policy sludge in the GSIB governance regime.</w:t>
      </w:r>
    </w:p>
    <w:bookmarkStart w:id="83" w:name="a.-glba-information-security-program"/>
    <w:p>
      <w:pPr>
        <w:pStyle w:val="Heading2"/>
      </w:pPr>
      <w:r>
        <w:t xml:space="preserve">A. GLBA Information Security Program</w:t>
      </w:r>
    </w:p>
    <w:p>
      <w:pPr>
        <w:pStyle w:val="FirstParagraph"/>
      </w:pPr>
      <w:r>
        <w:t xml:space="preserve">The Interagency Guidelines Establishing Information Security Standards, issued pursuant to Section 501(b) of the Gramm-Leach-Bliley Act, require the board (or an appropriate committee) to: (1) approve the institution’s written information security program; (2) oversee the development, implementation, and maintenance of the program, including assigning specific management responsibility and reviewing management reports; and (3) receive at least annual management reports on program status, risk assessments, risk management decisions, service provider arrangements, testing results, security breaches, and recommendations for changes.</w:t>
      </w:r>
    </w:p>
    <w:p>
      <w:pPr>
        <w:pStyle w:val="BodyText"/>
      </w:pPr>
      <w:r>
        <w:t xml:space="preserve">These identical obligations appear in four separately codified instruments:</w:t>
      </w:r>
    </w:p>
    <w:p>
      <w:pPr>
        <w:pStyle w:val="Compact"/>
        <w:numPr>
          <w:ilvl w:val="0"/>
          <w:numId w:val="1001"/>
        </w:numPr>
      </w:pPr>
      <w:r>
        <w:t xml:space="preserve">Appendix B to 12 C.F.R. Part 30 (OCC, national banks) (</w:t>
      </w:r>
      <w:hyperlink r:id="rId78">
        <w:r>
          <w:rPr>
            <w:rStyle w:val="Hyperlink"/>
            <w:color w:val="0645AD"/>
            <w:u w:val="single"/>
          </w:rPr>
          <w:t xml:space="preserve">OCC Rules Part 30 Appendix B</w:t>
        </w:r>
      </w:hyperlink>
      <w:r>
        <w:t xml:space="preserve">)</w:t>
      </w:r>
    </w:p>
    <w:p>
      <w:pPr>
        <w:pStyle w:val="Compact"/>
        <w:numPr>
          <w:ilvl w:val="0"/>
          <w:numId w:val="1001"/>
        </w:numPr>
      </w:pPr>
      <w:r>
        <w:t xml:space="preserve">Appendix D-2 to 12 C.F.R. Part 208 (Federal Reserve, state member banks) (</w:t>
      </w:r>
      <w:hyperlink r:id="rId79">
        <w:r>
          <w:rPr>
            <w:rStyle w:val="Hyperlink"/>
            <w:color w:val="0645AD"/>
            <w:u w:val="single"/>
          </w:rPr>
          <w:t xml:space="preserve">FRS Rules Part 208 Appendix D-2</w:t>
        </w:r>
      </w:hyperlink>
      <w:r>
        <w:t xml:space="preserve">)</w:t>
      </w:r>
    </w:p>
    <w:p>
      <w:pPr>
        <w:pStyle w:val="Compact"/>
        <w:numPr>
          <w:ilvl w:val="0"/>
          <w:numId w:val="1001"/>
        </w:numPr>
      </w:pPr>
      <w:r>
        <w:t xml:space="preserve">Appendix F to 12 C.F.R. Part 225 (Federal Reserve, bank holding companies) (</w:t>
      </w:r>
      <w:hyperlink r:id="rId80">
        <w:r>
          <w:rPr>
            <w:rStyle w:val="Hyperlink"/>
            <w:color w:val="0645AD"/>
            <w:u w:val="single"/>
          </w:rPr>
          <w:t xml:space="preserve">FRS Rules Part 225 Appendix F</w:t>
        </w:r>
      </w:hyperlink>
      <w:r>
        <w:t xml:space="preserve">)</w:t>
      </w:r>
    </w:p>
    <w:p>
      <w:pPr>
        <w:pStyle w:val="Compact"/>
        <w:numPr>
          <w:ilvl w:val="0"/>
          <w:numId w:val="1001"/>
        </w:numPr>
      </w:pPr>
      <w:r>
        <w:t xml:space="preserve">Appendix B to 12 C.F.R. Part 364 (FDIC) (</w:t>
      </w:r>
      <w:hyperlink r:id="rId81">
        <w:r>
          <w:rPr>
            <w:rStyle w:val="Hyperlink"/>
            <w:color w:val="0645AD"/>
            <w:u w:val="single"/>
          </w:rPr>
          <w:t xml:space="preserve">FDIC Rules Part 364 Appendix B</w:t>
        </w:r>
      </w:hyperlink>
      <w:r>
        <w:t xml:space="preserve">)</w:t>
      </w:r>
    </w:p>
    <w:p>
      <w:pPr>
        <w:pStyle w:val="FirstParagraph"/>
      </w:pPr>
      <w:r>
        <w:t xml:space="preserve">The 2001 joint final rule confirmed these obligations are intended to be materially identical across charter types, but preserved the parallel codification structure. (</w:t>
      </w:r>
      <w:hyperlink r:id="rId82">
        <w:r>
          <w:rPr>
            <w:rStyle w:val="Hyperlink"/>
            <w:color w:val="0645AD"/>
            <w:u w:val="single"/>
          </w:rPr>
          <w:t xml:space="preserve">66 FR 8616, Interagency Guidelines Establishing Standards for Safeguarding Customer Information</w:t>
        </w:r>
      </w:hyperlink>
      <w:r>
        <w:t xml:space="preserve">)</w:t>
      </w:r>
    </w:p>
    <w:p>
      <w:pPr>
        <w:pStyle w:val="BodyText"/>
      </w:pPr>
      <w:r>
        <w:rPr>
          <w:b/>
          <w:bCs/>
        </w:rPr>
        <w:t xml:space="preserve">This is the clearest instance of structural redundancy in the GSIB board obligation framework.</w:t>
      </w:r>
      <w:r>
        <w:t xml:space="preserve"> </w:t>
      </w:r>
      <w:r>
        <w:t xml:space="preserve">A director serving on both the holding company board and the national bank subsidiary board technically discharges four separately codified legal obligations each time she participates in the approval, oversight, or reporting review of the information security program.</w:t>
      </w:r>
    </w:p>
    <w:bookmarkEnd w:id="83"/>
    <w:bookmarkStart w:id="84" w:name="b.-incident-notification"/>
    <w:p>
      <w:pPr>
        <w:pStyle w:val="Heading2"/>
      </w:pPr>
      <w:r>
        <w:t xml:space="preserve">B. Incident Notification</w:t>
      </w:r>
    </w:p>
    <w:p>
      <w:pPr>
        <w:pStyle w:val="FirstParagraph"/>
      </w:pPr>
      <w:r>
        <w:t xml:space="preserve">The Computer Security Incident Notification Rule (12 C.F.R. Part 53 (OCC), 12 C.F.R. 225 Subpart N (Board), 12 C.F.R. 304 Subpart C (FDIC)) requires banking organizations to notify their primary federal regulator within 36 hours of determining that a notification incident has occurred. Board-level oversight of incident response and notification processes is an implicit component of the board’s overall risk governance obligations. (</w:t>
      </w:r>
      <w:hyperlink r:id="rId70">
        <w:r>
          <w:rPr>
            <w:rStyle w:val="Hyperlink"/>
            <w:color w:val="0645AD"/>
            <w:u w:val="single"/>
          </w:rPr>
          <w:t xml:space="preserve">Interagency Guidance on Third-Party Relationships: Risk Management, June 2023</w:t>
        </w:r>
      </w:hyperlink>
      <w:r>
        <w:t xml:space="preserve">)</w:t>
      </w:r>
    </w:p>
    <w:bookmarkEnd w:id="84"/>
    <w:bookmarkStart w:id="86" w:name="c.-sec-disclosure-obligations"/>
    <w:p>
      <w:pPr>
        <w:pStyle w:val="Heading2"/>
      </w:pPr>
      <w:r>
        <w:t xml:space="preserve">C. SEC Disclosure Obligations</w:t>
      </w:r>
    </w:p>
    <w:p>
      <w:pPr>
        <w:pStyle w:val="FirstParagraph"/>
      </w:pPr>
      <w:r>
        <w:t xml:space="preserve">SEC Regulation S-K Item 106(c)(1) requires annual Form 10-K disclosure of the board’s oversight of cybersecurity risks, including identification of the responsible board committee and processes by which the board is informed about cybersecurity risks. Item 106(c)(2) requires disclosure of management’s cybersecurity expertise and processes for reporting to the board. (</w:t>
      </w:r>
      <w:hyperlink r:id="rId85">
        <w:r>
          <w:rPr>
            <w:rStyle w:val="Hyperlink"/>
            <w:color w:val="0645AD"/>
            <w:u w:val="single"/>
          </w:rPr>
          <w:t xml:space="preserve">Reg S-K Rule 229.106</w:t>
        </w:r>
      </w:hyperlink>
      <w:r>
        <w:t xml:space="preserve">)</w:t>
      </w:r>
    </w:p>
    <w:bookmarkEnd w:id="86"/>
    <w:bookmarkEnd w:id="87"/>
    <w:bookmarkStart w:id="99" w:name="xv.-bsaaml-program-oversight"/>
    <w:p>
      <w:pPr>
        <w:pStyle w:val="Heading1"/>
      </w:pPr>
      <w:r>
        <w:t xml:space="preserve">XV. BSA/AML Program Oversight</w:t>
      </w:r>
    </w:p>
    <w:bookmarkStart w:id="90" w:name="a.-statutory-foundation"/>
    <w:p>
      <w:pPr>
        <w:pStyle w:val="Heading2"/>
      </w:pPr>
      <w:r>
        <w:t xml:space="preserve">A. Statutory Foundation</w:t>
      </w:r>
    </w:p>
    <w:p>
      <w:pPr>
        <w:pStyle w:val="FirstParagraph"/>
      </w:pPr>
      <w:r>
        <w:t xml:space="preserve">31 U.S.C. Section 5318(h)(1) requires each financial institution to establish an AML/CFT program including internal policies and controls, a designated compliance officer, employee training, and independent testing. The program must be risk-based and incorporate national AML/CFT priorities published by the Secretary of the Treasury. (</w:t>
      </w:r>
      <w:hyperlink r:id="rId88">
        <w:r>
          <w:rPr>
            <w:rStyle w:val="Hyperlink"/>
            <w:color w:val="0645AD"/>
            <w:u w:val="single"/>
          </w:rPr>
          <w:t xml:space="preserve">31 U.S.C. Section 5318</w:t>
        </w:r>
      </w:hyperlink>
      <w:r>
        <w:t xml:space="preserve">)</w:t>
      </w:r>
    </w:p>
    <w:p>
      <w:pPr>
        <w:pStyle w:val="BodyText"/>
      </w:pPr>
      <w:r>
        <w:t xml:space="preserve">Directors are expressly named as persons subject to SAR reporting authority under 31 U.S.C. Section 5318(g)(1). The tipping-off prohibition under Section 5318(g)(2)(A)(i) is a direct, personal legal obligation attaching to every board member who becomes aware of a SAR filing. Under 12 U.S.C. Section 1829b(j)(1), any director who willfully or through gross negligence violates recordkeeping regulations is personally liable for civil penalties of up to $10,000 per day per location. (</w:t>
      </w:r>
      <w:hyperlink r:id="rId88">
        <w:r>
          <w:rPr>
            <w:rStyle w:val="Hyperlink"/>
            <w:color w:val="0645AD"/>
            <w:u w:val="single"/>
          </w:rPr>
          <w:t xml:space="preserve">31 U.S.C. Section 5318</w:t>
        </w:r>
      </w:hyperlink>
      <w:r>
        <w:t xml:space="preserve">;</w:t>
      </w:r>
      <w:r>
        <w:t xml:space="preserve"> </w:t>
      </w:r>
      <w:hyperlink r:id="rId89">
        <w:r>
          <w:rPr>
            <w:rStyle w:val="Hyperlink"/>
            <w:color w:val="0645AD"/>
            <w:u w:val="single"/>
          </w:rPr>
          <w:t xml:space="preserve">12 U.S.C. Section 1829b</w:t>
        </w:r>
      </w:hyperlink>
      <w:r>
        <w:t xml:space="preserve">)</w:t>
      </w:r>
    </w:p>
    <w:bookmarkEnd w:id="90"/>
    <w:bookmarkStart w:id="92" w:name="X859a9e1bc477bc1724547feb4c12f00b686f36a"/>
    <w:p>
      <w:pPr>
        <w:pStyle w:val="Heading2"/>
      </w:pPr>
      <w:r>
        <w:t xml:space="preserve">B. Codified Board Notification Requirements</w:t>
      </w:r>
    </w:p>
    <w:p>
      <w:pPr>
        <w:pStyle w:val="FirstParagraph"/>
      </w:pPr>
      <w:r>
        <w:t xml:space="preserve">12 C.F.R. Section 21.11(h)(1) establishes a codified, per-filing board notification requirement: whenever a national bank files a SAR, management must promptly notify the board of directors, or a committee of directors or executive officers designated by the board to receive notice. For insider-abuse SARs, Section 21.11(h)(2) requires notification to all non-suspect directors. Failure to file a SAR may subject directors to supervisory action under Section 21.11(i). (</w:t>
      </w:r>
      <w:hyperlink r:id="rId91">
        <w:r>
          <w:rPr>
            <w:rStyle w:val="Hyperlink"/>
            <w:color w:val="0645AD"/>
            <w:u w:val="single"/>
          </w:rPr>
          <w:t xml:space="preserve">12 C.F.R. Section 21.11</w:t>
        </w:r>
      </w:hyperlink>
      <w:r>
        <w:t xml:space="preserve">)</w:t>
      </w:r>
    </w:p>
    <w:bookmarkEnd w:id="92"/>
    <w:bookmarkStart w:id="94" w:name="c.-mandatory-cease-and-desist"/>
    <w:p>
      <w:pPr>
        <w:pStyle w:val="Heading2"/>
      </w:pPr>
      <w:r>
        <w:t xml:space="preserve">C. Mandatory Cease-and-Desist</w:t>
      </w:r>
    </w:p>
    <w:p>
      <w:pPr>
        <w:pStyle w:val="FirstParagraph"/>
      </w:pPr>
      <w:r>
        <w:t xml:space="preserve">Under 12 U.S.C. Section 1818(s), the Federal Reserve must initiate a cease-and-desist action against a bank that has failed to establish BSA procedures or failed to correct previously noted deficiencies, removing agency discretion to forbear. (</w:t>
      </w:r>
      <w:hyperlink r:id="rId93">
        <w:r>
          <w:rPr>
            <w:rStyle w:val="Hyperlink"/>
            <w:color w:val="0645AD"/>
            <w:u w:val="single"/>
          </w:rPr>
          <w:t xml:space="preserve">Joint Statement on Enforcement of BSA/AML Obligations</w:t>
        </w:r>
      </w:hyperlink>
      <w:r>
        <w:t xml:space="preserve">)</w:t>
      </w:r>
    </w:p>
    <w:bookmarkEnd w:id="94"/>
    <w:bookmarkStart w:id="96" w:name="d.-board-bsa-compliance-program-approval"/>
    <w:p>
      <w:pPr>
        <w:pStyle w:val="Heading2"/>
      </w:pPr>
      <w:r>
        <w:t xml:space="preserve">D. Board BSA Compliance Program Approval</w:t>
      </w:r>
    </w:p>
    <w:p>
      <w:pPr>
        <w:pStyle w:val="FirstParagraph"/>
      </w:pPr>
      <w:r>
        <w:t xml:space="preserve">12 C.F.R. Section 211.5(m)(1) requires Edge corporation BSA compliance programs to be</w:t>
      </w:r>
      <w:r>
        <w:t xml:space="preserve"> </w:t>
      </w:r>
      <w:r>
        <w:t xml:space="preserve">“</w:t>
      </w:r>
      <w:r>
        <w:t xml:space="preserve">reduced to writing, approved by the board of directors, and noted in the minutes.</w:t>
      </w:r>
      <w:r>
        <w:t xml:space="preserve">”</w:t>
      </w:r>
      <w:r>
        <w:t xml:space="preserve"> </w:t>
      </w:r>
      <w:r>
        <w:t xml:space="preserve">(</w:t>
      </w:r>
      <w:hyperlink r:id="rId95">
        <w:r>
          <w:rPr>
            <w:rStyle w:val="Hyperlink"/>
            <w:color w:val="0645AD"/>
            <w:u w:val="single"/>
          </w:rPr>
          <w:t xml:space="preserve">12 C.F.R. Section 211.5</w:t>
        </w:r>
      </w:hyperlink>
      <w:r>
        <w:t xml:space="preserve">)</w:t>
      </w:r>
    </w:p>
    <w:bookmarkEnd w:id="96"/>
    <w:bookmarkStart w:id="98" w:name="e.-examination-expectations"/>
    <w:p>
      <w:pPr>
        <w:pStyle w:val="Heading2"/>
      </w:pPr>
      <w:r>
        <w:t xml:space="preserve">E. Examination Expectations</w:t>
      </w:r>
    </w:p>
    <w:p>
      <w:pPr>
        <w:pStyle w:val="FirstParagraph"/>
      </w:pPr>
      <w:r>
        <w:t xml:space="preserve">According to Troutman Pepper’s analysis of the FFIEC BSA/AML Examination Manual, board members have two overarching responsibilities: setting the tone at the top by establishing a culture of compliance, and ensuring adequate resources, staffing, and systems for an effective BSA/AML program. Board members may not delegate responsibilities for overseeing internal controls and audit functions; BSA/AML testing should report directly to the board or a committee of independent directors. The board must receive sufficient reporting on key risk indicators, including alert volumes, investigations, SAR filings, and timeliness.</w:t>
      </w:r>
      <w:r>
        <w:t xml:space="preserve"> </w:t>
      </w:r>
      <w:r>
        <w:rPr>
          <w:i/>
          <w:iCs/>
        </w:rPr>
        <w:t xml:space="preserve">This is a law firm’s characterization of supervisory expectations.</w:t>
      </w:r>
      <w:r>
        <w:t xml:space="preserve"> </w:t>
      </w:r>
      <w:r>
        <w:t xml:space="preserve">(</w:t>
      </w:r>
      <w:hyperlink r:id="rId97">
        <w:r>
          <w:rPr>
            <w:rStyle w:val="Hyperlink"/>
            <w:color w:val="0645AD"/>
            <w:u w:val="single"/>
          </w:rPr>
          <w:t xml:space="preserve">Troutman Pepper, Board Member Responsibilities for BSA/AML Compliance</w:t>
        </w:r>
      </w:hyperlink>
      <w:r>
        <w:t xml:space="preserve">)</w:t>
      </w:r>
    </w:p>
    <w:bookmarkEnd w:id="98"/>
    <w:bookmarkEnd w:id="99"/>
    <w:bookmarkStart w:id="101" w:name="xvi.-consumer-compliance-oversight"/>
    <w:p>
      <w:pPr>
        <w:pStyle w:val="Heading1"/>
      </w:pPr>
      <w:r>
        <w:t xml:space="preserve">XVI. Consumer Compliance Oversight</w:t>
      </w:r>
    </w:p>
    <w:p>
      <w:pPr>
        <w:pStyle w:val="FirstParagraph"/>
      </w:pPr>
      <w:r>
        <w:t xml:space="preserve">SR 21-3 requires that an effective board execute its responsibilities consistent with compliance with consumer protection laws and hold senior management accountable for effectively implementing consumer compliance controls. The board must review and approve the compliance risk management program. (</w:t>
      </w:r>
      <w:hyperlink r:id="rId39">
        <w:r>
          <w:rPr>
            <w:rStyle w:val="Hyperlink"/>
            <w:color w:val="0645AD"/>
            <w:u w:val="single"/>
          </w:rPr>
          <w:t xml:space="preserve">SR 21-3/CA 21-1 Attachment, citing SR Letter 08-8/CA Letter 08-11</w:t>
        </w:r>
      </w:hyperlink>
      <w:r>
        <w:t xml:space="preserve">)</w:t>
      </w:r>
    </w:p>
    <w:p>
      <w:pPr>
        <w:pStyle w:val="BodyText"/>
      </w:pPr>
      <w:r>
        <w:t xml:space="preserve">According to Debevoise &amp; Plimpton’s analysis, revisions to SR Letter 08-8 clarified that</w:t>
      </w:r>
      <w:r>
        <w:t xml:space="preserve"> </w:t>
      </w:r>
      <w:r>
        <w:t xml:space="preserve">“</w:t>
      </w:r>
      <w:r>
        <w:t xml:space="preserve">senior management, rather than the board, is responsible for implementing and enforcing compliance policies,</w:t>
      </w:r>
      <w:r>
        <w:t xml:space="preserve">”</w:t>
      </w:r>
      <w:r>
        <w:t xml:space="preserve"> </w:t>
      </w:r>
      <w:r>
        <w:t xml:space="preserve">while the board</w:t>
      </w:r>
      <w:r>
        <w:t xml:space="preserve"> </w:t>
      </w:r>
      <w:r>
        <w:t xml:space="preserve">“</w:t>
      </w:r>
      <w:r>
        <w:t xml:space="preserve">should develop, review, approve and monitor compliance strategy and be responsible for senior management oversight.</w:t>
      </w:r>
      <w:r>
        <w:t xml:space="preserve">”</w:t>
      </w:r>
      <w:r>
        <w:t xml:space="preserve"> </w:t>
      </w:r>
      <w:r>
        <w:rPr>
          <w:i/>
          <w:iCs/>
        </w:rPr>
        <w:t xml:space="preserve">This is a law firm’s description of the effect of the revisions.</w:t>
      </w:r>
      <w:r>
        <w:t xml:space="preserve"> </w:t>
      </w:r>
      <w:r>
        <w:t xml:space="preserve">(</w:t>
      </w:r>
      <w:hyperlink r:id="rId30">
        <w:r>
          <w:rPr>
            <w:rStyle w:val="Hyperlink"/>
            <w:color w:val="0645AD"/>
            <w:u w:val="single"/>
          </w:rPr>
          <w:t xml:space="preserve">Debevoise &amp; Plimpton, Federal Reserve Board Finalizes Board Effectiveness Guidance</w:t>
        </w:r>
      </w:hyperlink>
      <w:r>
        <w:t xml:space="preserve">)</w:t>
      </w:r>
    </w:p>
    <w:p>
      <w:pPr>
        <w:pStyle w:val="BodyText"/>
      </w:pPr>
      <w:r>
        <w:t xml:space="preserve">SR 12-17 requires the board to maintain a corporate culture emphasizing compliance with consumer protection laws and the avoidance of conflicts of interest. (</w:t>
      </w:r>
      <w:hyperlink r:id="rId27">
        <w:r>
          <w:rPr>
            <w:rStyle w:val="Hyperlink"/>
            <w:color w:val="0645AD"/>
            <w:u w:val="single"/>
          </w:rPr>
          <w:t xml:space="preserve">SR 12-17/CA 12-14</w:t>
        </w:r>
      </w:hyperlink>
      <w:r>
        <w:t xml:space="preserve">)</w:t>
      </w:r>
    </w:p>
    <w:p>
      <w:pPr>
        <w:pStyle w:val="BodyText"/>
      </w:pPr>
      <w:r>
        <w:t xml:space="preserve">The FDIC’s proposed Guidelines define</w:t>
      </w:r>
      <w:r>
        <w:t xml:space="preserve"> </w:t>
      </w:r>
      <w:r>
        <w:t xml:space="preserve">“</w:t>
      </w:r>
      <w:r>
        <w:t xml:space="preserve">corporate governance</w:t>
      </w:r>
      <w:r>
        <w:t xml:space="preserve">”</w:t>
      </w:r>
      <w:r>
        <w:t xml:space="preserve"> </w:t>
      </w:r>
      <w:r>
        <w:t xml:space="preserve">to expressly include compliance with consumer protection laws and the Community Reinvestment Act, and require the board to actively oversee management adherence to consumer compliance and to</w:t>
      </w:r>
      <w:r>
        <w:t xml:space="preserve"> </w:t>
      </w:r>
      <w:r>
        <w:t xml:space="preserve">“</w:t>
      </w:r>
      <w:r>
        <w:t xml:space="preserve">question, challenge, and when necessary, oppose</w:t>
      </w:r>
      <w:r>
        <w:t xml:space="preserve">”</w:t>
      </w:r>
      <w:r>
        <w:t xml:space="preserve"> </w:t>
      </w:r>
      <w:r>
        <w:t xml:space="preserve">non-compliant management recommendations. (</w:t>
      </w:r>
      <w:hyperlink r:id="rId40">
        <w:r>
          <w:rPr>
            <w:rStyle w:val="Hyperlink"/>
            <w:color w:val="0645AD"/>
            <w:u w:val="single"/>
          </w:rPr>
          <w:t xml:space="preserve">FDIC Proposed Guidelines, Appendix C to Part 364</w:t>
        </w:r>
      </w:hyperlink>
      <w:r>
        <w:t xml:space="preserve">)</w:t>
      </w:r>
    </w:p>
    <w:p>
      <w:pPr>
        <w:pStyle w:val="BodyText"/>
      </w:pPr>
      <w:r>
        <w:t xml:space="preserve">CFPB Regulation Z, 12 C.F.R. Section 1026.36(j)(1), requires depository institutions to establish and maintain written policies and procedures reasonably designed to ensure and monitor compliance with loan originator compensation, anti-steering, and qualification requirements, with board oversight of the program’s adequacy and functioning. (</w:t>
      </w:r>
      <w:hyperlink r:id="rId100">
        <w:r>
          <w:rPr>
            <w:rStyle w:val="Hyperlink"/>
            <w:color w:val="0645AD"/>
            <w:u w:val="single"/>
          </w:rPr>
          <w:t xml:space="preserve">12 C.F.R. Section 1026.36</w:t>
        </w:r>
      </w:hyperlink>
      <w:r>
        <w:t xml:space="preserve">)</w:t>
      </w:r>
    </w:p>
    <w:bookmarkEnd w:id="101"/>
    <w:bookmarkStart w:id="105" w:name="xvii.-safety-and-soundness-standards"/>
    <w:p>
      <w:pPr>
        <w:pStyle w:val="Heading1"/>
      </w:pPr>
      <w:r>
        <w:t xml:space="preserve">XVII. Safety and Soundness Standards</w:t>
      </w:r>
    </w:p>
    <w:p>
      <w:pPr>
        <w:pStyle w:val="FirstParagraph"/>
      </w:pPr>
      <w:r>
        <w:t xml:space="preserve">The Interagency Guidelines Establishing Standards for Safety and Soundness (Appendix A to 12 C.F.R. Part 30 (OCC); Appendix D-1 to 12 C.F.R. Part 208 (Board); Appendix A to 12 C.F.R. Part 364 (FDIC)) require internal controls, information systems, and internal audit systems that are appropriate to the institution’s size and the nature, scope, and risk of its activities. These guidelines establish minimum expectations for loan documentation, credit underwriting, interest rate exposure management, and asset quality. (</w:t>
      </w:r>
      <w:hyperlink r:id="rId102">
        <w:r>
          <w:rPr>
            <w:rStyle w:val="Hyperlink"/>
            <w:color w:val="0645AD"/>
            <w:u w:val="single"/>
          </w:rPr>
          <w:t xml:space="preserve">12 C.F.R. Part 30, Appendix A</w:t>
        </w:r>
      </w:hyperlink>
      <w:r>
        <w:t xml:space="preserve">)</w:t>
      </w:r>
    </w:p>
    <w:p>
      <w:pPr>
        <w:pStyle w:val="BodyText"/>
      </w:pPr>
      <w:r>
        <w:t xml:space="preserve">The Federal Reserve’s SR 95-51 established guidelines for rating risk management processes and internal controls, emphasizing the importance of an active role by the board and senior management, adequate policies and limits, accurate and independent measurement procedures, and strong internal controls. (</w:t>
      </w:r>
      <w:hyperlink r:id="rId103">
        <w:r>
          <w:rPr>
            <w:rStyle w:val="Hyperlink"/>
            <w:color w:val="0645AD"/>
            <w:u w:val="single"/>
          </w:rPr>
          <w:t xml:space="preserve">SR 95-51, Rating the Adequacy of Risk Management Processes and Internal Controls</w:t>
        </w:r>
      </w:hyperlink>
      <w:r>
        <w:t xml:space="preserve">)</w:t>
      </w:r>
    </w:p>
    <w:p>
      <w:pPr>
        <w:pStyle w:val="BodyText"/>
      </w:pPr>
      <w:r>
        <w:t xml:space="preserve">Under 12 U.S.C. Section 1817(a)(3), each quarterly report of condition must be attested by at least two directors (other than the officer who makes the primary declaration) that the report has been examined and is true and correct to the best of their knowledge and belief. (</w:t>
      </w:r>
      <w:hyperlink r:id="rId104">
        <w:r>
          <w:rPr>
            <w:rStyle w:val="Hyperlink"/>
            <w:color w:val="0645AD"/>
            <w:u w:val="single"/>
          </w:rPr>
          <w:t xml:space="preserve">12 U.S.C. Section 1817</w:t>
        </w:r>
      </w:hyperlink>
      <w:r>
        <w:t xml:space="preserve">)</w:t>
      </w:r>
    </w:p>
    <w:bookmarkEnd w:id="105"/>
    <w:bookmarkStart w:id="109" w:name="Xe5792d8f2ec061b3740c884ada9eb05317e8c7e"/>
    <w:p>
      <w:pPr>
        <w:pStyle w:val="Heading1"/>
      </w:pPr>
      <w:r>
        <w:t xml:space="preserve">XVIII. Conflicts of Interest and Insider Transactions</w:t>
      </w:r>
    </w:p>
    <w:p>
      <w:pPr>
        <w:pStyle w:val="FirstParagraph"/>
      </w:pPr>
      <w:r>
        <w:t xml:space="preserve">Regulation O (12 C.F.R. Part 215), implementing Section 22(h) of the Federal Reserve Act, restricts extensions of credit to insiders (directors, executive officers, and principal shareholders). All insider extensions of credit must be on substantially the same terms as comparable transactions with the general public and must not involve more than normal risk of repayment. Extensions exceeding specified thresholds require prior approval by a majority of the</w:t>
      </w:r>
      <w:r>
        <w:t xml:space="preserve"> </w:t>
      </w:r>
      <w:r>
        <w:rPr>
          <w:b/>
          <w:bCs/>
        </w:rPr>
        <w:t xml:space="preserve">entire</w:t>
      </w:r>
      <w:r>
        <w:t xml:space="preserve"> </w:t>
      </w:r>
      <w:r>
        <w:t xml:space="preserve">board, with the interested party abstaining from voting directly or indirectly. This is a non-delegable, full-board obligation. (</w:t>
      </w:r>
      <w:hyperlink r:id="rId106">
        <w:r>
          <w:rPr>
            <w:rStyle w:val="Hyperlink"/>
            <w:color w:val="0645AD"/>
            <w:u w:val="single"/>
          </w:rPr>
          <w:t xml:space="preserve">12 C.F.R. Section 337.3</w:t>
        </w:r>
      </w:hyperlink>
      <w:r>
        <w:t xml:space="preserve">;</w:t>
      </w:r>
      <w:r>
        <w:t xml:space="preserve"> </w:t>
      </w:r>
      <w:hyperlink r:id="rId107">
        <w:r>
          <w:rPr>
            <w:rStyle w:val="Hyperlink"/>
            <w:color w:val="0645AD"/>
            <w:u w:val="single"/>
          </w:rPr>
          <w:t xml:space="preserve">SR 21-20: Regulation O and Investment Funds</w:t>
        </w:r>
      </w:hyperlink>
      <w:r>
        <w:t xml:space="preserve">)</w:t>
      </w:r>
    </w:p>
    <w:p>
      <w:pPr>
        <w:pStyle w:val="BodyText"/>
      </w:pPr>
      <w:r>
        <w:t xml:space="preserve">The interagency no-action framework (SR 23-10) addresses the structural complication created when large index-fund complexes, by accumulating more than 10% of voting securities, become</w:t>
      </w:r>
      <w:r>
        <w:t xml:space="preserve"> </w:t>
      </w:r>
      <w:r>
        <w:t xml:space="preserve">“</w:t>
      </w:r>
      <w:r>
        <w:t xml:space="preserve">principal shareholders</w:t>
      </w:r>
      <w:r>
        <w:t xml:space="preserve">”</w:t>
      </w:r>
      <w:r>
        <w:t xml:space="preserve"> </w:t>
      </w:r>
      <w:r>
        <w:t xml:space="preserve">under Regulation O and thereby subject thousands of portfolio companies to insider lending restrictions. The agencies have exercised discretion not to bring enforcement action against asset managers that are principal shareholders or against banks for which such asset managers are principal shareholders, provided certain conditions are met. (</w:t>
      </w:r>
      <w:hyperlink r:id="rId108">
        <w:r>
          <w:rPr>
            <w:rStyle w:val="Hyperlink"/>
            <w:color w:val="0645AD"/>
            <w:u w:val="single"/>
          </w:rPr>
          <w:t xml:space="preserve">SR 23-10: Regulation O and Investment Funds</w:t>
        </w:r>
      </w:hyperlink>
      <w:r>
        <w:t xml:space="preserve">)</w:t>
      </w:r>
    </w:p>
    <w:bookmarkEnd w:id="109"/>
    <w:bookmarkStart w:id="115" w:name="X25317958bdbe0011efd74b1c30c405422fa51b4"/>
    <w:p>
      <w:pPr>
        <w:pStyle w:val="Heading1"/>
      </w:pPr>
      <w:r>
        <w:t xml:space="preserve">XIX. Board Oversight of Senior Management</w:t>
      </w:r>
    </w:p>
    <w:bookmarkStart w:id="111" w:name="a.-accountability-frameworks"/>
    <w:p>
      <w:pPr>
        <w:pStyle w:val="Heading2"/>
      </w:pPr>
      <w:r>
        <w:t xml:space="preserve">A. Accountability Frameworks</w:t>
      </w:r>
    </w:p>
    <w:p>
      <w:pPr>
        <w:pStyle w:val="FirstParagraph"/>
      </w:pPr>
      <w:r>
        <w:t xml:space="preserve">SR 21-3 requires that an effective board oversee and hold senior management accountable for effectively implementing strategy, maintaining an effective risk management framework, and maintaining a system of internal controls. The board must engage in robust inquiry into risk drivers, adherence to strategy and risk appetite, and material or persistent deficiencies. An effective board also reviews reports of internal and external complaints, including whistleblower reports. (</w:t>
      </w:r>
      <w:hyperlink r:id="rId39">
        <w:r>
          <w:rPr>
            <w:rStyle w:val="Hyperlink"/>
            <w:color w:val="0645AD"/>
            <w:u w:val="single"/>
          </w:rPr>
          <w:t xml:space="preserve">SR 21-3/CA 21-1 Attachment</w:t>
        </w:r>
      </w:hyperlink>
      <w:r>
        <w:t xml:space="preserve">)</w:t>
      </w:r>
    </w:p>
    <w:p>
      <w:pPr>
        <w:pStyle w:val="BodyText"/>
      </w:pPr>
      <w:r>
        <w:t xml:space="preserve">The OCC Heightened Standards require the board to</w:t>
      </w:r>
      <w:r>
        <w:t xml:space="preserve"> </w:t>
      </w:r>
      <w:r>
        <w:t xml:space="preserve">“</w:t>
      </w:r>
      <w:r>
        <w:t xml:space="preserve">actively oversee the covered bank’s risk-taking activities and hold management accountable for adhering to the risk governance framework.</w:t>
      </w:r>
      <w:r>
        <w:t xml:space="preserve">”</w:t>
      </w:r>
      <w:r>
        <w:t xml:space="preserve"> </w:t>
      </w:r>
      <w:r>
        <w:t xml:space="preserve">In providing active oversight, the board may rely on independent risk management and internal audit assessments to</w:t>
      </w:r>
      <w:r>
        <w:t xml:space="preserve"> </w:t>
      </w:r>
      <w:r>
        <w:t xml:space="preserve">“</w:t>
      </w:r>
      <w:r>
        <w:t xml:space="preserve">question, challenge, and when necessary, oppose recommendations and decisions made by management.</w:t>
      </w:r>
      <w:r>
        <w:t xml:space="preserve">”</w:t>
      </w:r>
      <w:r>
        <w:t xml:space="preserve"> </w:t>
      </w:r>
      <w:r>
        <w:t xml:space="preserve">(</w:t>
      </w:r>
      <w:hyperlink r:id="rId32">
        <w:r>
          <w:rPr>
            <w:rStyle w:val="Hyperlink"/>
            <w:color w:val="0645AD"/>
            <w:u w:val="single"/>
          </w:rPr>
          <w:t xml:space="preserve">OCC Appendix D to 12 C.F.R. Part 30</w:t>
        </w:r>
      </w:hyperlink>
      <w:r>
        <w:t xml:space="preserve">)</w:t>
      </w:r>
    </w:p>
    <w:p>
      <w:pPr>
        <w:pStyle w:val="BodyText"/>
      </w:pPr>
      <w:r>
        <w:t xml:space="preserve">Notably, the OCC’s preamble to the final Heightened Standards explains that</w:t>
      </w:r>
      <w:r>
        <w:t xml:space="preserve"> </w:t>
      </w:r>
      <w:r>
        <w:t xml:space="preserve">“</w:t>
      </w:r>
      <w:r>
        <w:t xml:space="preserve">ensure</w:t>
      </w:r>
      <w:r>
        <w:t xml:space="preserve">”</w:t>
      </w:r>
      <w:r>
        <w:t xml:space="preserve"> </w:t>
      </w:r>
      <w:r>
        <w:t xml:space="preserve">was deliberately replaced with</w:t>
      </w:r>
      <w:r>
        <w:t xml:space="preserve"> </w:t>
      </w:r>
      <w:r>
        <w:t xml:space="preserve">“</w:t>
      </w:r>
      <w:r>
        <w:t xml:space="preserve">require</w:t>
      </w:r>
      <w:r>
        <w:t xml:space="preserve">”</w:t>
      </w:r>
      <w:r>
        <w:t xml:space="preserve"> </w:t>
      </w:r>
      <w:r>
        <w:t xml:space="preserve">in describing the board’s obligations,</w:t>
      </w:r>
      <w:r>
        <w:t xml:space="preserve"> </w:t>
      </w:r>
      <w:r>
        <w:t xml:space="preserve">“</w:t>
      </w:r>
      <w:r>
        <w:t xml:space="preserve">aligning the board’s responsibilities with its traditional strategic and oversight role rather than imposing managerial responsibilities.</w:t>
      </w:r>
      <w:r>
        <w:t xml:space="preserve">”</w:t>
      </w:r>
      <w:r>
        <w:t xml:space="preserve"> </w:t>
      </w:r>
      <w:r>
        <w:t xml:space="preserve">(</w:t>
      </w:r>
      <w:hyperlink r:id="rId110">
        <w:r>
          <w:rPr>
            <w:rStyle w:val="Hyperlink"/>
            <w:color w:val="0645AD"/>
            <w:u w:val="single"/>
          </w:rPr>
          <w:t xml:space="preserve">OCC Bulletin 2014-45, Heightened Standards for Large Banks</w:t>
        </w:r>
      </w:hyperlink>
      <w:r>
        <w:t xml:space="preserve">)</w:t>
      </w:r>
    </w:p>
    <w:bookmarkEnd w:id="111"/>
    <w:bookmarkStart w:id="112" w:name="b.-information-rights"/>
    <w:p>
      <w:pPr>
        <w:pStyle w:val="Heading2"/>
      </w:pPr>
      <w:r>
        <w:t xml:space="preserve">B. Information Rights</w:t>
      </w:r>
    </w:p>
    <w:p>
      <w:pPr>
        <w:pStyle w:val="FirstParagraph"/>
      </w:pPr>
      <w:r>
        <w:t xml:space="preserve">SR 21-3 requires that an effective board direct senior management to provide information sufficient in scope, detail, and analysis for sound decision-making, that is timely, accurate, and well organized. An effective board evaluates the sufficiency and quality of information it receives and directs improvements as needed. (</w:t>
      </w:r>
      <w:hyperlink r:id="rId39">
        <w:r>
          <w:rPr>
            <w:rStyle w:val="Hyperlink"/>
            <w:color w:val="0645AD"/>
            <w:u w:val="single"/>
          </w:rPr>
          <w:t xml:space="preserve">SR 21-3/CA 21-1 Attachment</w:t>
        </w:r>
      </w:hyperlink>
      <w:r>
        <w:t xml:space="preserve">)</w:t>
      </w:r>
    </w:p>
    <w:bookmarkEnd w:id="112"/>
    <w:bookmarkStart w:id="113" w:name="c.-independent-escalation-to-the-board"/>
    <w:p>
      <w:pPr>
        <w:pStyle w:val="Heading2"/>
      </w:pPr>
      <w:r>
        <w:t xml:space="preserve">C. Independent Escalation to the Board</w:t>
      </w:r>
    </w:p>
    <w:p>
      <w:pPr>
        <w:pStyle w:val="FirstParagraph"/>
      </w:pPr>
      <w:r>
        <w:t xml:space="preserve">The OCC Heightened Standards require independent risk management to identify and communicate directly to the board or risk committee: (1) material risks and instances where risk assessments differ from the CEO; and (2) significant instances where the CEO is not adhering to, or holding front-line units accountable for adhering to, the risk governance framework. This creates a direct escalation path that bypasses the CEO. (</w:t>
      </w:r>
      <w:hyperlink r:id="rId32">
        <w:r>
          <w:rPr>
            <w:rStyle w:val="Hyperlink"/>
            <w:color w:val="0645AD"/>
            <w:u w:val="single"/>
          </w:rPr>
          <w:t xml:space="preserve">OCC Appendix D to 12 C.F.R. Part 30</w:t>
        </w:r>
      </w:hyperlink>
      <w:r>
        <w:t xml:space="preserve">)</w:t>
      </w:r>
    </w:p>
    <w:bookmarkEnd w:id="113"/>
    <w:bookmarkStart w:id="114" w:name="X45013c0aa380bb680ac93e87bb92e6bc4974214"/>
    <w:p>
      <w:pPr>
        <w:pStyle w:val="Heading2"/>
      </w:pPr>
      <w:r>
        <w:t xml:space="preserve">D. Compensation as an Accountability Tool</w:t>
      </w:r>
    </w:p>
    <w:p>
      <w:pPr>
        <w:pStyle w:val="FirstParagraph"/>
      </w:pPr>
      <w:r>
        <w:t xml:space="preserve">The OCC Heightened Standards require compensation and performance management programs that, among other things, ensure front-line unit compensation plans appropriately consider issues identified by independent risk management and internal audit, and prohibit incentive-based arrangements that encourage inappropriate risks. (</w:t>
      </w:r>
      <w:hyperlink r:id="rId32">
        <w:r>
          <w:rPr>
            <w:rStyle w:val="Hyperlink"/>
            <w:color w:val="0645AD"/>
            <w:u w:val="single"/>
          </w:rPr>
          <w:t xml:space="preserve">OCC Appendix D to 12 C.F.R. Part 30</w:t>
        </w:r>
      </w:hyperlink>
      <w:r>
        <w:t xml:space="preserve">)</w:t>
      </w:r>
    </w:p>
    <w:p>
      <w:pPr>
        <w:pStyle w:val="BodyText"/>
      </w:pPr>
      <w:r>
        <w:t xml:space="preserve">12 C.F.R. Section 252.33(a)(2) requires the holding company’s risk-management framework to include</w:t>
      </w:r>
      <w:r>
        <w:t xml:space="preserve"> </w:t>
      </w:r>
      <w:r>
        <w:t xml:space="preserve">“</w:t>
      </w:r>
      <w:r>
        <w:t xml:space="preserve">processes and systems to integrate risk management and associated controls with management goals and its compensation structure.</w:t>
      </w:r>
      <w:r>
        <w:t xml:space="preserve">”</w:t>
      </w:r>
      <w:r>
        <w:t xml:space="preserve"> </w:t>
      </w:r>
      <w:r>
        <w:t xml:space="preserve">(</w:t>
      </w:r>
      <w:hyperlink r:id="rId53">
        <w:r>
          <w:rPr>
            <w:rStyle w:val="Hyperlink"/>
            <w:color w:val="0645AD"/>
            <w:u w:val="single"/>
          </w:rPr>
          <w:t xml:space="preserve">12 C.F.R. Section 252.33</w:t>
        </w:r>
      </w:hyperlink>
      <w:r>
        <w:t xml:space="preserve">)</w:t>
      </w:r>
    </w:p>
    <w:bookmarkEnd w:id="114"/>
    <w:bookmarkEnd w:id="115"/>
    <w:bookmarkStart w:id="120" w:name="xx.-group-structure-governance"/>
    <w:p>
      <w:pPr>
        <w:pStyle w:val="Heading1"/>
      </w:pPr>
      <w:r>
        <w:t xml:space="preserve">XX. Group Structure Governance</w:t>
      </w:r>
    </w:p>
    <w:bookmarkStart w:id="116" w:name="X2e8c3cb90213d8ad7e6fa1b4f339364ec9c23fa"/>
    <w:p>
      <w:pPr>
        <w:pStyle w:val="Heading2"/>
      </w:pPr>
      <w:r>
        <w:t xml:space="preserve">A. Parent Board Obligations Over IDI Subsidiaries</w:t>
      </w:r>
    </w:p>
    <w:p>
      <w:pPr>
        <w:pStyle w:val="FirstParagraph"/>
      </w:pPr>
      <w:r>
        <w:t xml:space="preserve">SR 12-17 requires that a consolidated organization serve as a source of financial and managerial strength to its banking offices and that the parent company and nondepository subsidiaries not present material risks to affiliated banking offices. (</w:t>
      </w:r>
      <w:hyperlink r:id="rId27">
        <w:r>
          <w:rPr>
            <w:rStyle w:val="Hyperlink"/>
            <w:color w:val="0645AD"/>
            <w:u w:val="single"/>
          </w:rPr>
          <w:t xml:space="preserve">SR 12-17/CA 12-14</w:t>
        </w:r>
      </w:hyperlink>
      <w:r>
        <w:t xml:space="preserve">)</w:t>
      </w:r>
    </w:p>
    <w:bookmarkEnd w:id="116"/>
    <w:bookmarkStart w:id="117" w:name="Xc10a2b1ebe91c8a286ccebf89c36d0606af6712"/>
    <w:p>
      <w:pPr>
        <w:pStyle w:val="Heading2"/>
      </w:pPr>
      <w:r>
        <w:t xml:space="preserve">B. Risk Framework Relationship Between Parent and Subsidiary</w:t>
      </w:r>
    </w:p>
    <w:p>
      <w:pPr>
        <w:pStyle w:val="FirstParagraph"/>
      </w:pPr>
      <w:r>
        <w:t xml:space="preserve">The OCC Heightened Standards permit a covered bank to adopt its parent company’s risk governance framework if the frameworks meet minimum standards and the risk profiles are substantially the same, demonstrated through a documented assessment conducted at least annually. When risk profiles diverge, the covered bank must establish its own framework to ensure its risk profile is</w:t>
      </w:r>
      <w:r>
        <w:t xml:space="preserve"> </w:t>
      </w:r>
      <w:r>
        <w:t xml:space="preserve">“</w:t>
      </w:r>
      <w:r>
        <w:t xml:space="preserve">easily distinguished and separate from that of its parent</w:t>
      </w:r>
      <w:r>
        <w:t xml:space="preserve">”</w:t>
      </w:r>
      <w:r>
        <w:t xml:space="preserve"> </w:t>
      </w:r>
      <w:r>
        <w:t xml:space="preserve">and that its</w:t>
      </w:r>
      <w:r>
        <w:t xml:space="preserve"> </w:t>
      </w:r>
      <w:r>
        <w:t xml:space="preserve">“</w:t>
      </w:r>
      <w:r>
        <w:t xml:space="preserve">safety and soundness is not jeopardized by decisions made by the parent company’s board of directors and management.</w:t>
      </w:r>
      <w:r>
        <w:t xml:space="preserve">”</w:t>
      </w:r>
      <w:r>
        <w:t xml:space="preserve"> </w:t>
      </w:r>
      <w:r>
        <w:t xml:space="preserve">(</w:t>
      </w:r>
      <w:hyperlink r:id="rId43">
        <w:r>
          <w:rPr>
            <w:rStyle w:val="Hyperlink"/>
            <w:color w:val="0645AD"/>
            <w:u w:val="single"/>
          </w:rPr>
          <w:t xml:space="preserve">OCC Appendix D to 12 C.F.R. Part 30</w:t>
        </w:r>
      </w:hyperlink>
      <w:r>
        <w:t xml:space="preserve">)</w:t>
      </w:r>
    </w:p>
    <w:bookmarkEnd w:id="117"/>
    <w:bookmarkStart w:id="119" w:name="c.-foreign-gsib-ihc-requirements"/>
    <w:p>
      <w:pPr>
        <w:pStyle w:val="Heading2"/>
      </w:pPr>
      <w:r>
        <w:t xml:space="preserve">C. Foreign GSIB IHC Requirements</w:t>
      </w:r>
    </w:p>
    <w:p>
      <w:pPr>
        <w:pStyle w:val="FirstParagraph"/>
      </w:pPr>
      <w:r>
        <w:t xml:space="preserve">Under 12 C.F.R. Section 252.153, foreign banking organizations with combined U.S. assets of $100 billion or more must establish a U.S. intermediate holding company with a board-level risk committee that approves risk-management policies, meets at least quarterly, includes at least one member with risk management experience in large, complex firms, and includes at least one independent member. (</w:t>
      </w:r>
      <w:hyperlink r:id="rId118">
        <w:r>
          <w:rPr>
            <w:rStyle w:val="Hyperlink"/>
            <w:color w:val="0645AD"/>
            <w:u w:val="single"/>
          </w:rPr>
          <w:t xml:space="preserve">12 C.F.R. Section 252.153</w:t>
        </w:r>
      </w:hyperlink>
      <w:r>
        <w:t xml:space="preserve">)</w:t>
      </w:r>
    </w:p>
    <w:bookmarkEnd w:id="119"/>
    <w:bookmarkEnd w:id="120"/>
    <w:bookmarkStart w:id="123" w:name="Xf5762d3da5431ba4cf0eb6d78d239efeedab070"/>
    <w:p>
      <w:pPr>
        <w:pStyle w:val="Heading1"/>
      </w:pPr>
      <w:r>
        <w:t xml:space="preserve">XXI. Whistleblower Programs, Corporate Culture, and Ethical Conduct</w:t>
      </w:r>
    </w:p>
    <w:bookmarkStart w:id="121" w:name="a.-whistleblower-report-review"/>
    <w:p>
      <w:pPr>
        <w:pStyle w:val="Heading2"/>
      </w:pPr>
      <w:r>
        <w:t xml:space="preserve">A. Whistleblower Report Review</w:t>
      </w:r>
    </w:p>
    <w:p>
      <w:pPr>
        <w:pStyle w:val="FirstParagraph"/>
      </w:pPr>
      <w:r>
        <w:t xml:space="preserve">SR 21-3 states that an effective board reviews reports of internal and external complaints, including whistleblower reports. According to Covington &amp; Burling’s analysis, the Federal Reserve did not include a materiality qualifier, describe the complaint types requiring board review, or specify appropriate follow-up actions, creating interpretive ambiguity.</w:t>
      </w:r>
      <w:r>
        <w:t xml:space="preserve"> </w:t>
      </w:r>
      <w:r>
        <w:rPr>
          <w:i/>
          <w:iCs/>
        </w:rPr>
        <w:t xml:space="preserve">This is a law firm’s interpretive observation.</w:t>
      </w:r>
      <w:r>
        <w:t xml:space="preserve"> </w:t>
      </w:r>
      <w:r>
        <w:t xml:space="preserve">(</w:t>
      </w:r>
      <w:hyperlink r:id="rId39">
        <w:r>
          <w:rPr>
            <w:rStyle w:val="Hyperlink"/>
            <w:color w:val="0645AD"/>
            <w:u w:val="single"/>
          </w:rPr>
          <w:t xml:space="preserve">SR 21-3/CA 21-1 Attachment</w:t>
        </w:r>
      </w:hyperlink>
      <w:r>
        <w:t xml:space="preserve">;</w:t>
      </w:r>
      <w:r>
        <w:t xml:space="preserve"> </w:t>
      </w:r>
      <w:hyperlink r:id="rId48">
        <w:r>
          <w:rPr>
            <w:rStyle w:val="Hyperlink"/>
            <w:color w:val="0645AD"/>
            <w:u w:val="single"/>
          </w:rPr>
          <w:t xml:space="preserve">Covington &amp; Burling, Prepare to Meet New Fed Expectations on Effective Boards</w:t>
        </w:r>
      </w:hyperlink>
      <w:r>
        <w:t xml:space="preserve">)</w:t>
      </w:r>
    </w:p>
    <w:bookmarkEnd w:id="121"/>
    <w:bookmarkStart w:id="122" w:name="b.-corporate-culture"/>
    <w:p>
      <w:pPr>
        <w:pStyle w:val="Heading2"/>
      </w:pPr>
      <w:r>
        <w:t xml:space="preserve">B. Corporate Culture</w:t>
      </w:r>
    </w:p>
    <w:p>
      <w:pPr>
        <w:pStyle w:val="FirstParagraph"/>
      </w:pPr>
      <w:r>
        <w:t xml:space="preserve">SR 12-17 requires the board to establish and maintain a corporate culture emphasizing compliance with laws and regulations, consumer protection, avoidance of conflicts of interest, and management of reputational and legal risks. (</w:t>
      </w:r>
      <w:hyperlink r:id="rId27">
        <w:r>
          <w:rPr>
            <w:rStyle w:val="Hyperlink"/>
            <w:color w:val="0645AD"/>
            <w:u w:val="single"/>
          </w:rPr>
          <w:t xml:space="preserve">SR 12-17/CA 12-14</w:t>
        </w:r>
      </w:hyperlink>
      <w:r>
        <w:t xml:space="preserve">)</w:t>
      </w:r>
    </w:p>
    <w:p>
      <w:pPr>
        <w:pStyle w:val="BodyText"/>
      </w:pPr>
      <w:r>
        <w:t xml:space="preserve">The FDIC’s proposed Guidelines require the board to establish a corporate culture that promotes responsible, ethical behavior and does not condone violations of law, regulation, or policy, and to establish a written code of ethics including a whistleblower policy with anti-retaliation provisions, with annual board review. (</w:t>
      </w:r>
      <w:hyperlink r:id="rId40">
        <w:r>
          <w:rPr>
            <w:rStyle w:val="Hyperlink"/>
            <w:color w:val="0645AD"/>
            <w:u w:val="single"/>
          </w:rPr>
          <w:t xml:space="preserve">FDIC Proposed Guidelines, Appendix C to Part 364</w:t>
        </w:r>
      </w:hyperlink>
      <w:r>
        <w:t xml:space="preserve">)</w:t>
      </w:r>
    </w:p>
    <w:bookmarkEnd w:id="122"/>
    <w:bookmarkEnd w:id="123"/>
    <w:bookmarkStart w:id="129" w:name="Xae3e28872fcbe8c18afb9d007475c84224012cf"/>
    <w:p>
      <w:pPr>
        <w:pStyle w:val="Heading1"/>
      </w:pPr>
      <w:r>
        <w:t xml:space="preserve">XXII. Enforcement Exposure and Director Liability</w:t>
      </w:r>
    </w:p>
    <w:bookmarkStart w:id="124" w:name="a.-fiduciary-duties"/>
    <w:p>
      <w:pPr>
        <w:pStyle w:val="Heading2"/>
      </w:pPr>
      <w:r>
        <w:t xml:space="preserve">A. Fiduciary Duties</w:t>
      </w:r>
    </w:p>
    <w:p>
      <w:pPr>
        <w:pStyle w:val="FirstParagraph"/>
      </w:pPr>
      <w:r>
        <w:t xml:space="preserve">Under state corporate law (typically Delaware), directors owe duties of care and loyalty, including the</w:t>
      </w:r>
      <w:r>
        <w:t xml:space="preserve"> </w:t>
      </w:r>
      <w:r>
        <w:rPr>
          <w:i/>
          <w:iCs/>
        </w:rPr>
        <w:t xml:space="preserve">Caremark</w:t>
      </w:r>
      <w:r>
        <w:t xml:space="preserve"> </w:t>
      </w:r>
      <w:r>
        <w:t xml:space="preserve">duty of oversight, requiring active monitoring of corporate performance and awareness of risks requiring attention. According to Troutman Pepper’s analysis, directors may be held liable for a conscious failure to implement adequate oversight systems or a sustained failure to exercise oversight.</w:t>
      </w:r>
      <w:r>
        <w:t xml:space="preserve"> </w:t>
      </w:r>
      <w:r>
        <w:rPr>
          <w:i/>
          <w:iCs/>
        </w:rPr>
        <w:t xml:space="preserve">This is a law firm’s characterization of Delaware case law.</w:t>
      </w:r>
      <w:r>
        <w:t xml:space="preserve"> </w:t>
      </w:r>
      <w:r>
        <w:t xml:space="preserve">(</w:t>
      </w:r>
      <w:hyperlink r:id="rId97">
        <w:r>
          <w:rPr>
            <w:rStyle w:val="Hyperlink"/>
            <w:color w:val="0645AD"/>
            <w:u w:val="single"/>
          </w:rPr>
          <w:t xml:space="preserve">Troutman Pepper, Board Member Responsibilities for BSA/AML Compliance</w:t>
        </w:r>
      </w:hyperlink>
      <w:r>
        <w:t xml:space="preserve">)</w:t>
      </w:r>
    </w:p>
    <w:bookmarkEnd w:id="124"/>
    <w:bookmarkStart w:id="126" w:name="b.-federal-enforcement-authority"/>
    <w:p>
      <w:pPr>
        <w:pStyle w:val="Heading2"/>
      </w:pPr>
      <w:r>
        <w:t xml:space="preserve">B. Federal Enforcement Authority</w:t>
      </w:r>
    </w:p>
    <w:p>
      <w:pPr>
        <w:pStyle w:val="FirstParagraph"/>
      </w:pPr>
      <w:r>
        <w:t xml:space="preserve">Under 12 U.S.C. Section 1818(e)(1), the appropriate Federal banking agency may remove or prohibit a director upon finding: (1) a violation of law, unsafe or unsound practice, or breach of fiduciary duty; (2) resulting in financial loss, prejudice to depositors, or financial gain to the director; and (3) involving personal dishonesty or willful or continuing disregard for safety or soundness. (</w:t>
      </w:r>
      <w:hyperlink r:id="rId125">
        <w:r>
          <w:rPr>
            <w:rStyle w:val="Hyperlink"/>
            <w:color w:val="0645AD"/>
            <w:u w:val="single"/>
          </w:rPr>
          <w:t xml:space="preserve">12 U.S.C. Section 1818</w:t>
        </w:r>
      </w:hyperlink>
      <w:r>
        <w:t xml:space="preserve">)</w:t>
      </w:r>
    </w:p>
    <w:p>
      <w:pPr>
        <w:pStyle w:val="BodyText"/>
      </w:pPr>
      <w:r>
        <w:t xml:space="preserve">Under Section 1818(e)(2), a director with knowledge that an institution-affiliated party has committed a non-inadvertent BSA violation may be served with a removal notice, with the agency considering whether the director took appropriate action to stop or prevent recurrence. (</w:t>
      </w:r>
      <w:hyperlink r:id="rId125">
        <w:r>
          <w:rPr>
            <w:rStyle w:val="Hyperlink"/>
            <w:color w:val="0645AD"/>
            <w:u w:val="single"/>
          </w:rPr>
          <w:t xml:space="preserve">12 U.S.C. Section 1818</w:t>
        </w:r>
      </w:hyperlink>
      <w:r>
        <w:t xml:space="preserve">)</w:t>
      </w:r>
    </w:p>
    <w:p>
      <w:pPr>
        <w:pStyle w:val="BodyText"/>
      </w:pPr>
      <w:r>
        <w:t xml:space="preserve">Section 1818(b)(8) provides that an adverse CAMELS component rating for management that is not corrected may constitute an unsafe or unsound practice, creating a direct pathway from supervisory dissatisfaction with board governance to formal enforcement action. (</w:t>
      </w:r>
      <w:hyperlink r:id="rId125">
        <w:r>
          <w:rPr>
            <w:rStyle w:val="Hyperlink"/>
            <w:color w:val="0645AD"/>
            <w:u w:val="single"/>
          </w:rPr>
          <w:t xml:space="preserve">12 U.S.C. Section 1818</w:t>
        </w:r>
      </w:hyperlink>
      <w:r>
        <w:t xml:space="preserve">)</w:t>
      </w:r>
    </w:p>
    <w:bookmarkEnd w:id="126"/>
    <w:bookmarkStart w:id="127" w:name="c.-civil-money-penalties"/>
    <w:p>
      <w:pPr>
        <w:pStyle w:val="Heading2"/>
      </w:pPr>
      <w:r>
        <w:t xml:space="preserve">C. Civil Money Penalties</w:t>
      </w:r>
    </w:p>
    <w:p>
      <w:pPr>
        <w:pStyle w:val="FirstParagraph"/>
      </w:pPr>
      <w:r>
        <w:t xml:space="preserve">The three-tier CMP structure under Section 1818(i)(2) applies to directors: Tier One (up to $5,000 per day); Tier Two (up to $25,000 per day for patterns of misconduct or more than minimal loss); Tier Three (up to $1,000,000 per day for knowing violations causing substantial loss). Directors who resign remain subject to agency jurisdiction for six years after departure. (</w:t>
      </w:r>
      <w:hyperlink r:id="rId125">
        <w:r>
          <w:rPr>
            <w:rStyle w:val="Hyperlink"/>
            <w:color w:val="0645AD"/>
            <w:u w:val="single"/>
          </w:rPr>
          <w:t xml:space="preserve">12 U.S.C. Section 1818</w:t>
        </w:r>
      </w:hyperlink>
      <w:r>
        <w:t xml:space="preserve">)</w:t>
      </w:r>
    </w:p>
    <w:bookmarkEnd w:id="127"/>
    <w:bookmarkStart w:id="128" w:name="d.-industry-wide-prohibition"/>
    <w:p>
      <w:pPr>
        <w:pStyle w:val="Heading2"/>
      </w:pPr>
      <w:r>
        <w:t xml:space="preserve">D. Industry-Wide Prohibition</w:t>
      </w:r>
    </w:p>
    <w:p>
      <w:pPr>
        <w:pStyle w:val="FirstParagraph"/>
      </w:pPr>
      <w:r>
        <w:t xml:space="preserve">Any person removed or suspended under a Section 8(e) or 8(g) order may not hold any office in or participate in the conduct of the affairs of any insured depository institution, insured credit union, Farm Credit institution, or Federal Home loan bank. (</w:t>
      </w:r>
      <w:hyperlink r:id="rId125">
        <w:r>
          <w:rPr>
            <w:rStyle w:val="Hyperlink"/>
            <w:color w:val="0645AD"/>
            <w:u w:val="single"/>
          </w:rPr>
          <w:t xml:space="preserve">12 U.S.C. Section 1818</w:t>
        </w:r>
      </w:hyperlink>
      <w:r>
        <w:t xml:space="preserve">)</w:t>
      </w:r>
    </w:p>
    <w:bookmarkEnd w:id="128"/>
    <w:bookmarkEnd w:id="129"/>
    <w:bookmarkStart w:id="138" w:name="X5ef88bc93bfb63114d4937004acbc2f7a467ae5"/>
    <w:p>
      <w:pPr>
        <w:pStyle w:val="Heading1"/>
      </w:pPr>
      <w:r>
        <w:t xml:space="preserve">XXIII. Regulatory Reform Perspectives: Identifying Duplicative, Overlapping, and Unduly Burdensome Requirements</w:t>
      </w:r>
    </w:p>
    <w:bookmarkStart w:id="130" w:name="a.-the-structural-problem"/>
    <w:p>
      <w:pPr>
        <w:pStyle w:val="Heading2"/>
      </w:pPr>
      <w:r>
        <w:t xml:space="preserve">A. The Structural Problem</w:t>
      </w:r>
    </w:p>
    <w:p>
      <w:pPr>
        <w:pStyle w:val="FirstParagraph"/>
      </w:pPr>
      <w:r>
        <w:t xml:space="preserve">The inventory developed in the preceding sections documents a board governance regime of extraordinary density. Category I GSIB boards are simultaneously subject to binding regulations from multiple agencies, operationally mandatory supervisory guidance from multiple agencies, interagency standards, domain-specific approval and reporting requirements, and qualitative supervisory expectations whose content is determined through examination rather than rulemaking.</w:t>
      </w:r>
    </w:p>
    <w:p>
      <w:pPr>
        <w:pStyle w:val="BodyText"/>
      </w:pPr>
      <w:r>
        <w:t xml:space="preserve">This framework did not emerge from a single, coherent regulatory design. Obligations accumulated piecemeal, from multiple agencies exercising overlapping jurisdiction, in response to successive crisis events, through a variety of legal instruments, without systematic mechanisms for removing or consolidating prior requirements as new ones were added. The result is a ratchet effect: obligations accumulate upward but are rarely removed.</w:t>
      </w:r>
    </w:p>
    <w:bookmarkEnd w:id="130"/>
    <w:bookmarkStart w:id="131" w:name="b.-categories-of-identified-overlap"/>
    <w:p>
      <w:pPr>
        <w:pStyle w:val="Heading2"/>
      </w:pPr>
      <w:r>
        <w:t xml:space="preserve">B. Categories of Identified Overlap</w:t>
      </w:r>
    </w:p>
    <w:p>
      <w:pPr>
        <w:pStyle w:val="FirstParagraph"/>
      </w:pPr>
      <w:r>
        <w:rPr>
          <w:b/>
          <w:bCs/>
        </w:rPr>
        <w:t xml:space="preserve">1. Cross-Agency Duplication: Federal Reserve / OCC.</w:t>
      </w:r>
      <w:r>
        <w:t xml:space="preserve"> </w:t>
      </w:r>
      <w:r>
        <w:t xml:space="preserve">The most structurally significant duplication. The Federal Reserve’s Enhanced Prudential Standards and the OCC’s Heightened Standards impose parallel board obligations on the same organizational complex: dual approval of risk appetite statements, dual risk committee obligations, dual documentation and reporting requirements. The OCC itself has acknowledged this problem in its proposed rulemaking, soliciting comment on whether to</w:t>
      </w:r>
      <w:r>
        <w:t xml:space="preserve"> </w:t>
      </w:r>
      <w:r>
        <w:t xml:space="preserve">“</w:t>
      </w:r>
      <w:r>
        <w:t xml:space="preserve">remove or adjust duplicative standards.</w:t>
      </w:r>
      <w:r>
        <w:t xml:space="preserve">”</w:t>
      </w:r>
      <w:r>
        <w:t xml:space="preserve"> </w:t>
      </w:r>
      <w:r>
        <w:t xml:space="preserve">(</w:t>
      </w:r>
      <w:hyperlink r:id="rId33">
        <w:r>
          <w:rPr>
            <w:rStyle w:val="Hyperlink"/>
            <w:color w:val="0645AD"/>
            <w:u w:val="single"/>
          </w:rPr>
          <w:t xml:space="preserve">OCC Bulletin 2025-51</w:t>
        </w:r>
      </w:hyperlink>
      <w:r>
        <w:t xml:space="preserve">)</w:t>
      </w:r>
    </w:p>
    <w:p>
      <w:pPr>
        <w:pStyle w:val="BodyText"/>
      </w:pPr>
      <w:r>
        <w:rPr>
          <w:b/>
          <w:bCs/>
        </w:rPr>
        <w:t xml:space="preserve">2. Four-Instrument Cybersecurity Redundancy.</w:t>
      </w:r>
      <w:r>
        <w:t xml:space="preserve"> </w:t>
      </w:r>
      <w:r>
        <w:t xml:space="preserve">The information security program approval, oversight, and annual reporting obligations are codified in four separately codified instruments from different agencies, each imposing materially identical requirements at different levels of the corporate structure. (</w:t>
      </w:r>
      <w:hyperlink r:id="rId82">
        <w:r>
          <w:rPr>
            <w:rStyle w:val="Hyperlink"/>
            <w:color w:val="0645AD"/>
            <w:u w:val="single"/>
          </w:rPr>
          <w:t xml:space="preserve">66 FR 8616</w:t>
        </w:r>
      </w:hyperlink>
      <w:r>
        <w:t xml:space="preserve">)</w:t>
      </w:r>
    </w:p>
    <w:p>
      <w:pPr>
        <w:pStyle w:val="BodyText"/>
      </w:pPr>
      <w:r>
        <w:rPr>
          <w:b/>
          <w:bCs/>
        </w:rPr>
        <w:t xml:space="preserve">3. Divergent Periodicity Requirements.</w:t>
      </w:r>
      <w:r>
        <w:t xml:space="preserve"> </w:t>
      </w:r>
      <w:r>
        <w:t xml:space="preserve">The OCC requires annual review of the risk appetite statement; the FDIC proposed Guidelines would require quarterly review. Different cadences for conceptually the same document at different subsidiary entities within the same GSIB.</w:t>
      </w:r>
    </w:p>
    <w:p>
      <w:pPr>
        <w:pStyle w:val="BodyText"/>
      </w:pPr>
      <w:r>
        <w:rPr>
          <w:b/>
          <w:bCs/>
        </w:rPr>
        <w:t xml:space="preserve">4. Overlapping Domain-Specific Approval Requirements.</w:t>
      </w:r>
      <w:r>
        <w:t xml:space="preserve"> </w:t>
      </w:r>
      <w:r>
        <w:t xml:space="preserve">Boards must separately approve the capital plan, liquidity risk management policies, resolution plan, recovery plan, risk appetite statement, BSA/AML compliance program, incentive compensation policies, cybersecurity program, model risk management framework, third-party risk management program, and numerous other domain-specific policies, each generating its own documentation, meeting agenda, and examination deliverable.</w:t>
      </w:r>
    </w:p>
    <w:p>
      <w:pPr>
        <w:pStyle w:val="BodyText"/>
      </w:pPr>
      <w:r>
        <w:rPr>
          <w:b/>
          <w:bCs/>
        </w:rPr>
        <w:t xml:space="preserve">5. The Guidance-as-Regulation Dynamic.</w:t>
      </w:r>
      <w:r>
        <w:t xml:space="preserve"> </w:t>
      </w:r>
      <w:r>
        <w:t xml:space="preserve">As Covington &amp; Burling’s analysis observes, while SR 21-3 is nonbinding, it</w:t>
      </w:r>
      <w:r>
        <w:t xml:space="preserve"> </w:t>
      </w:r>
      <w:r>
        <w:t xml:space="preserve">“</w:t>
      </w:r>
      <w:r>
        <w:t xml:space="preserve">sets forth clear supervisory expectations</w:t>
      </w:r>
      <w:r>
        <w:t xml:space="preserve">”</w:t>
      </w:r>
      <w:r>
        <w:t xml:space="preserve"> </w:t>
      </w:r>
      <w:r>
        <w:t xml:space="preserve">and</w:t>
      </w:r>
      <w:r>
        <w:t xml:space="preserve"> </w:t>
      </w:r>
      <w:r>
        <w:t xml:space="preserve">“</w:t>
      </w:r>
      <w:r>
        <w:t xml:space="preserve">failing to meet the guidance’s supervisory expectations may lead to adverse consequences, including negative supervisory findings, and the potential for informal and formal enforcement action.</w:t>
      </w:r>
      <w:r>
        <w:t xml:space="preserve">”</w:t>
      </w:r>
      <w:r>
        <w:t xml:space="preserve"> </w:t>
      </w:r>
      <w:r>
        <w:t xml:space="preserve">The guidance</w:t>
      </w:r>
      <w:r>
        <w:t xml:space="preserve"> </w:t>
      </w:r>
      <w:r>
        <w:t xml:space="preserve">“</w:t>
      </w:r>
      <w:r>
        <w:t xml:space="preserve">may provide a vehicle for the Federal Reserve to link board ineffectiveness to unsafe or unsound practices.</w:t>
      </w:r>
      <w:r>
        <w:t xml:space="preserve">”</w:t>
      </w:r>
      <w:r>
        <w:t xml:space="preserve"> </w:t>
      </w:r>
      <w:r>
        <w:t xml:space="preserve">(</w:t>
      </w:r>
      <w:hyperlink r:id="rId48">
        <w:r>
          <w:rPr>
            <w:rStyle w:val="Hyperlink"/>
            <w:color w:val="0645AD"/>
            <w:u w:val="single"/>
          </w:rPr>
          <w:t xml:space="preserve">Covington &amp; Burling, Prepare to Meet New Fed Expectations on Effective Boards</w:t>
        </w:r>
      </w:hyperlink>
      <w:r>
        <w:t xml:space="preserve">)</w:t>
      </w:r>
    </w:p>
    <w:bookmarkEnd w:id="131"/>
    <w:bookmarkStart w:id="135" w:name="X21e932911150be9e3782df56428400d0489536a"/>
    <w:p>
      <w:pPr>
        <w:pStyle w:val="Heading2"/>
      </w:pPr>
      <w:r>
        <w:t xml:space="preserve">C. Agency and Industry Perspectives on Reform</w:t>
      </w:r>
    </w:p>
    <w:p>
      <w:pPr>
        <w:pStyle w:val="FirstParagraph"/>
      </w:pPr>
      <w:r>
        <w:t xml:space="preserve">The Federal Reserve’s SR 21-3 was itself framed as a reform initiative, intended to help boards</w:t>
      </w:r>
      <w:r>
        <w:t xml:space="preserve"> </w:t>
      </w:r>
      <w:r>
        <w:t xml:space="preserve">“</w:t>
      </w:r>
      <w:r>
        <w:t xml:space="preserve">improve their effectiveness and efficiency by scaling back their involvement in the day-to-day operations of their institutions.</w:t>
      </w:r>
      <w:r>
        <w:t xml:space="preserve">”</w:t>
      </w:r>
      <w:r>
        <w:t xml:space="preserve"> </w:t>
      </w:r>
      <w:r>
        <w:t xml:space="preserve">According to Mayer Brown’s analysis, the guidance</w:t>
      </w:r>
      <w:r>
        <w:t xml:space="preserve"> </w:t>
      </w:r>
      <w:r>
        <w:t xml:space="preserve">“</w:t>
      </w:r>
      <w:r>
        <w:t xml:space="preserve">streamlines the Federal Reserve’s regulatory expectations for boards, which should make compliance more straightforward.</w:t>
      </w:r>
      <w:r>
        <w:t xml:space="preserve">”</w:t>
      </w:r>
      <w:r>
        <w:t xml:space="preserve"> </w:t>
      </w:r>
      <w:r>
        <w:t xml:space="preserve">(</w:t>
      </w:r>
      <w:hyperlink r:id="rId132">
        <w:r>
          <w:rPr>
            <w:rStyle w:val="Hyperlink"/>
            <w:color w:val="0645AD"/>
            <w:u w:val="single"/>
          </w:rPr>
          <w:t xml:space="preserve">Mayer Brown, US FRB Finalizes Board Effectiveness Guidance</w:t>
        </w:r>
      </w:hyperlink>
      <w:r>
        <w:t xml:space="preserve">)</w:t>
      </w:r>
    </w:p>
    <w:p>
      <w:pPr>
        <w:pStyle w:val="BodyText"/>
      </w:pPr>
      <w:r>
        <w:t xml:space="preserve">However, according to Debevoise &amp; Plimpton’s analysis, SR 21-3</w:t>
      </w:r>
      <w:r>
        <w:t xml:space="preserve"> </w:t>
      </w:r>
      <w:r>
        <w:t xml:space="preserve">“</w:t>
      </w:r>
      <w:r>
        <w:t xml:space="preserve">reallocates, rather than reduces, the time directors spend performing their duties,</w:t>
      </w:r>
      <w:r>
        <w:t xml:space="preserve">”</w:t>
      </w:r>
      <w:r>
        <w:t xml:space="preserve"> </w:t>
      </w:r>
      <w:r>
        <w:t xml:space="preserve">suggesting</w:t>
      </w:r>
      <w:r>
        <w:t xml:space="preserve"> </w:t>
      </w:r>
      <w:r>
        <w:t xml:space="preserve">“</w:t>
      </w:r>
      <w:r>
        <w:t xml:space="preserve">robust inquiry and candid discussion and debate</w:t>
      </w:r>
      <w:r>
        <w:t xml:space="preserve">”</w:t>
      </w:r>
      <w:r>
        <w:t xml:space="preserve"> </w:t>
      </w:r>
      <w:r>
        <w:t xml:space="preserve">rather than</w:t>
      </w:r>
      <w:r>
        <w:t xml:space="preserve"> </w:t>
      </w:r>
      <w:r>
        <w:t xml:space="preserve">“</w:t>
      </w:r>
      <w:r>
        <w:t xml:space="preserve">check-the-box review,</w:t>
      </w:r>
      <w:r>
        <w:t xml:space="preserve">”</w:t>
      </w:r>
      <w:r>
        <w:t xml:space="preserve"> </w:t>
      </w:r>
      <w:r>
        <w:t xml:space="preserve">and noting that</w:t>
      </w:r>
      <w:r>
        <w:t xml:space="preserve"> </w:t>
      </w:r>
      <w:r>
        <w:t xml:space="preserve">“</w:t>
      </w:r>
      <w:r>
        <w:t xml:space="preserve">effective boards seek information between regular meetings.</w:t>
      </w:r>
      <w:r>
        <w:t xml:space="preserve">”</w:t>
      </w:r>
      <w:r>
        <w:t xml:space="preserve"> </w:t>
      </w:r>
      <w:r>
        <w:t xml:space="preserve">(</w:t>
      </w:r>
      <w:hyperlink r:id="rId30">
        <w:r>
          <w:rPr>
            <w:rStyle w:val="Hyperlink"/>
            <w:color w:val="0645AD"/>
            <w:u w:val="single"/>
          </w:rPr>
          <w:t xml:space="preserve">Debevoise &amp; Plimpton, Federal Reserve Board Finalizes Board Effectiveness Guidance</w:t>
        </w:r>
      </w:hyperlink>
      <w:r>
        <w:t xml:space="preserve">)</w:t>
      </w:r>
    </w:p>
    <w:p>
      <w:pPr>
        <w:pStyle w:val="BodyText"/>
      </w:pPr>
      <w:r>
        <w:t xml:space="preserve">According to Gibson Dunn’s analysis, SR 21-3 reflects the Federal Reserve’s view that</w:t>
      </w:r>
      <w:r>
        <w:t xml:space="preserve"> </w:t>
      </w:r>
      <w:r>
        <w:t xml:space="preserve">“</w:t>
      </w:r>
      <w:r>
        <w:t xml:space="preserve">the constraints imposed by general corporate law and stock exchange requirements do not necessarily appropriately balance business goals with prudent risk taking, and therefore other checks on the profit making function are necessary,</w:t>
      </w:r>
      <w:r>
        <w:t xml:space="preserve">”</w:t>
      </w:r>
      <w:r>
        <w:t xml:space="preserve"> </w:t>
      </w:r>
      <w:r>
        <w:t xml:space="preserve">requiring</w:t>
      </w:r>
      <w:r>
        <w:t xml:space="preserve"> </w:t>
      </w:r>
      <w:r>
        <w:t xml:space="preserve">“</w:t>
      </w:r>
      <w:r>
        <w:t xml:space="preserve">continual reinforcement from a well-informed board and well-informed board committees that keep all forms of risk at the forefront of their consideration and robustly challenge management.</w:t>
      </w:r>
      <w:r>
        <w:t xml:space="preserve">”</w:t>
      </w:r>
      <w:r>
        <w:t xml:space="preserve"> </w:t>
      </w:r>
      <w:r>
        <w:t xml:space="preserve">(</w:t>
      </w:r>
      <w:hyperlink r:id="rId133">
        <w:r>
          <w:rPr>
            <w:rStyle w:val="Hyperlink"/>
            <w:color w:val="0645AD"/>
            <w:u w:val="single"/>
          </w:rPr>
          <w:t xml:space="preserve">Gibson Dunn, Federal Reserve Finalizes Its Supervisory Guidance on Board of Directors’ Effectiveness</w:t>
        </w:r>
      </w:hyperlink>
      <w:r>
        <w:t xml:space="preserve">)</w:t>
      </w:r>
    </w:p>
    <w:p>
      <w:pPr>
        <w:pStyle w:val="BodyText"/>
      </w:pPr>
      <w:r>
        <w:t xml:space="preserve">According to Davis Wright Tremaine’s analysis of the OCC’s proposed threshold increase, the proposal would allow boards to</w:t>
      </w:r>
      <w:r>
        <w:t xml:space="preserve"> </w:t>
      </w:r>
      <w:r>
        <w:t xml:space="preserve">“</w:t>
      </w:r>
      <w:r>
        <w:t xml:space="preserve">refocus on core responsibilities, such as overseeing the execution of the bank’s strategy,</w:t>
      </w:r>
      <w:r>
        <w:t xml:space="preserve">”</w:t>
      </w:r>
      <w:r>
        <w:t xml:space="preserve"> </w:t>
      </w:r>
      <w:r>
        <w:t xml:space="preserve">including</w:t>
      </w:r>
      <w:r>
        <w:t xml:space="preserve"> </w:t>
      </w:r>
      <w:r>
        <w:t xml:space="preserve">“</w:t>
      </w:r>
      <w:r>
        <w:t xml:space="preserve">the embrace of new technologies and techniques to manage risk in more efficient and effective ways.</w:t>
      </w:r>
      <w:r>
        <w:t xml:space="preserve">”</w:t>
      </w:r>
      <w:r>
        <w:t xml:space="preserve"> </w:t>
      </w:r>
      <w:r>
        <w:t xml:space="preserve">(</w:t>
      </w:r>
      <w:hyperlink r:id="rId134">
        <w:r>
          <w:rPr>
            <w:rStyle w:val="Hyperlink"/>
            <w:color w:val="0645AD"/>
            <w:u w:val="single"/>
          </w:rPr>
          <w:t xml:space="preserve">Davis Wright Tremaine, OCC Proposes to Raise Threshold for Applying Guidelines Establishing Heightened Standards</w:t>
        </w:r>
      </w:hyperlink>
      <w:r>
        <w:t xml:space="preserve">)</w:t>
      </w:r>
    </w:p>
    <w:bookmarkEnd w:id="135"/>
    <w:bookmarkStart w:id="136" w:name="d.-priority-reform-opportunities"/>
    <w:p>
      <w:pPr>
        <w:pStyle w:val="Heading2"/>
      </w:pPr>
      <w:r>
        <w:t xml:space="preserve">D. Priority Reform Opportunities</w:t>
      </w:r>
    </w:p>
    <w:p>
      <w:pPr>
        <w:pStyle w:val="FirstParagraph"/>
      </w:pPr>
      <w:r>
        <w:t xml:space="preserve">Based on the inventory developed in this memorandum, the following reform priorities emerge:</w:t>
      </w:r>
    </w:p>
    <w:p>
      <w:pPr>
        <w:pStyle w:val="BodyText"/>
      </w:pPr>
      <w:r>
        <w:rPr>
          <w:b/>
          <w:bCs/>
        </w:rPr>
        <w:t xml:space="preserve">Priority 1: Cross-Agency Harmonization.</w:t>
      </w:r>
      <w:r>
        <w:t xml:space="preserve"> </w:t>
      </w:r>
      <w:r>
        <w:t xml:space="preserve">A joint Federal Reserve/OCC initiative to identify all board-level obligations appearing in both 12 C.F.R. Part 252 and 12 C.F.R. Part 30, Appendix D, and consolidate them into a single set of requirements applicable at the appropriate organizational level.</w:t>
      </w:r>
    </w:p>
    <w:p>
      <w:pPr>
        <w:pStyle w:val="BodyText"/>
      </w:pPr>
      <w:r>
        <w:rPr>
          <w:b/>
          <w:bCs/>
        </w:rPr>
        <w:t xml:space="preserve">Priority 2: Consolidation of Domain-Specific Approval Requirements.</w:t>
      </w:r>
      <w:r>
        <w:t xml:space="preserve"> </w:t>
      </w:r>
      <w:r>
        <w:t xml:space="preserve">Identify which of the numerous separate board-level approval requirements serve distinct prudential purposes and which are redundant, reducing the volume of formal approval exercises without compromising substantive governance outcomes.</w:t>
      </w:r>
    </w:p>
    <w:p>
      <w:pPr>
        <w:pStyle w:val="BodyText"/>
      </w:pPr>
      <w:r>
        <w:rPr>
          <w:b/>
          <w:bCs/>
        </w:rPr>
        <w:t xml:space="preserve">Priority 3: Cybersecurity Framework Consolidation.</w:t>
      </w:r>
      <w:r>
        <w:t xml:space="preserve"> </w:t>
      </w:r>
      <w:r>
        <w:t xml:space="preserve">Consolidate the four separately codified information security program board obligations into a single interagency standard applicable at the consolidated organization level, with a clear provision addressing subsidiary programs.</w:t>
      </w:r>
    </w:p>
    <w:p>
      <w:pPr>
        <w:pStyle w:val="BodyText"/>
      </w:pPr>
      <w:r>
        <w:rPr>
          <w:b/>
          <w:bCs/>
        </w:rPr>
        <w:t xml:space="preserve">Priority 4: Periodicity Harmonization.</w:t>
      </w:r>
      <w:r>
        <w:t xml:space="preserve"> </w:t>
      </w:r>
      <w:r>
        <w:t xml:space="preserve">Resolve the divergent review cadences imposed by different agencies for the same governance documents (e.g., annual vs. quarterly risk appetite statement review).</w:t>
      </w:r>
    </w:p>
    <w:p>
      <w:pPr>
        <w:pStyle w:val="BodyText"/>
      </w:pPr>
      <w:r>
        <w:rPr>
          <w:b/>
          <w:bCs/>
        </w:rPr>
        <w:t xml:space="preserve">Priority 5: Guidance Rationalization.</w:t>
      </w:r>
      <w:r>
        <w:t xml:space="preserve"> </w:t>
      </w:r>
      <w:r>
        <w:t xml:space="preserve">Systematically inventory all guidance documents addressing board-level governance, identify redundancies and inconsistencies, and consolidate overlapping guidance into coherent statements of supervisory expectations.</w:t>
      </w:r>
    </w:p>
    <w:bookmarkEnd w:id="136"/>
    <w:bookmarkStart w:id="137" w:name="e.-counterarguments-and-limitations"/>
    <w:p>
      <w:pPr>
        <w:pStyle w:val="Heading2"/>
      </w:pPr>
      <w:r>
        <w:t xml:space="preserve">E. Counterarguments and Limitations</w:t>
      </w:r>
    </w:p>
    <w:p>
      <w:pPr>
        <w:pStyle w:val="FirstParagraph"/>
      </w:pPr>
      <w:r>
        <w:t xml:space="preserve">Reform advocates must acknowledge that: (1) many duplicative requirements were adopted in response to specific governance failures contributing to financial distress; (2) prescriptive requirements serve as monitoring tools that partially offset information asymmetries between regulators and institutions; (3) comprehensive reform requires coordinated multi-agency action, which is historically difficult to sustain; and (4) replacing binding rules with principles-based guidance may increase, rather than reduce, compliance uncertainty for institutions operating under continuous examination.</w:t>
      </w:r>
    </w:p>
    <w:bookmarkEnd w:id="137"/>
    <w:bookmarkEnd w:id="138"/>
    <w:bookmarkStart w:id="140" w:name="xxiv.-conclusion"/>
    <w:p>
      <w:pPr>
        <w:pStyle w:val="Heading1"/>
      </w:pPr>
      <w:r>
        <w:t xml:space="preserve">XXIV. Conclusion</w:t>
      </w:r>
    </w:p>
    <w:p>
      <w:pPr>
        <w:pStyle w:val="FirstParagraph"/>
      </w:pPr>
      <w:r>
        <w:t xml:space="preserve">This memorandum has developed a comprehensive, citation-level inventory of all current, in-force obligations imposed on the boards of directors of Category I GSIB holding companies and their insured depository institution subsidiaries. The inventory spans more than twenty regulatory domains, drawing from federal statutes, binding regulations, interagency guidelines, agency-specific supervisory guidance, and supervisory rating frameworks.</w:t>
      </w:r>
    </w:p>
    <w:p>
      <w:pPr>
        <w:pStyle w:val="BodyText"/>
      </w:pPr>
      <w:r>
        <w:t xml:space="preserve">The central finding is that board-level obligations for Category I GSIBs arise from at least four distinct layers of authority, applied concurrently by multiple federal agencies exercising overlapping jurisdiction, and that these obligations have accumulated over decades without systematic review for redundancy or proportionality. The result is a governance framework that is, in significant respects, duplicative: the same fundamental obligation (to approve a risk appetite statement, to maintain a risk committee, to oversee management accountability, to approve an information security program) frequently appears in parallel regulatory instruments from different agencies, each applied at a different level of the corporate structure with its own enforcement mechanism.</w:t>
      </w:r>
    </w:p>
    <w:p>
      <w:pPr>
        <w:pStyle w:val="BodyText"/>
      </w:pPr>
      <w:r>
        <w:t xml:space="preserve">The inventory identifies specific, actionable reform opportunities, particularly cross-agency harmonization of the Federal Reserve’s Enhanced Prudential Standards and the OCC’s Heightened Standards, consolidation of the four separately codified cybersecurity program governance requirements into a single framework, resolution of divergent periodicity requirements, and systematic rationalization of the supervisory guidance layer.</w:t>
      </w:r>
    </w:p>
    <w:p>
      <w:pPr>
        <w:pStyle w:val="BodyText"/>
      </w:pPr>
      <w:r>
        <w:t xml:space="preserve">At the same time, the memorandum recognizes that these obligations serve important prudential purposes. Many were adopted in direct response to governance failures that contributed to systemic financial distress. The goal of reform is not to minimize board obligations but to rationalize them, ensuring they are efficient, coordinated, proportionate, and directed at the governance outcomes that matter for safety, soundness, and financial stability.</w:t>
      </w:r>
    </w:p>
    <w:p>
      <w:pPr>
        <w:pStyle w:val="BodyText"/>
      </w:pPr>
      <w:r>
        <w:t xml:space="preserve">This inventory is intended to serve as a working policy reform document. Each obligation has been traced to its precise regulatory source, its nature has been described, and overlaps with parallel requirements have been identified. The memorandum provides the factual foundation necessary for directors, their counsel, and policymakers to evaluate the current framework and to develop specific proposals for reducing duplicative, overlapping, and unduly burdensome board-level requirements while preserving the substantive governance protections that the financial system requires.</w:t>
      </w:r>
    </w:p>
    <w:p>
      <w:pPr>
        <w:pStyle w:val="BodyText"/>
      </w:pPr>
      <w:r>
        <w:rPr>
          <w:i/>
          <w:iCs/>
        </w:rPr>
        <w:t xml:space="preserve">This memorandum was prepared by findknowdo.com for informational purposes only and does not constitute legal advice. The analysis reflects publicly available regulatory materials and secondary sources as of May 29, 2026. Readers should consult qualified legal counsel regarding the application of these materials to specific circumstances.</w:t>
      </w:r>
    </w:p>
    <w:bookmarkStart w:id="139" w:name="bibliography"/>
    <w:p>
      <w:pPr>
        <w:pStyle w:val="Heading2"/>
      </w:pPr>
      <w:r>
        <w:t xml:space="preserve">Bibliography</w:t>
      </w:r>
    </w:p>
    <w:p>
      <w:pPr>
        <w:pStyle w:val="Compact"/>
        <w:numPr>
          <w:ilvl w:val="0"/>
          <w:numId w:val="1002"/>
        </w:numPr>
      </w:pPr>
      <w:hyperlink r:id="rId102">
        <w:r>
          <w:rPr>
            <w:rStyle w:val="Hyperlink"/>
            <w:color w:val="0645AD"/>
            <w:u w:val="single"/>
          </w:rPr>
          <w:t xml:space="preserve">12 C.F.R. Part 30, Appendix A</w:t>
        </w:r>
      </w:hyperlink>
    </w:p>
    <w:p>
      <w:pPr>
        <w:pStyle w:val="Compact"/>
        <w:numPr>
          <w:ilvl w:val="0"/>
          <w:numId w:val="1002"/>
        </w:numPr>
      </w:pPr>
      <w:hyperlink r:id="rId100">
        <w:r>
          <w:rPr>
            <w:rStyle w:val="Hyperlink"/>
            <w:color w:val="0645AD"/>
            <w:u w:val="single"/>
          </w:rPr>
          <w:t xml:space="preserve">12 C.F.R. Section 1026.36</w:t>
        </w:r>
      </w:hyperlink>
    </w:p>
    <w:p>
      <w:pPr>
        <w:pStyle w:val="Compact"/>
        <w:numPr>
          <w:ilvl w:val="0"/>
          <w:numId w:val="1002"/>
        </w:numPr>
      </w:pPr>
      <w:hyperlink r:id="rId91">
        <w:r>
          <w:rPr>
            <w:rStyle w:val="Hyperlink"/>
            <w:color w:val="0645AD"/>
            <w:u w:val="single"/>
          </w:rPr>
          <w:t xml:space="preserve">12 C.F.R. Section 21.11</w:t>
        </w:r>
      </w:hyperlink>
    </w:p>
    <w:p>
      <w:pPr>
        <w:pStyle w:val="Compact"/>
        <w:numPr>
          <w:ilvl w:val="0"/>
          <w:numId w:val="1002"/>
        </w:numPr>
      </w:pPr>
      <w:hyperlink r:id="rId95">
        <w:r>
          <w:rPr>
            <w:rStyle w:val="Hyperlink"/>
            <w:color w:val="0645AD"/>
            <w:u w:val="single"/>
          </w:rPr>
          <w:t xml:space="preserve">12 C.F.R. Section 211.5</w:t>
        </w:r>
      </w:hyperlink>
    </w:p>
    <w:p>
      <w:pPr>
        <w:pStyle w:val="Compact"/>
        <w:numPr>
          <w:ilvl w:val="0"/>
          <w:numId w:val="1002"/>
        </w:numPr>
      </w:pPr>
      <w:hyperlink r:id="rId75">
        <w:r>
          <w:rPr>
            <w:rStyle w:val="Hyperlink"/>
            <w:color w:val="0645AD"/>
            <w:u w:val="single"/>
          </w:rPr>
          <w:t xml:space="preserve">12 C.F.R. Section 217.122</w:t>
        </w:r>
      </w:hyperlink>
    </w:p>
    <w:p>
      <w:pPr>
        <w:pStyle w:val="Compact"/>
        <w:numPr>
          <w:ilvl w:val="0"/>
          <w:numId w:val="1002"/>
        </w:numPr>
      </w:pPr>
      <w:hyperlink r:id="rId36">
        <w:r>
          <w:rPr>
            <w:rStyle w:val="Hyperlink"/>
            <w:color w:val="0645AD"/>
            <w:u w:val="single"/>
          </w:rPr>
          <w:t xml:space="preserve">12 C.F.R. Section 225.4</w:t>
        </w:r>
      </w:hyperlink>
    </w:p>
    <w:p>
      <w:pPr>
        <w:pStyle w:val="Compact"/>
        <w:numPr>
          <w:ilvl w:val="0"/>
          <w:numId w:val="1002"/>
        </w:numPr>
      </w:pPr>
      <w:hyperlink r:id="rId118">
        <w:r>
          <w:rPr>
            <w:rStyle w:val="Hyperlink"/>
            <w:color w:val="0645AD"/>
            <w:u w:val="single"/>
          </w:rPr>
          <w:t xml:space="preserve">12 C.F.R. Section 252.153</w:t>
        </w:r>
      </w:hyperlink>
    </w:p>
    <w:p>
      <w:pPr>
        <w:pStyle w:val="Compact"/>
        <w:numPr>
          <w:ilvl w:val="0"/>
          <w:numId w:val="1002"/>
        </w:numPr>
      </w:pPr>
      <w:hyperlink r:id="rId53">
        <w:r>
          <w:rPr>
            <w:rStyle w:val="Hyperlink"/>
            <w:color w:val="0645AD"/>
            <w:u w:val="single"/>
          </w:rPr>
          <w:t xml:space="preserve">12 C.F.R. Section 252.33</w:t>
        </w:r>
      </w:hyperlink>
    </w:p>
    <w:p>
      <w:pPr>
        <w:pStyle w:val="Compact"/>
        <w:numPr>
          <w:ilvl w:val="0"/>
          <w:numId w:val="1002"/>
        </w:numPr>
      </w:pPr>
      <w:hyperlink r:id="rId106">
        <w:r>
          <w:rPr>
            <w:rStyle w:val="Hyperlink"/>
            <w:color w:val="0645AD"/>
            <w:u w:val="single"/>
          </w:rPr>
          <w:t xml:space="preserve">12 C.F.R. Section 337.3</w:t>
        </w:r>
      </w:hyperlink>
    </w:p>
    <w:p>
      <w:pPr>
        <w:pStyle w:val="Compact"/>
        <w:numPr>
          <w:ilvl w:val="0"/>
          <w:numId w:val="1002"/>
        </w:numPr>
      </w:pPr>
      <w:hyperlink r:id="rId104">
        <w:r>
          <w:rPr>
            <w:rStyle w:val="Hyperlink"/>
            <w:color w:val="0645AD"/>
            <w:u w:val="single"/>
          </w:rPr>
          <w:t xml:space="preserve">12 U.S.C. Section 1817</w:t>
        </w:r>
      </w:hyperlink>
    </w:p>
    <w:p>
      <w:pPr>
        <w:pStyle w:val="Compact"/>
        <w:numPr>
          <w:ilvl w:val="0"/>
          <w:numId w:val="1002"/>
        </w:numPr>
      </w:pPr>
      <w:hyperlink r:id="rId125">
        <w:r>
          <w:rPr>
            <w:rStyle w:val="Hyperlink"/>
            <w:color w:val="0645AD"/>
            <w:u w:val="single"/>
          </w:rPr>
          <w:t xml:space="preserve">12 U.S.C. Section 1818</w:t>
        </w:r>
      </w:hyperlink>
    </w:p>
    <w:p>
      <w:pPr>
        <w:pStyle w:val="Compact"/>
        <w:numPr>
          <w:ilvl w:val="0"/>
          <w:numId w:val="1002"/>
        </w:numPr>
      </w:pPr>
      <w:hyperlink r:id="rId89">
        <w:r>
          <w:rPr>
            <w:rStyle w:val="Hyperlink"/>
            <w:color w:val="0645AD"/>
            <w:u w:val="single"/>
          </w:rPr>
          <w:t xml:space="preserve">12 U.S.C. Section 1829b</w:t>
        </w:r>
      </w:hyperlink>
    </w:p>
    <w:p>
      <w:pPr>
        <w:pStyle w:val="Compact"/>
        <w:numPr>
          <w:ilvl w:val="0"/>
          <w:numId w:val="1002"/>
        </w:numPr>
      </w:pPr>
      <w:hyperlink r:id="rId25">
        <w:r>
          <w:rPr>
            <w:rStyle w:val="Hyperlink"/>
            <w:color w:val="0645AD"/>
            <w:u w:val="single"/>
          </w:rPr>
          <w:t xml:space="preserve">12 U.S.C. Section 1831p-1</w:t>
        </w:r>
      </w:hyperlink>
    </w:p>
    <w:p>
      <w:pPr>
        <w:pStyle w:val="Compact"/>
        <w:numPr>
          <w:ilvl w:val="0"/>
          <w:numId w:val="1002"/>
        </w:numPr>
      </w:pPr>
      <w:hyperlink r:id="rId24">
        <w:r>
          <w:rPr>
            <w:rStyle w:val="Hyperlink"/>
            <w:color w:val="0645AD"/>
            <w:u w:val="single"/>
          </w:rPr>
          <w:t xml:space="preserve">12 U.S.C. Section 1844</w:t>
        </w:r>
      </w:hyperlink>
    </w:p>
    <w:p>
      <w:pPr>
        <w:pStyle w:val="Compact"/>
        <w:numPr>
          <w:ilvl w:val="0"/>
          <w:numId w:val="1002"/>
        </w:numPr>
      </w:pPr>
      <w:hyperlink r:id="rId23">
        <w:r>
          <w:rPr>
            <w:rStyle w:val="Hyperlink"/>
            <w:color w:val="0645AD"/>
            <w:u w:val="single"/>
          </w:rPr>
          <w:t xml:space="preserve">12 U.S.C. Section 5365</w:t>
        </w:r>
      </w:hyperlink>
    </w:p>
    <w:p>
      <w:pPr>
        <w:pStyle w:val="Compact"/>
        <w:numPr>
          <w:ilvl w:val="0"/>
          <w:numId w:val="1002"/>
        </w:numPr>
      </w:pPr>
      <w:hyperlink r:id="rId88">
        <w:r>
          <w:rPr>
            <w:rStyle w:val="Hyperlink"/>
            <w:color w:val="0645AD"/>
            <w:u w:val="single"/>
          </w:rPr>
          <w:t xml:space="preserve">31 U.S.C. Section 5318</w:t>
        </w:r>
      </w:hyperlink>
    </w:p>
    <w:p>
      <w:pPr>
        <w:pStyle w:val="Compact"/>
        <w:numPr>
          <w:ilvl w:val="0"/>
          <w:numId w:val="1002"/>
        </w:numPr>
      </w:pPr>
      <w:hyperlink r:id="rId82">
        <w:r>
          <w:rPr>
            <w:rStyle w:val="Hyperlink"/>
            <w:color w:val="0645AD"/>
            <w:u w:val="single"/>
          </w:rPr>
          <w:t xml:space="preserve">66 FR 8616, Interagency Guidelines Establishing Standards for Safeguarding Customer Information</w:t>
        </w:r>
      </w:hyperlink>
    </w:p>
    <w:p>
      <w:pPr>
        <w:pStyle w:val="Compact"/>
        <w:numPr>
          <w:ilvl w:val="0"/>
          <w:numId w:val="1002"/>
        </w:numPr>
      </w:pPr>
      <w:hyperlink r:id="rId59">
        <w:r>
          <w:rPr>
            <w:rStyle w:val="Hyperlink"/>
            <w:color w:val="0645AD"/>
            <w:u w:val="single"/>
          </w:rPr>
          <w:t xml:space="preserve">68 FR 66992</w:t>
        </w:r>
      </w:hyperlink>
    </w:p>
    <w:p>
      <w:pPr>
        <w:pStyle w:val="Compact"/>
        <w:numPr>
          <w:ilvl w:val="0"/>
          <w:numId w:val="1002"/>
        </w:numPr>
      </w:pPr>
      <w:hyperlink r:id="rId64">
        <w:r>
          <w:rPr>
            <w:rStyle w:val="Hyperlink"/>
            <w:color w:val="0645AD"/>
            <w:u w:val="single"/>
          </w:rPr>
          <w:t xml:space="preserve">77 FR 19417, Proposed Guidance on Leveraged Lending</w:t>
        </w:r>
      </w:hyperlink>
    </w:p>
    <w:p>
      <w:pPr>
        <w:pStyle w:val="Compact"/>
        <w:numPr>
          <w:ilvl w:val="0"/>
          <w:numId w:val="1002"/>
        </w:numPr>
      </w:pPr>
      <w:hyperlink r:id="rId62">
        <w:r>
          <w:rPr>
            <w:rStyle w:val="Hyperlink"/>
            <w:color w:val="0645AD"/>
            <w:u w:val="single"/>
          </w:rPr>
          <w:t xml:space="preserve">77 FR 29458, Supervisory Guidance on Stress Testing</w:t>
        </w:r>
      </w:hyperlink>
    </w:p>
    <w:p>
      <w:pPr>
        <w:pStyle w:val="Compact"/>
        <w:numPr>
          <w:ilvl w:val="0"/>
          <w:numId w:val="1002"/>
        </w:numPr>
      </w:pPr>
      <w:hyperlink r:id="rId34">
        <w:r>
          <w:rPr>
            <w:rStyle w:val="Hyperlink"/>
            <w:color w:val="0645AD"/>
            <w:u w:val="single"/>
          </w:rPr>
          <w:t xml:space="preserve">ABA Letter to OCC on Heightened Standards Proposal</w:t>
        </w:r>
      </w:hyperlink>
    </w:p>
    <w:p>
      <w:pPr>
        <w:pStyle w:val="Compact"/>
        <w:numPr>
          <w:ilvl w:val="0"/>
          <w:numId w:val="1002"/>
        </w:numPr>
      </w:pPr>
      <w:hyperlink r:id="rId48">
        <w:r>
          <w:rPr>
            <w:rStyle w:val="Hyperlink"/>
            <w:color w:val="0645AD"/>
            <w:u w:val="single"/>
          </w:rPr>
          <w:t xml:space="preserve">Covington &amp; Burling, Prepare to Meet New Fed Expectations on Effective Boards</w:t>
        </w:r>
      </w:hyperlink>
    </w:p>
    <w:p>
      <w:pPr>
        <w:pStyle w:val="Compact"/>
        <w:numPr>
          <w:ilvl w:val="0"/>
          <w:numId w:val="1002"/>
        </w:numPr>
      </w:pPr>
      <w:hyperlink r:id="rId134">
        <w:r>
          <w:rPr>
            <w:rStyle w:val="Hyperlink"/>
            <w:color w:val="0645AD"/>
            <w:u w:val="single"/>
          </w:rPr>
          <w:t xml:space="preserve">Davis Wright Tremaine, OCC Proposes to Raise Threshold for Applying Guidelines Establishing Heightened Standards</w:t>
        </w:r>
      </w:hyperlink>
    </w:p>
    <w:p>
      <w:pPr>
        <w:pStyle w:val="Compact"/>
        <w:numPr>
          <w:ilvl w:val="0"/>
          <w:numId w:val="1002"/>
        </w:numPr>
      </w:pPr>
      <w:hyperlink r:id="rId30">
        <w:r>
          <w:rPr>
            <w:rStyle w:val="Hyperlink"/>
            <w:color w:val="0645AD"/>
            <w:u w:val="single"/>
          </w:rPr>
          <w:t xml:space="preserve">Debevoise &amp; Plimpton, Federal Reserve Board Finalizes Board Effectiveness Guidance</w:t>
        </w:r>
      </w:hyperlink>
    </w:p>
    <w:p>
      <w:pPr>
        <w:pStyle w:val="Compact"/>
        <w:numPr>
          <w:ilvl w:val="0"/>
          <w:numId w:val="1002"/>
        </w:numPr>
      </w:pPr>
      <w:hyperlink r:id="rId57">
        <w:r>
          <w:rPr>
            <w:rStyle w:val="Hyperlink"/>
            <w:color w:val="0645AD"/>
            <w:u w:val="single"/>
          </w:rPr>
          <w:t xml:space="preserve">FDIC FIL-21-2024, Incentive-Based Compensation Arrangements</w:t>
        </w:r>
      </w:hyperlink>
    </w:p>
    <w:p>
      <w:pPr>
        <w:pStyle w:val="Compact"/>
        <w:numPr>
          <w:ilvl w:val="0"/>
          <w:numId w:val="1002"/>
        </w:numPr>
      </w:pPr>
      <w:hyperlink r:id="rId40">
        <w:r>
          <w:rPr>
            <w:rStyle w:val="Hyperlink"/>
            <w:color w:val="0645AD"/>
            <w:u w:val="single"/>
          </w:rPr>
          <w:t xml:space="preserve">FDIC Proposed Guidelines, Appendix C to Part 364</w:t>
        </w:r>
      </w:hyperlink>
    </w:p>
    <w:p>
      <w:pPr>
        <w:pStyle w:val="Compact"/>
        <w:numPr>
          <w:ilvl w:val="0"/>
          <w:numId w:val="1002"/>
        </w:numPr>
      </w:pPr>
      <w:hyperlink r:id="rId81">
        <w:r>
          <w:rPr>
            <w:rStyle w:val="Hyperlink"/>
            <w:color w:val="0645AD"/>
            <w:u w:val="single"/>
          </w:rPr>
          <w:t xml:space="preserve">FDIC Rules Part 364 Appendix B</w:t>
        </w:r>
      </w:hyperlink>
    </w:p>
    <w:p>
      <w:pPr>
        <w:pStyle w:val="Compact"/>
        <w:numPr>
          <w:ilvl w:val="0"/>
          <w:numId w:val="1002"/>
        </w:numPr>
      </w:pPr>
      <w:hyperlink r:id="rId79">
        <w:r>
          <w:rPr>
            <w:rStyle w:val="Hyperlink"/>
            <w:color w:val="0645AD"/>
            <w:u w:val="single"/>
          </w:rPr>
          <w:t xml:space="preserve">FRS Rules Part 208 Appendix D-2</w:t>
        </w:r>
      </w:hyperlink>
    </w:p>
    <w:p>
      <w:pPr>
        <w:pStyle w:val="Compact"/>
        <w:numPr>
          <w:ilvl w:val="0"/>
          <w:numId w:val="1002"/>
        </w:numPr>
      </w:pPr>
      <w:hyperlink r:id="rId80">
        <w:r>
          <w:rPr>
            <w:rStyle w:val="Hyperlink"/>
            <w:color w:val="0645AD"/>
            <w:u w:val="single"/>
          </w:rPr>
          <w:t xml:space="preserve">FRS Rules Part 225 Appendix F</w:t>
        </w:r>
      </w:hyperlink>
    </w:p>
    <w:p>
      <w:pPr>
        <w:pStyle w:val="Compact"/>
        <w:numPr>
          <w:ilvl w:val="0"/>
          <w:numId w:val="1002"/>
        </w:numPr>
      </w:pPr>
      <w:hyperlink r:id="rId20">
        <w:r>
          <w:rPr>
            <w:rStyle w:val="Hyperlink"/>
            <w:color w:val="0645AD"/>
            <w:u w:val="single"/>
          </w:rPr>
          <w:t xml:space="preserve">Federal Register, Regulatory Capital Rule: Risk-Based Capital Surcharges for GSIBs</w:t>
        </w:r>
      </w:hyperlink>
    </w:p>
    <w:p>
      <w:pPr>
        <w:pStyle w:val="Compact"/>
        <w:numPr>
          <w:ilvl w:val="0"/>
          <w:numId w:val="1002"/>
        </w:numPr>
      </w:pPr>
      <w:hyperlink r:id="rId133">
        <w:r>
          <w:rPr>
            <w:rStyle w:val="Hyperlink"/>
            <w:color w:val="0645AD"/>
            <w:u w:val="single"/>
          </w:rPr>
          <w:t xml:space="preserve">Gibson Dunn, Federal Reserve Finalizes Its Supervisory Guidance on Board of Directors’ Effectiveness</w:t>
        </w:r>
      </w:hyperlink>
    </w:p>
    <w:p>
      <w:pPr>
        <w:pStyle w:val="Compact"/>
        <w:numPr>
          <w:ilvl w:val="0"/>
          <w:numId w:val="1002"/>
        </w:numPr>
      </w:pPr>
      <w:hyperlink r:id="rId70">
        <w:r>
          <w:rPr>
            <w:rStyle w:val="Hyperlink"/>
            <w:color w:val="0645AD"/>
            <w:u w:val="single"/>
          </w:rPr>
          <w:t xml:space="preserve">Interagency Guidance on Third-Party Relationships: Risk Management, June 2023</w:t>
        </w:r>
      </w:hyperlink>
    </w:p>
    <w:p>
      <w:pPr>
        <w:pStyle w:val="Compact"/>
        <w:numPr>
          <w:ilvl w:val="0"/>
          <w:numId w:val="1002"/>
        </w:numPr>
      </w:pPr>
      <w:hyperlink r:id="rId93">
        <w:r>
          <w:rPr>
            <w:rStyle w:val="Hyperlink"/>
            <w:color w:val="0645AD"/>
            <w:u w:val="single"/>
          </w:rPr>
          <w:t xml:space="preserve">Joint Statement on Enforcement of BSA/AML Obligations</w:t>
        </w:r>
      </w:hyperlink>
    </w:p>
    <w:p>
      <w:pPr>
        <w:pStyle w:val="Compact"/>
        <w:numPr>
          <w:ilvl w:val="0"/>
          <w:numId w:val="1002"/>
        </w:numPr>
      </w:pPr>
      <w:hyperlink r:id="rId132">
        <w:r>
          <w:rPr>
            <w:rStyle w:val="Hyperlink"/>
            <w:color w:val="0645AD"/>
            <w:u w:val="single"/>
          </w:rPr>
          <w:t xml:space="preserve">Mayer Brown, US FRB Finalizes Board Effectiveness Guidance</w:t>
        </w:r>
      </w:hyperlink>
    </w:p>
    <w:p>
      <w:pPr>
        <w:pStyle w:val="Compact"/>
        <w:numPr>
          <w:ilvl w:val="0"/>
          <w:numId w:val="1002"/>
        </w:numPr>
      </w:pPr>
      <w:hyperlink r:id="rId32">
        <w:r>
          <w:rPr>
            <w:rStyle w:val="Hyperlink"/>
            <w:color w:val="0645AD"/>
            <w:u w:val="single"/>
          </w:rPr>
          <w:t xml:space="preserve">OCC Appendix D to 12 C.F.R. Part 30</w:t>
        </w:r>
      </w:hyperlink>
    </w:p>
    <w:p>
      <w:pPr>
        <w:pStyle w:val="Compact"/>
        <w:numPr>
          <w:ilvl w:val="0"/>
          <w:numId w:val="1002"/>
        </w:numPr>
      </w:pPr>
      <w:hyperlink r:id="rId43">
        <w:r>
          <w:rPr>
            <w:rStyle w:val="Hyperlink"/>
            <w:color w:val="0645AD"/>
            <w:u w:val="single"/>
          </w:rPr>
          <w:t xml:space="preserve">OCC Appendix D to 12 C.F.R. Part 30</w:t>
        </w:r>
      </w:hyperlink>
    </w:p>
    <w:p>
      <w:pPr>
        <w:pStyle w:val="Compact"/>
        <w:numPr>
          <w:ilvl w:val="0"/>
          <w:numId w:val="1002"/>
        </w:numPr>
      </w:pPr>
      <w:hyperlink r:id="rId56">
        <w:r>
          <w:rPr>
            <w:rStyle w:val="Hyperlink"/>
            <w:color w:val="0645AD"/>
            <w:u w:val="single"/>
          </w:rPr>
          <w:t xml:space="preserve">OCC Bulletin 2010-24, Interagency Guidance on Sound Incentive Compensation Policies</w:t>
        </w:r>
      </w:hyperlink>
    </w:p>
    <w:p>
      <w:pPr>
        <w:pStyle w:val="Compact"/>
        <w:numPr>
          <w:ilvl w:val="0"/>
          <w:numId w:val="1002"/>
        </w:numPr>
      </w:pPr>
      <w:hyperlink r:id="rId72">
        <w:r>
          <w:rPr>
            <w:rStyle w:val="Hyperlink"/>
            <w:color w:val="0645AD"/>
            <w:u w:val="single"/>
          </w:rPr>
          <w:t xml:space="preserve">OCC Bulletin 2011-12, Supervisory Guidance on Model Risk Management</w:t>
        </w:r>
      </w:hyperlink>
    </w:p>
    <w:p>
      <w:pPr>
        <w:pStyle w:val="Compact"/>
        <w:numPr>
          <w:ilvl w:val="0"/>
          <w:numId w:val="1002"/>
        </w:numPr>
      </w:pPr>
      <w:hyperlink r:id="rId110">
        <w:r>
          <w:rPr>
            <w:rStyle w:val="Hyperlink"/>
            <w:color w:val="0645AD"/>
            <w:u w:val="single"/>
          </w:rPr>
          <w:t xml:space="preserve">OCC Bulletin 2014-45, Heightened Standards for Large Banks</w:t>
        </w:r>
      </w:hyperlink>
    </w:p>
    <w:p>
      <w:pPr>
        <w:pStyle w:val="Compact"/>
        <w:numPr>
          <w:ilvl w:val="0"/>
          <w:numId w:val="1002"/>
        </w:numPr>
      </w:pPr>
      <w:hyperlink r:id="rId33">
        <w:r>
          <w:rPr>
            <w:rStyle w:val="Hyperlink"/>
            <w:color w:val="0645AD"/>
            <w:u w:val="single"/>
          </w:rPr>
          <w:t xml:space="preserve">OCC Bulletin 2025-51, OCC Guidelines Establishing Heightened Standards: Notice of Proposed Rulemaking</w:t>
        </w:r>
      </w:hyperlink>
    </w:p>
    <w:p>
      <w:pPr>
        <w:pStyle w:val="Compact"/>
        <w:numPr>
          <w:ilvl w:val="0"/>
          <w:numId w:val="1002"/>
        </w:numPr>
      </w:pPr>
      <w:hyperlink r:id="rId73">
        <w:r>
          <w:rPr>
            <w:rStyle w:val="Hyperlink"/>
            <w:color w:val="0645AD"/>
            <w:u w:val="single"/>
          </w:rPr>
          <w:t xml:space="preserve">OCC Bulletin 2026-13, Model Risk Management: Revised Guidance</w:t>
        </w:r>
      </w:hyperlink>
    </w:p>
    <w:p>
      <w:pPr>
        <w:pStyle w:val="Compact"/>
        <w:numPr>
          <w:ilvl w:val="0"/>
          <w:numId w:val="1002"/>
        </w:numPr>
      </w:pPr>
      <w:hyperlink r:id="rId78">
        <w:r>
          <w:rPr>
            <w:rStyle w:val="Hyperlink"/>
            <w:color w:val="0645AD"/>
            <w:u w:val="single"/>
          </w:rPr>
          <w:t xml:space="preserve">OCC Rules Part 30 Appendix B</w:t>
        </w:r>
      </w:hyperlink>
    </w:p>
    <w:p>
      <w:pPr>
        <w:pStyle w:val="Compact"/>
        <w:numPr>
          <w:ilvl w:val="0"/>
          <w:numId w:val="1002"/>
        </w:numPr>
      </w:pPr>
      <w:hyperlink r:id="rId85">
        <w:r>
          <w:rPr>
            <w:rStyle w:val="Hyperlink"/>
            <w:color w:val="0645AD"/>
            <w:u w:val="single"/>
          </w:rPr>
          <w:t xml:space="preserve">Reg S-K Rule 229.106</w:t>
        </w:r>
      </w:hyperlink>
    </w:p>
    <w:p>
      <w:pPr>
        <w:pStyle w:val="Compact"/>
        <w:numPr>
          <w:ilvl w:val="0"/>
          <w:numId w:val="1002"/>
        </w:numPr>
      </w:pPr>
      <w:hyperlink r:id="rId49">
        <w:r>
          <w:rPr>
            <w:rStyle w:val="Hyperlink"/>
            <w:color w:val="0645AD"/>
            <w:u w:val="single"/>
          </w:rPr>
          <w:t xml:space="preserve">Reg S-K Rule 229.407</w:t>
        </w:r>
      </w:hyperlink>
    </w:p>
    <w:p>
      <w:pPr>
        <w:pStyle w:val="Compact"/>
        <w:numPr>
          <w:ilvl w:val="0"/>
          <w:numId w:val="1002"/>
        </w:numPr>
      </w:pPr>
      <w:hyperlink r:id="rId27">
        <w:r>
          <w:rPr>
            <w:rStyle w:val="Hyperlink"/>
            <w:color w:val="0645AD"/>
            <w:u w:val="single"/>
          </w:rPr>
          <w:t xml:space="preserve">SR 12-17/CA 12-14, Consolidated Supervision Framework for Large Financial Institutions</w:t>
        </w:r>
      </w:hyperlink>
    </w:p>
    <w:p>
      <w:pPr>
        <w:pStyle w:val="Compact"/>
        <w:numPr>
          <w:ilvl w:val="0"/>
          <w:numId w:val="1002"/>
        </w:numPr>
      </w:pPr>
      <w:hyperlink r:id="rId68">
        <w:r>
          <w:rPr>
            <w:rStyle w:val="Hyperlink"/>
            <w:color w:val="0645AD"/>
            <w:u w:val="single"/>
          </w:rPr>
          <w:t xml:space="preserve">SR 14-1, Heightened Supervisory Expectations for Recovery and Resolution Preparedness</w:t>
        </w:r>
      </w:hyperlink>
    </w:p>
    <w:p>
      <w:pPr>
        <w:pStyle w:val="Compact"/>
        <w:numPr>
          <w:ilvl w:val="0"/>
          <w:numId w:val="1002"/>
        </w:numPr>
      </w:pPr>
      <w:hyperlink r:id="rId67">
        <w:r>
          <w:rPr>
            <w:rStyle w:val="Hyperlink"/>
            <w:color w:val="0645AD"/>
            <w:u w:val="single"/>
          </w:rPr>
          <w:t xml:space="preserve">SR 14-8, Consolidated Recovery Planning for Certain Large Domestic Bank Holding Companies</w:t>
        </w:r>
      </w:hyperlink>
    </w:p>
    <w:p>
      <w:pPr>
        <w:pStyle w:val="Compact"/>
        <w:numPr>
          <w:ilvl w:val="0"/>
          <w:numId w:val="1002"/>
        </w:numPr>
      </w:pPr>
      <w:hyperlink r:id="rId107">
        <w:r>
          <w:rPr>
            <w:rStyle w:val="Hyperlink"/>
            <w:color w:val="0645AD"/>
            <w:u w:val="single"/>
          </w:rPr>
          <w:t xml:space="preserve">SR 21-20: Regulation O and Investment Funds</w:t>
        </w:r>
      </w:hyperlink>
    </w:p>
    <w:p>
      <w:pPr>
        <w:pStyle w:val="Compact"/>
        <w:numPr>
          <w:ilvl w:val="0"/>
          <w:numId w:val="1002"/>
        </w:numPr>
      </w:pPr>
      <w:hyperlink r:id="rId39">
        <w:r>
          <w:rPr>
            <w:rStyle w:val="Hyperlink"/>
            <w:color w:val="0645AD"/>
            <w:u w:val="single"/>
          </w:rPr>
          <w:t xml:space="preserve">SR 21-3/CA 21-1 Attachment</w:t>
        </w:r>
      </w:hyperlink>
    </w:p>
    <w:p>
      <w:pPr>
        <w:pStyle w:val="Compact"/>
        <w:numPr>
          <w:ilvl w:val="0"/>
          <w:numId w:val="1002"/>
        </w:numPr>
      </w:pPr>
      <w:hyperlink r:id="rId29">
        <w:r>
          <w:rPr>
            <w:rStyle w:val="Hyperlink"/>
            <w:color w:val="0645AD"/>
            <w:u w:val="single"/>
          </w:rPr>
          <w:t xml:space="preserve">SR 21-3/CA 21-1, Supervisory Guidance on Board of Directors’ Effectiveness</w:t>
        </w:r>
      </w:hyperlink>
    </w:p>
    <w:p>
      <w:pPr>
        <w:pStyle w:val="Compact"/>
        <w:numPr>
          <w:ilvl w:val="0"/>
          <w:numId w:val="1002"/>
        </w:numPr>
      </w:pPr>
      <w:hyperlink r:id="rId108">
        <w:r>
          <w:rPr>
            <w:rStyle w:val="Hyperlink"/>
            <w:color w:val="0645AD"/>
            <w:u w:val="single"/>
          </w:rPr>
          <w:t xml:space="preserve">SR 23-10: Regulation O and Investment Funds</w:t>
        </w:r>
      </w:hyperlink>
    </w:p>
    <w:p>
      <w:pPr>
        <w:pStyle w:val="Compact"/>
        <w:numPr>
          <w:ilvl w:val="0"/>
          <w:numId w:val="1002"/>
        </w:numPr>
      </w:pPr>
      <w:hyperlink r:id="rId103">
        <w:r>
          <w:rPr>
            <w:rStyle w:val="Hyperlink"/>
            <w:color w:val="0645AD"/>
            <w:u w:val="single"/>
          </w:rPr>
          <w:t xml:space="preserve">SR 95-51, Rating the Adequacy of Risk Management Processes and Internal Controls</w:t>
        </w:r>
      </w:hyperlink>
    </w:p>
    <w:p>
      <w:pPr>
        <w:pStyle w:val="Compact"/>
        <w:numPr>
          <w:ilvl w:val="0"/>
          <w:numId w:val="1002"/>
        </w:numPr>
      </w:pPr>
      <w:hyperlink r:id="rId74">
        <w:r>
          <w:rPr>
            <w:rStyle w:val="Hyperlink"/>
            <w:color w:val="0645AD"/>
            <w:u w:val="single"/>
          </w:rPr>
          <w:t xml:space="preserve">Sullivan &amp; Cromwell, Federal Banking Agencies Issue Revised Guidance on Model Risk Management</w:t>
        </w:r>
      </w:hyperlink>
    </w:p>
    <w:p>
      <w:pPr>
        <w:pStyle w:val="Compact"/>
        <w:numPr>
          <w:ilvl w:val="0"/>
          <w:numId w:val="1002"/>
        </w:numPr>
      </w:pPr>
      <w:hyperlink r:id="rId97">
        <w:r>
          <w:rPr>
            <w:rStyle w:val="Hyperlink"/>
            <w:color w:val="0645AD"/>
            <w:u w:val="single"/>
          </w:rPr>
          <w:t xml:space="preserve">Troutman Pepper, Board Member Responsibilities for BSA/AML Compliance</w:t>
        </w:r>
      </w:hyperlink>
    </w:p>
    <w:bookmarkEnd w:id="139"/>
    <w:bookmarkEnd w:id="140"/>
    <w:p/>
    <w:p>
      <w:r>
        <w:rPr>
          <w:rFonts w:ascii="Pretendard" w:hAnsi="Pretendard"/>
          <w:i/>
          <w:color w:val="666666"/>
          <w:sz w:val="18"/>
        </w:rPr>
        <w:t>This document was generated by AI. Please review all content and verify against primary sources before relying on it.</w:t>
      </w:r>
    </w:p>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560" w:line="240" w:lineRule="auto"/>
      <w:outlineLvl w:val="0"/>
    </w:pPr>
    <w:rPr>
      <w:rFonts w:asciiTheme="majorHAnsi" w:cstheme="majorBidi" w:eastAsiaTheme="majorEastAsia" w:hAnsiTheme="majorHAnsi"/>
      <w:b/>
      <w:bCs/>
      <w:color w:val="1C1C1C"/>
      <w:sz w:val="36"/>
      <w:szCs w:val="28"/>
    </w:rPr>
  </w:style>
  <w:style w:styleId="Heading2" w:type="paragraph">
    <w:name w:val="heading 2"/>
    <w:basedOn w:val="Normal"/>
    <w:next w:val="Normal"/>
    <w:link w:val="Heading2Char"/>
    <w:uiPriority w:val="9"/>
    <w:unhideWhenUsed/>
    <w:qFormat/>
    <w:rsid w:val="00FC693F"/>
    <w:pPr>
      <w:keepNext/>
      <w:keepLines/>
      <w:spacing w:after="60" w:before="360"/>
      <w:outlineLvl w:val="1"/>
    </w:pPr>
    <w:rPr>
      <w:rFonts w:asciiTheme="majorHAnsi" w:cstheme="majorBidi" w:eastAsiaTheme="majorEastAsia" w:hAnsiTheme="majorHAnsi"/>
      <w:b/>
      <w:bCs/>
      <w:color w:val="1C1C1C"/>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val="00000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b/>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b/>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b/>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b/>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b/>
      <w:i/>
      <w:iCs/>
      <w:color w:val="00000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8" Type="http://schemas.openxmlformats.org/officeDocument/2006/relationships/hyperlink" Target="http://business.cch.com/BANKD/sr141_01242014.pdf" TargetMode="External"/><Relationship Id="rId72" Type="http://schemas.openxmlformats.org/officeDocument/2006/relationships/hyperlink" Target="http://business.cch.com/bfld/OCC-2011-12-04042011.pdf" TargetMode="External"/><Relationship Id="rId107" Type="http://schemas.openxmlformats.org/officeDocument/2006/relationships/hyperlink" Target="https://caffrey.ai/us-federal/us-banking-regulators/guidance/interpretations/sr-21-20-status-certain-investment-funds-and-their-portfolio-investments-purposes-regulation-o-and-reporting-requirements-under-part-363-fdic-regulations" TargetMode="External"/><Relationship Id="rId108" Type="http://schemas.openxmlformats.org/officeDocument/2006/relationships/hyperlink" Target="https://caffrey.ai/us-federal/us-banking-regulators/guidance/interpretations/sr-23-10-status-certain-investment-funds-and-their-portfolio-investments-purposes-regulation-o-and-reporting-requirements-under-part-363-fdic-regulations" TargetMode="External"/><Relationship Id="rId110" Type="http://schemas.openxmlformats.org/officeDocument/2006/relationships/hyperlink" Target="https://caffrey.ai/us-federal/us-banking-regulators/notices/sro-rule-filings/bulletins/occ-bulletin-2014-45-heightened-standards-large-banks-integration-12-cfr-30-and-12-cfr-170-final-rules-and-guidelines" TargetMode="External"/><Relationship Id="rId100" Type="http://schemas.openxmlformats.org/officeDocument/2006/relationships/hyperlink" Target="https://caffrey.ai/us/cfr/12/1026.36" TargetMode="External"/><Relationship Id="rId91" Type="http://schemas.openxmlformats.org/officeDocument/2006/relationships/hyperlink" Target="https://caffrey.ai/us/cfr/12/21.11" TargetMode="External"/><Relationship Id="rId95" Type="http://schemas.openxmlformats.org/officeDocument/2006/relationships/hyperlink" Target="https://caffrey.ai/us/cfr/12/211.5" TargetMode="External"/><Relationship Id="rId75" Type="http://schemas.openxmlformats.org/officeDocument/2006/relationships/hyperlink" Target="https://caffrey.ai/us/cfr/12/217.122" TargetMode="External"/><Relationship Id="rId36" Type="http://schemas.openxmlformats.org/officeDocument/2006/relationships/hyperlink" Target="https://caffrey.ai/us/cfr/12/225.4" TargetMode="External"/><Relationship Id="rId118" Type="http://schemas.openxmlformats.org/officeDocument/2006/relationships/hyperlink" Target="https://caffrey.ai/us/cfr/12/252.153" TargetMode="External"/><Relationship Id="rId53" Type="http://schemas.openxmlformats.org/officeDocument/2006/relationships/hyperlink" Target="https://caffrey.ai/us/cfr/12/252.33" TargetMode="External"/><Relationship Id="rId106" Type="http://schemas.openxmlformats.org/officeDocument/2006/relationships/hyperlink" Target="https://caffrey.ai/us/cfr/12/337.3" TargetMode="External"/><Relationship Id="rId102" Type="http://schemas.openxmlformats.org/officeDocument/2006/relationships/hyperlink" Target="https://caffrey.ai/us/cfr/12/appendix_a_to_part_30" TargetMode="External"/><Relationship Id="rId78" Type="http://schemas.openxmlformats.org/officeDocument/2006/relationships/hyperlink" Target="https://caffrey.ai/us/cfr/12/appendix_b_to_part_30" TargetMode="External"/><Relationship Id="rId81" Type="http://schemas.openxmlformats.org/officeDocument/2006/relationships/hyperlink" Target="https://caffrey.ai/us/cfr/12/appendix_b_to_part_364" TargetMode="External"/><Relationship Id="rId40" Type="http://schemas.openxmlformats.org/officeDocument/2006/relationships/hyperlink" Target="https://caffrey.ai/us/cfr/12/appendix_c_to_part_364" TargetMode="External"/><Relationship Id="rId79" Type="http://schemas.openxmlformats.org/officeDocument/2006/relationships/hyperlink" Target="https://caffrey.ai/us/cfr/12/appendix_d-2_to_part_208" TargetMode="External"/><Relationship Id="rId32" Type="http://schemas.openxmlformats.org/officeDocument/2006/relationships/hyperlink" Target="https://caffrey.ai/us/cfr/12/appendix_d_to_part_30" TargetMode="External"/><Relationship Id="rId80" Type="http://schemas.openxmlformats.org/officeDocument/2006/relationships/hyperlink" Target="https://caffrey.ai/us/cfr/12/appendix_f_to_part_225" TargetMode="External"/><Relationship Id="rId85" Type="http://schemas.openxmlformats.org/officeDocument/2006/relationships/hyperlink" Target="https://caffrey.ai/us/cfr/17/229.106" TargetMode="External"/><Relationship Id="rId49" Type="http://schemas.openxmlformats.org/officeDocument/2006/relationships/hyperlink" Target="https://caffrey.ai/us/cfr/17/229.407" TargetMode="External"/><Relationship Id="rId82" Type="http://schemas.openxmlformats.org/officeDocument/2006/relationships/hyperlink" Target="https://caffrey.ai/us/fr/01-1114" TargetMode="External"/><Relationship Id="rId59" Type="http://schemas.openxmlformats.org/officeDocument/2006/relationships/hyperlink" Target="https://caffrey.ai/us/fr/03-29723" TargetMode="External"/><Relationship Id="rId62" Type="http://schemas.openxmlformats.org/officeDocument/2006/relationships/hyperlink" Target="https://caffrey.ai/us/fr/2012-11989" TargetMode="External"/><Relationship Id="rId64" Type="http://schemas.openxmlformats.org/officeDocument/2006/relationships/hyperlink" Target="https://caffrey.ai/us/fr/2012-7620" TargetMode="External"/><Relationship Id="rId104" Type="http://schemas.openxmlformats.org/officeDocument/2006/relationships/hyperlink" Target="https://caffrey.ai/us/usc/t12/s1817" TargetMode="External"/><Relationship Id="rId125" Type="http://schemas.openxmlformats.org/officeDocument/2006/relationships/hyperlink" Target="https://caffrey.ai/us/usc/t12/s1818" TargetMode="External"/><Relationship Id="rId89" Type="http://schemas.openxmlformats.org/officeDocument/2006/relationships/hyperlink" Target="https://caffrey.ai/us/usc/t12/s1829b" TargetMode="External"/><Relationship Id="rId25" Type="http://schemas.openxmlformats.org/officeDocument/2006/relationships/hyperlink" Target="https://caffrey.ai/us/usc/t12/s1831p-1" TargetMode="External"/><Relationship Id="rId24" Type="http://schemas.openxmlformats.org/officeDocument/2006/relationships/hyperlink" Target="https://caffrey.ai/us/usc/t12/s1844" TargetMode="External"/><Relationship Id="rId23" Type="http://schemas.openxmlformats.org/officeDocument/2006/relationships/hyperlink" Target="https://caffrey.ai/us/usc/t12/s5365" TargetMode="External"/><Relationship Id="rId88" Type="http://schemas.openxmlformats.org/officeDocument/2006/relationships/hyperlink" Target="https://caffrey.ai/us/usc/t31/s5318" TargetMode="External"/><Relationship Id="rId34" Type="http://schemas.openxmlformats.org/officeDocument/2006/relationships/hyperlink" Target="https://www.aba.com/advocacy/policy-analysis/letter-on-occ-heightened-standards" TargetMode="External"/><Relationship Id="rId48" Type="http://schemas.openxmlformats.org/officeDocument/2006/relationships/hyperlink" Target="https://www.cov.com/-/media/files/corporate/publications/2021/03/prepare-to-meet-new-fed-expectations-on-effective-boards.pdf" TargetMode="External"/><Relationship Id="rId30" Type="http://schemas.openxmlformats.org/officeDocument/2006/relationships/hyperlink" Target="https://www.debevoise.com/-/media/files/insights/publications/2021/03/20210310-federal-reserve-board-finalizes-board.pdf" TargetMode="External"/><Relationship Id="rId134" Type="http://schemas.openxmlformats.org/officeDocument/2006/relationships/hyperlink" Target="https://www.dwt.com/blogs/financial-services-law-advisor/2026/01/occ-proposed-rule-institution-risk-governance" TargetMode="External"/><Relationship Id="rId43" Type="http://schemas.openxmlformats.org/officeDocument/2006/relationships/hyperlink" Target="https://www.ecfr.gov/current/title-12/chapter-I/part-30/appendix-Appendix%20D%20to%20Part%2030" TargetMode="External"/><Relationship Id="rId57" Type="http://schemas.openxmlformats.org/officeDocument/2006/relationships/hyperlink" Target="https://www.fdic.gov/news/financial-institution-letters/2024/incentive-based-compensation-arrangements" TargetMode="External"/><Relationship Id="rId93" Type="http://schemas.openxmlformats.org/officeDocument/2006/relationships/hyperlink" Target="https://www.fdic.gov/news/press-releases/2020/pr20091a.pdf" TargetMode="External"/><Relationship Id="rId20" Type="http://schemas.openxmlformats.org/officeDocument/2006/relationships/hyperlink" Target="https://www.federalregister.gov/documents/2026/03/27/2026-05961/regulatory-capital-rule-regulation-q-risk-based-capital-surcharges-for-global-systemically-important" TargetMode="External"/><Relationship Id="rId29" Type="http://schemas.openxmlformats.org/officeDocument/2006/relationships/hyperlink" Target="https://www.federalreserve.gov/supervisionreg/srletters/SR2103.htm" TargetMode="External"/><Relationship Id="rId39" Type="http://schemas.openxmlformats.org/officeDocument/2006/relationships/hyperlink" Target="https://www.federalreserve.gov/supervisionreg/srletters/SR2103a1.pdf" TargetMode="External"/><Relationship Id="rId103" Type="http://schemas.openxmlformats.org/officeDocument/2006/relationships/hyperlink" Target="https://www.federalreserve.gov/supervisionreg/srletters/SR9551.htm" TargetMode="External"/><Relationship Id="rId27" Type="http://schemas.openxmlformats.org/officeDocument/2006/relationships/hyperlink" Target="https://www.federalreserve.gov/supervisionreg/srletters/sr1217.htm" TargetMode="External"/><Relationship Id="rId67" Type="http://schemas.openxmlformats.org/officeDocument/2006/relationships/hyperlink" Target="https://www.federalreserve.gov/supervisionreg/srletters/sr1408.htm" TargetMode="External"/><Relationship Id="rId70" Type="http://schemas.openxmlformats.org/officeDocument/2006/relationships/hyperlink" Target="https://www.federalreserve.gov/supervisionreg/srletters/sr2304a1.pdf" TargetMode="External"/><Relationship Id="rId133" Type="http://schemas.openxmlformats.org/officeDocument/2006/relationships/hyperlink" Target="https://www.gibsondunn.com/wp-content/uploads/2021/03/risk-risk-and-more-risk-federal-reserve-finalizes-its-supervisory-guidance-on-board-of-directors-effectiveness.pdf" TargetMode="External"/><Relationship Id="rId132" Type="http://schemas.openxmlformats.org/officeDocument/2006/relationships/hyperlink" Target="https://www.mayerbrown.com/en/insights/publications/2021/03/us-frb-finalizes-board-effectiveness-guidance" TargetMode="External"/><Relationship Id="rId56" Type="http://schemas.openxmlformats.org/officeDocument/2006/relationships/hyperlink" Target="https://www.occ.gov/news-issuances/bulletins/2010/bulletin-2010-24.html" TargetMode="External"/><Relationship Id="rId33" Type="http://schemas.openxmlformats.org/officeDocument/2006/relationships/hyperlink" Target="https://www.occ.gov/news-issuances/bulletins/2025/bulletin-2025-51.html" TargetMode="External"/><Relationship Id="rId73" Type="http://schemas.openxmlformats.org/officeDocument/2006/relationships/hyperlink" Target="https://www.occ.gov/news-issuances/bulletins/2026/bulletin-2026-13.html" TargetMode="External"/><Relationship Id="rId74" Type="http://schemas.openxmlformats.org/officeDocument/2006/relationships/hyperlink" Target="https://www.sullcrom.com/insights/memo/2026/April/OCC-Fed-FDIC-Issue-Revised-Guidance-Model-Risk-Management" TargetMode="External"/><Relationship Id="rId97" Type="http://schemas.openxmlformats.org/officeDocument/2006/relationships/hyperlink" Target="https://www.troutman.com/insights/board-member-responsibilities-for-bsaaml-compliance/" TargetMode="External"/><Relationship Id="rId9" Type="http://schemas.openxmlformats.org/officeDocument/2006/relationships/image" Target="media/image1.png"/></Relationships>
</file>

<file path=word/_rels/footnotes.xml.rels><?xml version='1.0' encoding='UTF-8' standalone='yes'?>
<Relationships xmlns="http://schemas.openxmlformats.org/package/2006/relationships"><Relationship Id="rId68" Type="http://schemas.openxmlformats.org/officeDocument/2006/relationships/hyperlink" Target="http://business.cch.com/BANKD/sr141_01242014.pdf" TargetMode="External"/><Relationship Id="rId72" Type="http://schemas.openxmlformats.org/officeDocument/2006/relationships/hyperlink" Target="http://business.cch.com/bfld/OCC-2011-12-04042011.pdf" TargetMode="External"/><Relationship Id="rId107" Type="http://schemas.openxmlformats.org/officeDocument/2006/relationships/hyperlink" Target="https://caffrey.ai/us-federal/us-banking-regulators/guidance/interpretations/sr-21-20-status-certain-investment-funds-and-their-portfolio-investments-purposes-regulation-o-and-reporting-requirements-under-part-363-fdic-regulations" TargetMode="External"/><Relationship Id="rId108" Type="http://schemas.openxmlformats.org/officeDocument/2006/relationships/hyperlink" Target="https://caffrey.ai/us-federal/us-banking-regulators/guidance/interpretations/sr-23-10-status-certain-investment-funds-and-their-portfolio-investments-purposes-regulation-o-and-reporting-requirements-under-part-363-fdic-regulations" TargetMode="External"/><Relationship Id="rId110" Type="http://schemas.openxmlformats.org/officeDocument/2006/relationships/hyperlink" Target="https://caffrey.ai/us-federal/us-banking-regulators/notices/sro-rule-filings/bulletins/occ-bulletin-2014-45-heightened-standards-large-banks-integration-12-cfr-30-and-12-cfr-170-final-rules-and-guidelines" TargetMode="External"/><Relationship Id="rId100" Type="http://schemas.openxmlformats.org/officeDocument/2006/relationships/hyperlink" Target="https://caffrey.ai/us/cfr/12/1026.36" TargetMode="External"/><Relationship Id="rId91" Type="http://schemas.openxmlformats.org/officeDocument/2006/relationships/hyperlink" Target="https://caffrey.ai/us/cfr/12/21.11" TargetMode="External"/><Relationship Id="rId95" Type="http://schemas.openxmlformats.org/officeDocument/2006/relationships/hyperlink" Target="https://caffrey.ai/us/cfr/12/211.5" TargetMode="External"/><Relationship Id="rId75" Type="http://schemas.openxmlformats.org/officeDocument/2006/relationships/hyperlink" Target="https://caffrey.ai/us/cfr/12/217.122" TargetMode="External"/><Relationship Id="rId36" Type="http://schemas.openxmlformats.org/officeDocument/2006/relationships/hyperlink" Target="https://caffrey.ai/us/cfr/12/225.4" TargetMode="External"/><Relationship Id="rId118" Type="http://schemas.openxmlformats.org/officeDocument/2006/relationships/hyperlink" Target="https://caffrey.ai/us/cfr/12/252.153" TargetMode="External"/><Relationship Id="rId53" Type="http://schemas.openxmlformats.org/officeDocument/2006/relationships/hyperlink" Target="https://caffrey.ai/us/cfr/12/252.33" TargetMode="External"/><Relationship Id="rId106" Type="http://schemas.openxmlformats.org/officeDocument/2006/relationships/hyperlink" Target="https://caffrey.ai/us/cfr/12/337.3" TargetMode="External"/><Relationship Id="rId102" Type="http://schemas.openxmlformats.org/officeDocument/2006/relationships/hyperlink" Target="https://caffrey.ai/us/cfr/12/appendix_a_to_part_30" TargetMode="External"/><Relationship Id="rId78" Type="http://schemas.openxmlformats.org/officeDocument/2006/relationships/hyperlink" Target="https://caffrey.ai/us/cfr/12/appendix_b_to_part_30" TargetMode="External"/><Relationship Id="rId81" Type="http://schemas.openxmlformats.org/officeDocument/2006/relationships/hyperlink" Target="https://caffrey.ai/us/cfr/12/appendix_b_to_part_364" TargetMode="External"/><Relationship Id="rId40" Type="http://schemas.openxmlformats.org/officeDocument/2006/relationships/hyperlink" Target="https://caffrey.ai/us/cfr/12/appendix_c_to_part_364" TargetMode="External"/><Relationship Id="rId79" Type="http://schemas.openxmlformats.org/officeDocument/2006/relationships/hyperlink" Target="https://caffrey.ai/us/cfr/12/appendix_d-2_to_part_208" TargetMode="External"/><Relationship Id="rId32" Type="http://schemas.openxmlformats.org/officeDocument/2006/relationships/hyperlink" Target="https://caffrey.ai/us/cfr/12/appendix_d_to_part_30" TargetMode="External"/><Relationship Id="rId80" Type="http://schemas.openxmlformats.org/officeDocument/2006/relationships/hyperlink" Target="https://caffrey.ai/us/cfr/12/appendix_f_to_part_225" TargetMode="External"/><Relationship Id="rId85" Type="http://schemas.openxmlformats.org/officeDocument/2006/relationships/hyperlink" Target="https://caffrey.ai/us/cfr/17/229.106" TargetMode="External"/><Relationship Id="rId49" Type="http://schemas.openxmlformats.org/officeDocument/2006/relationships/hyperlink" Target="https://caffrey.ai/us/cfr/17/229.407" TargetMode="External"/><Relationship Id="rId82" Type="http://schemas.openxmlformats.org/officeDocument/2006/relationships/hyperlink" Target="https://caffrey.ai/us/fr/01-1114" TargetMode="External"/><Relationship Id="rId59" Type="http://schemas.openxmlformats.org/officeDocument/2006/relationships/hyperlink" Target="https://caffrey.ai/us/fr/03-29723" TargetMode="External"/><Relationship Id="rId62" Type="http://schemas.openxmlformats.org/officeDocument/2006/relationships/hyperlink" Target="https://caffrey.ai/us/fr/2012-11989" TargetMode="External"/><Relationship Id="rId64" Type="http://schemas.openxmlformats.org/officeDocument/2006/relationships/hyperlink" Target="https://caffrey.ai/us/fr/2012-7620" TargetMode="External"/><Relationship Id="rId104" Type="http://schemas.openxmlformats.org/officeDocument/2006/relationships/hyperlink" Target="https://caffrey.ai/us/usc/t12/s1817" TargetMode="External"/><Relationship Id="rId125" Type="http://schemas.openxmlformats.org/officeDocument/2006/relationships/hyperlink" Target="https://caffrey.ai/us/usc/t12/s1818" TargetMode="External"/><Relationship Id="rId89" Type="http://schemas.openxmlformats.org/officeDocument/2006/relationships/hyperlink" Target="https://caffrey.ai/us/usc/t12/s1829b" TargetMode="External"/><Relationship Id="rId25" Type="http://schemas.openxmlformats.org/officeDocument/2006/relationships/hyperlink" Target="https://caffrey.ai/us/usc/t12/s1831p-1" TargetMode="External"/><Relationship Id="rId24" Type="http://schemas.openxmlformats.org/officeDocument/2006/relationships/hyperlink" Target="https://caffrey.ai/us/usc/t12/s1844" TargetMode="External"/><Relationship Id="rId23" Type="http://schemas.openxmlformats.org/officeDocument/2006/relationships/hyperlink" Target="https://caffrey.ai/us/usc/t12/s5365" TargetMode="External"/><Relationship Id="rId88" Type="http://schemas.openxmlformats.org/officeDocument/2006/relationships/hyperlink" Target="https://caffrey.ai/us/usc/t31/s5318" TargetMode="External"/><Relationship Id="rId34" Type="http://schemas.openxmlformats.org/officeDocument/2006/relationships/hyperlink" Target="https://www.aba.com/advocacy/policy-analysis/letter-on-occ-heightened-standards" TargetMode="External"/><Relationship Id="rId48" Type="http://schemas.openxmlformats.org/officeDocument/2006/relationships/hyperlink" Target="https://www.cov.com/-/media/files/corporate/publications/2021/03/prepare-to-meet-new-fed-expectations-on-effective-boards.pdf" TargetMode="External"/><Relationship Id="rId30" Type="http://schemas.openxmlformats.org/officeDocument/2006/relationships/hyperlink" Target="https://www.debevoise.com/-/media/files/insights/publications/2021/03/20210310-federal-reserve-board-finalizes-board.pdf" TargetMode="External"/><Relationship Id="rId134" Type="http://schemas.openxmlformats.org/officeDocument/2006/relationships/hyperlink" Target="https://www.dwt.com/blogs/financial-services-law-advisor/2026/01/occ-proposed-rule-institution-risk-governance" TargetMode="External"/><Relationship Id="rId43" Type="http://schemas.openxmlformats.org/officeDocument/2006/relationships/hyperlink" Target="https://www.ecfr.gov/current/title-12/chapter-I/part-30/appendix-Appendix%20D%20to%20Part%2030" TargetMode="External"/><Relationship Id="rId57" Type="http://schemas.openxmlformats.org/officeDocument/2006/relationships/hyperlink" Target="https://www.fdic.gov/news/financial-institution-letters/2024/incentive-based-compensation-arrangements" TargetMode="External"/><Relationship Id="rId93" Type="http://schemas.openxmlformats.org/officeDocument/2006/relationships/hyperlink" Target="https://www.fdic.gov/news/press-releases/2020/pr20091a.pdf" TargetMode="External"/><Relationship Id="rId20" Type="http://schemas.openxmlformats.org/officeDocument/2006/relationships/hyperlink" Target="https://www.federalregister.gov/documents/2026/03/27/2026-05961/regulatory-capital-rule-regulation-q-risk-based-capital-surcharges-for-global-systemically-important" TargetMode="External"/><Relationship Id="rId29" Type="http://schemas.openxmlformats.org/officeDocument/2006/relationships/hyperlink" Target="https://www.federalreserve.gov/supervisionreg/srletters/SR2103.htm" TargetMode="External"/><Relationship Id="rId39" Type="http://schemas.openxmlformats.org/officeDocument/2006/relationships/hyperlink" Target="https://www.federalreserve.gov/supervisionreg/srletters/SR2103a1.pdf" TargetMode="External"/><Relationship Id="rId103" Type="http://schemas.openxmlformats.org/officeDocument/2006/relationships/hyperlink" Target="https://www.federalreserve.gov/supervisionreg/srletters/SR9551.htm" TargetMode="External"/><Relationship Id="rId27" Type="http://schemas.openxmlformats.org/officeDocument/2006/relationships/hyperlink" Target="https://www.federalreserve.gov/supervisionreg/srletters/sr1217.htm" TargetMode="External"/><Relationship Id="rId67" Type="http://schemas.openxmlformats.org/officeDocument/2006/relationships/hyperlink" Target="https://www.federalreserve.gov/supervisionreg/srletters/sr1408.htm" TargetMode="External"/><Relationship Id="rId70" Type="http://schemas.openxmlformats.org/officeDocument/2006/relationships/hyperlink" Target="https://www.federalreserve.gov/supervisionreg/srletters/sr2304a1.pdf" TargetMode="External"/><Relationship Id="rId133" Type="http://schemas.openxmlformats.org/officeDocument/2006/relationships/hyperlink" Target="https://www.gibsondunn.com/wp-content/uploads/2021/03/risk-risk-and-more-risk-federal-reserve-finalizes-its-supervisory-guidance-on-board-of-directors-effectiveness.pdf" TargetMode="External"/><Relationship Id="rId132" Type="http://schemas.openxmlformats.org/officeDocument/2006/relationships/hyperlink" Target="https://www.mayerbrown.com/en/insights/publications/2021/03/us-frb-finalizes-board-effectiveness-guidance" TargetMode="External"/><Relationship Id="rId56" Type="http://schemas.openxmlformats.org/officeDocument/2006/relationships/hyperlink" Target="https://www.occ.gov/news-issuances/bulletins/2010/bulletin-2010-24.html" TargetMode="External"/><Relationship Id="rId33" Type="http://schemas.openxmlformats.org/officeDocument/2006/relationships/hyperlink" Target="https://www.occ.gov/news-issuances/bulletins/2025/bulletin-2025-51.html" TargetMode="External"/><Relationship Id="rId73" Type="http://schemas.openxmlformats.org/officeDocument/2006/relationships/hyperlink" Target="https://www.occ.gov/news-issuances/bulletins/2026/bulletin-2026-13.html" TargetMode="External"/><Relationship Id="rId74" Type="http://schemas.openxmlformats.org/officeDocument/2006/relationships/hyperlink" Target="https://www.sullcrom.com/insights/memo/2026/April/OCC-Fed-FDIC-Issue-Revised-Guidance-Model-Risk-Management" TargetMode="External"/><Relationship Id="rId97" Type="http://schemas.openxmlformats.org/officeDocument/2006/relationships/hyperlink" Target="https://www.troutman.com/insights/board-member-responsibilities-for-bsaaml-compli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Instrument Serif"/>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Pretendard"/>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2026-05-29T17:15:30Z</dcterms:created>
  <dcterms:modified xsi:type="dcterms:W3CDTF">2026-05-29T17:15:30Z</dcterms:modified>
</cp:coreProperties>
</file>

<file path=docProps/custom.xml><?xml version="1.0" encoding="utf-8"?>
<Properties xmlns="http://schemas.openxmlformats.org/officeDocument/2006/custom-properties" xmlns:vt="http://schemas.openxmlformats.org/officeDocument/2006/docPropsVTypes"/>
</file>