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CAA51" w14:textId="023B44BC" w:rsidR="009E7639" w:rsidRDefault="009E7639">
      <w:r>
        <w:t>GPT 5.5 Thinking – Board sludge query</w:t>
      </w:r>
    </w:p>
    <w:p w14:paraId="463BF73A" w14:textId="52E89F03" w:rsidR="009E7639" w:rsidRDefault="009E7639">
      <w:r>
        <w:t>May 29, 2026</w:t>
      </w:r>
    </w:p>
    <w:p w14:paraId="5E6EF97A" w14:textId="77777777" w:rsidR="009E7639" w:rsidRDefault="009E7639"/>
    <w:p w14:paraId="58422991" w14:textId="32EE48FA" w:rsidR="009E7639" w:rsidRDefault="009E7639">
      <w:r>
        <w:t xml:space="preserve">Prompt (as amended by Caffrey): </w:t>
      </w:r>
    </w:p>
    <w:p w14:paraId="1F03D74B" w14:textId="77777777" w:rsidR="009E7639" w:rsidRDefault="009E7639" w:rsidP="009E7639">
      <w:pPr>
        <w:pStyle w:val="p1"/>
      </w:pPr>
      <w:r>
        <w:t>Compile a comprehensive, citation-level inventory of all current, in-force obligations imposed on boards of directors of Category I global systemically important bank holding companies and their insured depository institution subsidiaries, drawing from all applicable federal regulations and agency guidance issued by the Federal Reserve, the OCC, the FDIC, and the CFPB, as well as relevant interagency standards. The inventory should capture obligations at every level of board structure, including obligations of the full board, obligations specific to individual board committees such as audit, risk, compensation, and nominating or governance committees, and any obligations that distinguish between inside and outside directors or between independent and non-independent directors. The research should address obligations arising across all major regulatory domains applicable to Category I GSIBs, including capital planning and stress testing, liquidity risk management, resolution planning, recovery planning, operational resilience, model risk governance, third-party risk management, incentive compensation, cybersecurity governance, BSA and AML program oversight, consumer compliance oversight, and safety and soundness standards generally. For each obligation identified, the inventory should specify the precise regulatory source, the nature of the board-level duty, whether the obligation falls on the full board or a specific committee, and any distinction between inside and outside or independent directors. The intended audience is bank directors and their legal counsel, as well as policymakers engaged in regulatory reform efforts aimed at identifying and reducing duplicative, overlapping, and unduly burdensome board-level requirements. The output should be granular and citation-specific, suitable for use as a working policy reform document, and is expected to be extensive, approximating 40 to 60 pages in depth.</w:t>
      </w:r>
    </w:p>
    <w:p w14:paraId="51EFFD5B" w14:textId="77777777" w:rsidR="009E7639" w:rsidRDefault="009E7639"/>
    <w:p w14:paraId="2AE27DE8" w14:textId="418F7B1D" w:rsidR="009E7639" w:rsidRDefault="009E7639">
      <w:r>
        <w:t>Response:</w:t>
      </w:r>
    </w:p>
    <w:p w14:paraId="217D20E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 xml:space="preserve">Below is a </w:t>
      </w:r>
      <w:r w:rsidRPr="009E7639">
        <w:rPr>
          <w:rFonts w:ascii="Times New Roman" w:eastAsia="Times New Roman" w:hAnsi="Times New Roman" w:cs="Times New Roman"/>
          <w:b/>
          <w:bCs/>
          <w:kern w:val="0"/>
          <w14:ligatures w14:val="none"/>
        </w:rPr>
        <w:t>working citation-level inventory, v0.1</w:t>
      </w:r>
      <w:r w:rsidRPr="009E7639">
        <w:rPr>
          <w:rFonts w:ascii="Times New Roman" w:eastAsia="Times New Roman" w:hAnsi="Times New Roman" w:cs="Times New Roman"/>
          <w:kern w:val="0"/>
          <w14:ligatures w14:val="none"/>
        </w:rPr>
        <w:t xml:space="preserve">, current to </w:t>
      </w:r>
      <w:r w:rsidRPr="009E7639">
        <w:rPr>
          <w:rFonts w:ascii="Times New Roman" w:eastAsia="Times New Roman" w:hAnsi="Times New Roman" w:cs="Times New Roman"/>
          <w:b/>
          <w:bCs/>
          <w:kern w:val="0"/>
          <w14:ligatures w14:val="none"/>
        </w:rPr>
        <w:t>May 29, 2026</w:t>
      </w:r>
      <w:r w:rsidRPr="009E7639">
        <w:rPr>
          <w:rFonts w:ascii="Times New Roman" w:eastAsia="Times New Roman" w:hAnsi="Times New Roman" w:cs="Times New Roman"/>
          <w:kern w:val="0"/>
          <w14:ligatures w14:val="none"/>
        </w:rPr>
        <w:t xml:space="preserve">. It is not yet a polished 40–60 page memorandum, but it is structured so it can be expanded into one. I treated “current, in-force” narrowly: </w:t>
      </w:r>
      <w:r w:rsidRPr="009E7639">
        <w:rPr>
          <w:rFonts w:ascii="Times New Roman" w:eastAsia="Times New Roman" w:hAnsi="Times New Roman" w:cs="Times New Roman"/>
          <w:b/>
          <w:bCs/>
          <w:kern w:val="0"/>
          <w14:ligatures w14:val="none"/>
        </w:rPr>
        <w:t>final rules, regulations, and extant supervisory guidance</w:t>
      </w:r>
      <w:r w:rsidRPr="009E7639">
        <w:rPr>
          <w:rFonts w:ascii="Times New Roman" w:eastAsia="Times New Roman" w:hAnsi="Times New Roman" w:cs="Times New Roman"/>
          <w:kern w:val="0"/>
          <w14:ligatures w14:val="none"/>
        </w:rPr>
        <w:t xml:space="preserve">, not proposed rules. One important update: the OCC has issued a 2026 final rule rescinding its recovery-planning guidelines at 12 CFR part 30, appendix E, so I do </w:t>
      </w:r>
      <w:r w:rsidRPr="009E7639">
        <w:rPr>
          <w:rFonts w:ascii="Times New Roman" w:eastAsia="Times New Roman" w:hAnsi="Times New Roman" w:cs="Times New Roman"/>
          <w:b/>
          <w:bCs/>
          <w:kern w:val="0"/>
          <w14:ligatures w14:val="none"/>
        </w:rPr>
        <w:t>not</w:t>
      </w:r>
      <w:r w:rsidRPr="009E7639">
        <w:rPr>
          <w:rFonts w:ascii="Times New Roman" w:eastAsia="Times New Roman" w:hAnsi="Times New Roman" w:cs="Times New Roman"/>
          <w:kern w:val="0"/>
          <w14:ligatures w14:val="none"/>
        </w:rPr>
        <w:t xml:space="preserve"> treat appendix E as an in-force OCC board obligation.  </w:t>
      </w:r>
    </w:p>
    <w:p w14:paraId="58631866" w14:textId="77777777" w:rsidR="009E7639" w:rsidRPr="009E7639" w:rsidRDefault="009E7639" w:rsidP="009E76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7639">
        <w:rPr>
          <w:rFonts w:ascii="Times New Roman" w:eastAsia="Times New Roman" w:hAnsi="Times New Roman" w:cs="Times New Roman"/>
          <w:b/>
          <w:bCs/>
          <w:kern w:val="0"/>
          <w:sz w:val="36"/>
          <w:szCs w:val="36"/>
          <w14:ligatures w14:val="none"/>
        </w:rPr>
        <w:t>Scope assumptions</w:t>
      </w:r>
    </w:p>
    <w:p w14:paraId="6CABF7E3"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Covered firms.</w:t>
      </w:r>
      <w:r w:rsidRPr="009E7639">
        <w:rPr>
          <w:rFonts w:ascii="Times New Roman" w:eastAsia="Times New Roman" w:hAnsi="Times New Roman" w:cs="Times New Roman"/>
          <w:kern w:val="0"/>
          <w14:ligatures w14:val="none"/>
        </w:rPr>
        <w:t xml:space="preserve"> U.S. Category I bank holding companies are U.S. GSIB bank holding companies. Their major IDI subsidiaries are generally subject to overlapping IDI-level regimes depending on charter: OCC for national banks/federal savings associations, FDIC for insured </w:t>
      </w:r>
      <w:r w:rsidRPr="009E7639">
        <w:rPr>
          <w:rFonts w:ascii="Times New Roman" w:eastAsia="Times New Roman" w:hAnsi="Times New Roman" w:cs="Times New Roman"/>
          <w:kern w:val="0"/>
          <w14:ligatures w14:val="none"/>
        </w:rPr>
        <w:lastRenderedPageBreak/>
        <w:t>state nonmember banks, Federal Reserve for state member banks, and CFPB for consumer-finance supervision where applicable.</w:t>
      </w:r>
    </w:p>
    <w:p w14:paraId="1C51C2D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Board structures captured.</w:t>
      </w:r>
      <w:r w:rsidRPr="009E7639">
        <w:rPr>
          <w:rFonts w:ascii="Times New Roman" w:eastAsia="Times New Roman" w:hAnsi="Times New Roman" w:cs="Times New Roman"/>
          <w:kern w:val="0"/>
          <w14:ligatures w14:val="none"/>
        </w:rPr>
        <w:t xml:space="preserve"> The inventory distinguishes: full board; board risk committee; audit committee; compensation committee or board compensation oversight; consumer compliance / governance committees where regulations permit delegation; and inside/outside/independent director distinctions.</w:t>
      </w:r>
    </w:p>
    <w:p w14:paraId="07AB8F7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Not included.</w:t>
      </w:r>
      <w:r w:rsidRPr="009E7639">
        <w:rPr>
          <w:rFonts w:ascii="Times New Roman" w:eastAsia="Times New Roman" w:hAnsi="Times New Roman" w:cs="Times New Roman"/>
          <w:kern w:val="0"/>
          <w14:ligatures w14:val="none"/>
        </w:rPr>
        <w:t xml:space="preserve"> Securities-exchange listing rules, SEC proxy rules, Delaware corporate-law duties, contractual resolution-planning commitments, supervisory MRAs, and firm-specific enforcement orders are outside this inventory unless cross-referenced by banking regulators.</w:t>
      </w:r>
    </w:p>
    <w:p w14:paraId="5BAA886A" w14:textId="77777777" w:rsidR="009E7639" w:rsidRPr="009E7639" w:rsidRDefault="00E716A1" w:rsidP="009E7639">
      <w:pPr>
        <w:spacing w:after="0" w:line="240" w:lineRule="auto"/>
        <w:rPr>
          <w:rFonts w:ascii="Times New Roman" w:eastAsia="Times New Roman" w:hAnsi="Times New Roman" w:cs="Times New Roman"/>
          <w:kern w:val="0"/>
          <w14:ligatures w14:val="none"/>
        </w:rPr>
      </w:pPr>
      <w:r w:rsidRPr="00E716A1">
        <w:rPr>
          <w:rFonts w:ascii="Times New Roman" w:eastAsia="Times New Roman" w:hAnsi="Times New Roman" w:cs="Times New Roman"/>
          <w:noProof/>
          <w:kern w:val="0"/>
        </w:rPr>
        <w:pict w14:anchorId="78CD1440">
          <v:rect id="_x0000_i1039" alt="" style="width:468pt;height:.05pt;mso-width-percent:0;mso-height-percent:0;mso-width-percent:0;mso-height-percent:0" o:hralign="center" o:hrstd="t" o:hr="t" fillcolor="#a0a0a0" stroked="f"/>
        </w:pict>
      </w:r>
    </w:p>
    <w:p w14:paraId="38402459" w14:textId="77777777" w:rsidR="009E7639" w:rsidRPr="009E7639" w:rsidRDefault="009E7639" w:rsidP="009E76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E7639">
        <w:rPr>
          <w:rFonts w:ascii="Times New Roman" w:eastAsia="Times New Roman" w:hAnsi="Times New Roman" w:cs="Times New Roman"/>
          <w:b/>
          <w:bCs/>
          <w:kern w:val="36"/>
          <w:sz w:val="48"/>
          <w:szCs w:val="48"/>
          <w14:ligatures w14:val="none"/>
        </w:rPr>
        <w:t>1. Cross-cutting board governance and risk-management obligations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799"/>
        <w:gridCol w:w="1040"/>
        <w:gridCol w:w="948"/>
        <w:gridCol w:w="2748"/>
        <w:gridCol w:w="2326"/>
        <w:gridCol w:w="1483"/>
      </w:tblGrid>
      <w:tr w:rsidR="009E7639" w:rsidRPr="009E7639" w14:paraId="2FEA9FB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BF3C02"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Domain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6DCBC1"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Source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2E7957"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Board / committee target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F1CA5B"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Citation-level duty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ECF766"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Inside / outside / independence distinction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DBE4F1"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Reform / overlap note</w:t>
            </w:r>
          </w:p>
        </w:tc>
      </w:tr>
      <w:tr w:rsidR="009E7639" w:rsidRPr="009E7639" w14:paraId="0243EA7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FDB86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Enterprise risk governance — BHC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97EC22"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252.33(a)</w:t>
            </w:r>
            <w:r w:rsidRPr="009E7639">
              <w:rPr>
                <w:rFonts w:ascii="Times New Roman" w:eastAsia="Times New Roman" w:hAnsi="Times New Roman" w:cs="Times New Roman"/>
                <w:kern w:val="0"/>
                <w14:ligatures w14:val="none"/>
              </w:rPr>
              <w:t>, Regulation YY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4AAE58"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BHC board risk committee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0F1F3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Category I BHC must maintain a risk committee that approves and periodically reviews risk-management policies for global operations and oversees the global risk-management framework.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2D5220"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Risk committee chair must be independent; committee must include at least one member with risk-management expertise for large, complex firms. Fed text also ties independence to national securities exchange standards.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B48AF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Core “board risk committee” obligation; overlaps with OCC heightened standards at IDI level and liquidity-specific approvals.</w:t>
            </w:r>
          </w:p>
        </w:tc>
      </w:tr>
      <w:tr w:rsidR="009E7639" w:rsidRPr="009E7639" w14:paraId="0AFA7FB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85BA2F"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 xml:space="preserve">Enterprise risk </w:t>
            </w:r>
            <w:r w:rsidRPr="009E7639">
              <w:rPr>
                <w:rFonts w:ascii="Times New Roman" w:eastAsia="Times New Roman" w:hAnsi="Times New Roman" w:cs="Times New Roman"/>
                <w:kern w:val="0"/>
                <w14:ligatures w14:val="none"/>
              </w:rPr>
              <w:lastRenderedPageBreak/>
              <w:t>governance — OCC covered bank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445B5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lastRenderedPageBreak/>
              <w:t xml:space="preserve">12 CFR part 30, </w:t>
            </w:r>
            <w:r w:rsidRPr="009E7639">
              <w:rPr>
                <w:rFonts w:ascii="Times New Roman" w:eastAsia="Times New Roman" w:hAnsi="Times New Roman" w:cs="Times New Roman"/>
                <w:b/>
                <w:bCs/>
                <w:kern w:val="0"/>
                <w14:ligatures w14:val="none"/>
              </w:rPr>
              <w:lastRenderedPageBreak/>
              <w:t>appendix 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71074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 xml:space="preserve">IDI full board; </w:t>
            </w:r>
            <w:r w:rsidRPr="009E7639">
              <w:rPr>
                <w:rFonts w:ascii="Times New Roman" w:eastAsia="Times New Roman" w:hAnsi="Times New Roman" w:cs="Times New Roman"/>
                <w:kern w:val="0"/>
                <w14:ligatures w14:val="none"/>
              </w:rPr>
              <w:lastRenderedPageBreak/>
              <w:t>board risk committee permitted for some approvals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30BF20"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 xml:space="preserve">Each board member should oversee compliance with safe and sound banking </w:t>
            </w:r>
            <w:r w:rsidRPr="009E7639">
              <w:rPr>
                <w:rFonts w:ascii="Times New Roman" w:eastAsia="Times New Roman" w:hAnsi="Times New Roman" w:cs="Times New Roman"/>
                <w:kern w:val="0"/>
                <w14:ligatures w14:val="none"/>
              </w:rPr>
              <w:lastRenderedPageBreak/>
              <w:t>practices; board should require management to establish and implement an effective risk-governance framework; board should actively oversee risk-taking and hold management accountable.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211F6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 xml:space="preserve">Each director should exercise independent judgment; at least </w:t>
            </w:r>
            <w:r w:rsidRPr="009E7639">
              <w:rPr>
                <w:rFonts w:ascii="Times New Roman" w:eastAsia="Times New Roman" w:hAnsi="Times New Roman" w:cs="Times New Roman"/>
                <w:kern w:val="0"/>
                <w14:ligatures w14:val="none"/>
              </w:rPr>
              <w:lastRenderedPageBreak/>
              <w:t>two directors should be independent.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BE2768"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 xml:space="preserve">One of the densest sources of IDI board </w:t>
            </w:r>
            <w:r w:rsidRPr="009E7639">
              <w:rPr>
                <w:rFonts w:ascii="Times New Roman" w:eastAsia="Times New Roman" w:hAnsi="Times New Roman" w:cs="Times New Roman"/>
                <w:kern w:val="0"/>
                <w14:ligatures w14:val="none"/>
              </w:rPr>
              <w:lastRenderedPageBreak/>
              <w:t>duties; likely major candidate for duplication mapping against Reg YY.</w:t>
            </w:r>
          </w:p>
        </w:tc>
      </w:tr>
      <w:tr w:rsidR="009E7639" w:rsidRPr="009E7639" w14:paraId="19BA6E0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02A5DD"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Risk governance framework approval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A1D7F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part 30, appendix 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E6FFEA"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IDI board or risk committee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F47E0A"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Covered bank’s risk-governance framework must be formal, written, designed by independent risk management, and approved by the board or board risk committee; significant changes also require approval; board/risk committee monitors compliance.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940AC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Same independent-director expectations apply.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6EDA53"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Duplicates BHC risk-framework review, but at IDI level.</w:t>
            </w:r>
          </w:p>
        </w:tc>
      </w:tr>
      <w:tr w:rsidR="009E7639" w:rsidRPr="009E7639" w14:paraId="3582EF2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1CF47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Risk appetite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DB49DB"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part 30, appendix 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AD1B1F"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IDI board or risk committee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F62F7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or risk committee must review and approve the risk-appetite statement at least annually, or more often as necessary, based on risk volatility, business-model changes, strategy, risk profile, or market conditions.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876203"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 special inside/outside distinction beyond appendix D independent-director requirement.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C7E40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Strong overlap with Reg YY liquidity risk tolerance and broader enterprise risk appetite processes.</w:t>
            </w:r>
          </w:p>
        </w:tc>
      </w:tr>
      <w:tr w:rsidR="009E7639" w:rsidRPr="009E7639" w14:paraId="1FD3A55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1E7200"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Independent risk management escalation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08765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part 30, appendix 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B0C9B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IDI board or risk committee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3635D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Independent risk management must identify and communicate material risks and significant differences between independent risk management and CEO assessments to the board or risk committee.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BD195B"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 additional committee independence rule beyond appendix 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82892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becomes an escalation recipient, not merely an approver.</w:t>
            </w:r>
          </w:p>
        </w:tc>
      </w:tr>
      <w:tr w:rsidR="009E7639" w:rsidRPr="009E7639" w14:paraId="734AC84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7B8354"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General safety and soundness standards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69FD3D"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part 30, appendix A; FDIC part 364 appendix A; Fed analogues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24F132"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IDI board / management, generally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45AB16"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Institution should maintain internal controls and information systems appropriate to size, scope, and risk; systems should provide clear authority, effective risk assessment, accurate reporting, asset safeguards, and legal compliance.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C12D0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 committee or independence distinction in appendix A itself.</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E8712E"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Serves as broad supervisory hook behind more specific board duties.</w:t>
            </w:r>
          </w:p>
        </w:tc>
      </w:tr>
      <w:tr w:rsidR="009E7639" w:rsidRPr="009E7639" w14:paraId="58B1AA5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F13796"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Federal Reserve consolidated supervision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EE4464"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SR 12-17 / CA 12-14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C2946E"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BHC board and senior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C53394"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Large firms are expected to maintain consolidated resiliency and ensure the organization and core business lines can survive a broad range of stresses.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5872A8"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 committee-specific independence requirement.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337239"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 xml:space="preserve">Guidance is broad and overlaps with capital, liquidity, recovery/resolution, and </w:t>
            </w:r>
            <w:r w:rsidRPr="009E7639">
              <w:rPr>
                <w:rFonts w:ascii="Times New Roman" w:eastAsia="Times New Roman" w:hAnsi="Times New Roman" w:cs="Times New Roman"/>
                <w:kern w:val="0"/>
                <w14:ligatures w14:val="none"/>
              </w:rPr>
              <w:lastRenderedPageBreak/>
              <w:t>governance regimes.</w:t>
            </w:r>
          </w:p>
        </w:tc>
      </w:tr>
      <w:tr w:rsidR="009E7639" w:rsidRPr="009E7639" w14:paraId="12B0110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E140FF"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Board effectiveness / supervisory expectations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874B9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Federal Reserve board-effectiveness guidance / SR 21-era updates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6C526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BHC board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A1EBC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Fed board-effectiveness guidance applies to domestic BHCs and SLHCs with $100B+ in assets and is intended to distinguish board oversight from management responsibilities.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DEC0CD"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Focuses on effective challenge and board composition; exact obligations are guidance-based rather than prescriptive regulation.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976950"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Important for reform work because older guidance often assigned management-like tasks to boards.</w:t>
            </w:r>
          </w:p>
        </w:tc>
      </w:tr>
    </w:tbl>
    <w:p w14:paraId="078A3A33" w14:textId="77777777" w:rsidR="009E7639" w:rsidRPr="009E7639" w:rsidRDefault="00E716A1" w:rsidP="009E7639">
      <w:pPr>
        <w:spacing w:after="0" w:line="240" w:lineRule="auto"/>
        <w:rPr>
          <w:rFonts w:ascii="Times New Roman" w:eastAsia="Times New Roman" w:hAnsi="Times New Roman" w:cs="Times New Roman"/>
          <w:kern w:val="0"/>
          <w14:ligatures w14:val="none"/>
        </w:rPr>
      </w:pPr>
      <w:r w:rsidRPr="00E716A1">
        <w:rPr>
          <w:rFonts w:ascii="Times New Roman" w:eastAsia="Times New Roman" w:hAnsi="Times New Roman" w:cs="Times New Roman"/>
          <w:noProof/>
          <w:kern w:val="0"/>
        </w:rPr>
        <w:pict w14:anchorId="42ED190A">
          <v:rect id="_x0000_i1038" alt="" style="width:468pt;height:.05pt;mso-width-percent:0;mso-height-percent:0;mso-width-percent:0;mso-height-percent:0" o:hralign="center" o:hrstd="t" o:hr="t" fillcolor="#a0a0a0" stroked="f"/>
        </w:pict>
      </w:r>
    </w:p>
    <w:p w14:paraId="5CE76548" w14:textId="77777777" w:rsidR="009E7639" w:rsidRPr="009E7639" w:rsidRDefault="009E7639" w:rsidP="009E76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E7639">
        <w:rPr>
          <w:rFonts w:ascii="Times New Roman" w:eastAsia="Times New Roman" w:hAnsi="Times New Roman" w:cs="Times New Roman"/>
          <w:b/>
          <w:bCs/>
          <w:kern w:val="36"/>
          <w:sz w:val="48"/>
          <w:szCs w:val="48"/>
          <w14:ligatures w14:val="none"/>
        </w:rPr>
        <w:t>2. Capital planning, stress testing, and capital adequacy</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922"/>
        <w:gridCol w:w="732"/>
        <w:gridCol w:w="1138"/>
        <w:gridCol w:w="2677"/>
        <w:gridCol w:w="1822"/>
        <w:gridCol w:w="2053"/>
      </w:tblGrid>
      <w:tr w:rsidR="009E7639" w:rsidRPr="009E7639" w14:paraId="1346A05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25622F"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Domain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34758D"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Source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8E58D9"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Board / committee target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F34044"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Citation-level duty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F55CD3"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Independence distinction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F6E89C"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Reform / overlap note</w:t>
            </w:r>
          </w:p>
        </w:tc>
      </w:tr>
      <w:tr w:rsidR="009E7639" w:rsidRPr="009E7639" w14:paraId="1FDE268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81B9CB"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Capital plan rule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C15D36"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225.8</w:t>
            </w:r>
            <w:r w:rsidRPr="009E7639">
              <w:rPr>
                <w:rFonts w:ascii="Times New Roman" w:eastAsia="Times New Roman" w:hAnsi="Times New Roman" w:cs="Times New Roman"/>
                <w:kern w:val="0"/>
                <w14:ligatures w14:val="none"/>
              </w:rPr>
              <w:t>, Regul</w:t>
            </w:r>
            <w:r w:rsidRPr="009E7639">
              <w:rPr>
                <w:rFonts w:ascii="Times New Roman" w:eastAsia="Times New Roman" w:hAnsi="Times New Roman" w:cs="Times New Roman"/>
                <w:kern w:val="0"/>
                <w14:ligatures w14:val="none"/>
              </w:rPr>
              <w:lastRenderedPageBreak/>
              <w:t>ation 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21D0DD"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BHC board; board committees as governance process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56658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Covered BHCs must comply with capital planning and prior notice / approval requirements for capital distributions; rule establishes the stress capital buffer process.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81010D"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 specific inside/outside director rule in 225.8.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11F483"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BHC-level capital planning duties overlap with Reg YY, SR 15-18, and model governance.</w:t>
            </w:r>
          </w:p>
        </w:tc>
      </w:tr>
      <w:tr w:rsidR="009E7639" w:rsidRPr="009E7639" w14:paraId="32AFBEF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79A459"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Category I capital planning expectations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A2BBDA"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SR 15-18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0D8C03"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BHC board, senior management, capital governance functions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C1258E"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Fed expectations apply only to U.S. BHCs subject to Category I standards; capital planning is central to loss absorption and continued lending.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CAA9F4"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 specific independent-director rule in SR 15-18 excerpt; operates through governance expectations.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E6C8B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Key Category I-specific capital planning guidance.</w:t>
            </w:r>
          </w:p>
        </w:tc>
      </w:tr>
      <w:tr w:rsidR="009E7639" w:rsidRPr="009E7639" w14:paraId="5E5D3EF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3F094A"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Advanced approaches capital systems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542EC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part 217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9277E8"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or board committee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0ED84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Advanced approaches implementation plan must receive board approval, and minutes of board approval must be submitted to the Fed at least 60 days before parallel run unless waived.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8CAD5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 special independence requirement.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E35C6A"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Concrete board approval obligation for advanced capital systems.</w:t>
            </w:r>
          </w:p>
        </w:tc>
      </w:tr>
      <w:tr w:rsidR="009E7639" w:rsidRPr="009E7639" w14:paraId="5105F27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45C8F3"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Internal audit reporting on advanced systems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3ADAB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part 217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E62A93"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or board committee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FC1FC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Independent internal audit must annually review advanced systems and associated operations, assess controls, document findings, and report findings to the board or committee.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5C9926"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 special independence requirement for directors; internal audit must be independent of business-line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6BF796"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receives model/capital-system assurance, overlapping with audit committee and model risk governance.</w:t>
            </w:r>
          </w:p>
        </w:tc>
      </w:tr>
      <w:tr w:rsidR="009E7639" w:rsidRPr="009E7639" w14:paraId="43179AF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34535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Stress testing governance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6E17B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part 252</w:t>
            </w:r>
            <w:r w:rsidRPr="009E7639">
              <w:rPr>
                <w:rFonts w:ascii="Times New Roman" w:eastAsia="Times New Roman" w:hAnsi="Times New Roman" w:cs="Times New Roman"/>
                <w:b/>
                <w:bCs/>
                <w:kern w:val="0"/>
                <w14:ligatures w14:val="none"/>
              </w:rPr>
              <w:lastRenderedPageBreak/>
              <w:t>, subpart 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905232"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BHC governance framework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AE210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 xml:space="preserve">Supervisory stress-test rules apply to U.S. BHCs with $100B+ assets and require stress-test processes assessing impact of </w:t>
            </w:r>
            <w:r w:rsidRPr="009E7639">
              <w:rPr>
                <w:rFonts w:ascii="Times New Roman" w:eastAsia="Times New Roman" w:hAnsi="Times New Roman" w:cs="Times New Roman"/>
                <w:kern w:val="0"/>
                <w14:ligatures w14:val="none"/>
              </w:rPr>
              <w:lastRenderedPageBreak/>
              <w:t>scenarios on earnings, losses, and capital.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35F3B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No committee-specific director independence rule in subpart E itself.</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D39C1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 xml:space="preserve">Board-level duties arise mostly through capital plan governance and SR 15-18 rather </w:t>
            </w:r>
            <w:r w:rsidRPr="009E7639">
              <w:rPr>
                <w:rFonts w:ascii="Times New Roman" w:eastAsia="Times New Roman" w:hAnsi="Times New Roman" w:cs="Times New Roman"/>
                <w:kern w:val="0"/>
                <w14:ligatures w14:val="none"/>
              </w:rPr>
              <w:lastRenderedPageBreak/>
              <w:t>than a simple “board must approve test” sentence.</w:t>
            </w:r>
          </w:p>
        </w:tc>
      </w:tr>
    </w:tbl>
    <w:p w14:paraId="7BA188B7" w14:textId="77777777" w:rsidR="009E7639" w:rsidRPr="009E7639" w:rsidRDefault="00E716A1" w:rsidP="009E7639">
      <w:pPr>
        <w:spacing w:after="0" w:line="240" w:lineRule="auto"/>
        <w:rPr>
          <w:rFonts w:ascii="Times New Roman" w:eastAsia="Times New Roman" w:hAnsi="Times New Roman" w:cs="Times New Roman"/>
          <w:kern w:val="0"/>
          <w14:ligatures w14:val="none"/>
        </w:rPr>
      </w:pPr>
      <w:r w:rsidRPr="00E716A1">
        <w:rPr>
          <w:rFonts w:ascii="Times New Roman" w:eastAsia="Times New Roman" w:hAnsi="Times New Roman" w:cs="Times New Roman"/>
          <w:noProof/>
          <w:kern w:val="0"/>
        </w:rPr>
        <w:lastRenderedPageBreak/>
        <w:pict w14:anchorId="48245E50">
          <v:rect id="_x0000_i1037" alt="" style="width:468pt;height:.05pt;mso-width-percent:0;mso-height-percent:0;mso-width-percent:0;mso-height-percent:0" o:hralign="center" o:hrstd="t" o:hr="t" fillcolor="#a0a0a0" stroked="f"/>
        </w:pict>
      </w:r>
    </w:p>
    <w:p w14:paraId="7F06C625" w14:textId="77777777" w:rsidR="009E7639" w:rsidRPr="009E7639" w:rsidRDefault="009E7639" w:rsidP="009E76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E7639">
        <w:rPr>
          <w:rFonts w:ascii="Times New Roman" w:eastAsia="Times New Roman" w:hAnsi="Times New Roman" w:cs="Times New Roman"/>
          <w:b/>
          <w:bCs/>
          <w:kern w:val="36"/>
          <w:sz w:val="48"/>
          <w:szCs w:val="48"/>
          <w14:ligatures w14:val="none"/>
        </w:rPr>
        <w:t>3. Liquidity risk management, ILST, LCR, NSFR</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993"/>
        <w:gridCol w:w="674"/>
        <w:gridCol w:w="1351"/>
        <w:gridCol w:w="3011"/>
        <w:gridCol w:w="1651"/>
        <w:gridCol w:w="1664"/>
      </w:tblGrid>
      <w:tr w:rsidR="009E7639" w:rsidRPr="009E7639" w14:paraId="213B98B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EC6869"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Domain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6E5E6F"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Source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299D72"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Board / committee target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89DF14"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Citation-level duty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3FD2BE"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Independence distinction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8479A6"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Reform / overlap note</w:t>
            </w:r>
          </w:p>
        </w:tc>
      </w:tr>
      <w:tr w:rsidR="009E7639" w:rsidRPr="009E7639" w14:paraId="5315DE4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5F76C9"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Liquidity risk tolerance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5CB49E"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252.34(a)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89E2B2"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BHC full board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CAA392"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must approve the liquidity risk tolerance at least annually, based on capital structure, risk profile, complexity, activities, size, and other appropriate risk factors.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F2213B"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 additional liquidity-specific independence rule beyond Reg YY risk committee rules.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F1C4C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Direct annual board approval obligation.</w:t>
            </w:r>
          </w:p>
        </w:tc>
      </w:tr>
      <w:tr w:rsidR="009E7639" w:rsidRPr="009E7639" w14:paraId="4F47B9C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FE270A"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Liquidity policies and procedures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2C4FCD"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252.34(a)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FE228B"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BHC full board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801BBE"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must approve and periodically review liquidity risk-management strategies, policies, and procedures established by senior management.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B51B6B"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Same.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E9B81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Overlaps with risk committee’s global risk-policy review.</w:t>
            </w:r>
          </w:p>
        </w:tc>
      </w:tr>
      <w:tr w:rsidR="009E7639" w:rsidRPr="009E7639" w14:paraId="5E1364C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AF9B7B"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Contingency funding plan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EC8564"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25</w:t>
            </w:r>
            <w:r w:rsidRPr="009E7639">
              <w:rPr>
                <w:rFonts w:ascii="Times New Roman" w:eastAsia="Times New Roman" w:hAnsi="Times New Roman" w:cs="Times New Roman"/>
                <w:b/>
                <w:bCs/>
                <w:kern w:val="0"/>
                <w14:ligatures w14:val="none"/>
              </w:rPr>
              <w:lastRenderedPageBreak/>
              <w:t>2.34(b)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C620A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 xml:space="preserve">BHC risk committee or designated </w:t>
            </w:r>
            <w:r w:rsidRPr="009E7639">
              <w:rPr>
                <w:rFonts w:ascii="Times New Roman" w:eastAsia="Times New Roman" w:hAnsi="Times New Roman" w:cs="Times New Roman"/>
                <w:kern w:val="0"/>
                <w14:ligatures w14:val="none"/>
              </w:rPr>
              <w:lastRenderedPageBreak/>
              <w:t>subcommittee of board members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DF598B"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 xml:space="preserve">Risk committee or designated board-member subcommittee must approve contingency funding plan at least </w:t>
            </w:r>
            <w:r w:rsidRPr="009E7639">
              <w:rPr>
                <w:rFonts w:ascii="Times New Roman" w:eastAsia="Times New Roman" w:hAnsi="Times New Roman" w:cs="Times New Roman"/>
                <w:kern w:val="0"/>
                <w14:ligatures w14:val="none"/>
              </w:rPr>
              <w:lastRenderedPageBreak/>
              <w:t>annually and approve material revisions before implementation.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7B102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 xml:space="preserve">Risk committee independence requirements </w:t>
            </w:r>
            <w:r w:rsidRPr="009E7639">
              <w:rPr>
                <w:rFonts w:ascii="Times New Roman" w:eastAsia="Times New Roman" w:hAnsi="Times New Roman" w:cs="Times New Roman"/>
                <w:kern w:val="0"/>
                <w14:ligatures w14:val="none"/>
              </w:rPr>
              <w:lastRenderedPageBreak/>
              <w:t>under 252.33 apply.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2755C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 xml:space="preserve">Clear committee-level obligation; often </w:t>
            </w:r>
            <w:r w:rsidRPr="009E7639">
              <w:rPr>
                <w:rFonts w:ascii="Times New Roman" w:eastAsia="Times New Roman" w:hAnsi="Times New Roman" w:cs="Times New Roman"/>
                <w:kern w:val="0"/>
                <w14:ligatures w14:val="none"/>
              </w:rPr>
              <w:lastRenderedPageBreak/>
              <w:t>duplicative with board liquidity-risk policy cycle.</w:t>
            </w:r>
          </w:p>
        </w:tc>
      </w:tr>
      <w:tr w:rsidR="009E7639" w:rsidRPr="009E7639" w14:paraId="2352080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0DEEE6"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Liquidity reporting to board/risk committee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92C7C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252.34(c)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069EB8"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or risk committee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03BDA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Senior management must report to board or risk committee at least quarterly on liquidity risk profile and liquidity risk tolerance, more often when market or firm conditions warrant.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8E999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None additional.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A6F000"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Creates a recurring board-information obligation.</w:t>
            </w:r>
          </w:p>
        </w:tc>
      </w:tr>
      <w:tr w:rsidR="009E7639" w:rsidRPr="009E7639" w14:paraId="500288C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0B51E2"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Liquidity stress testing governance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51144E"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252.35(a)(7)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84DFEE"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BHC governance framework; board/risk committee indirectly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8FA75F"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BHC must establish policies and procedures for liquidity stress testing and controls/oversight to ensure stress testing is effective.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14AF5E"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None additional.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988A68"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obligation is indirect unless folded into 252.34 policy approvals.</w:t>
            </w:r>
          </w:p>
        </w:tc>
      </w:tr>
      <w:tr w:rsidR="009E7639" w:rsidRPr="009E7639" w14:paraId="625C7B8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4621B3"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LCR / NSFR — Fed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87769D"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part 249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DE53C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Institution, with board oversight through risk governance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40E4F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Applies to global systemically important BHCs and GSIB depository institutions; establishes minimum liquidity and stable funding standards.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9CB23E"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 board committee independence rule in LCR/NSFR text itself.</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6EDE8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Quantitative rule; board duties come through governance, reporting, and risk tolerance.</w:t>
            </w:r>
          </w:p>
        </w:tc>
      </w:tr>
      <w:tr w:rsidR="009E7639" w:rsidRPr="009E7639" w14:paraId="338FE93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FB9548"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LCR / NSFR — OCC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9A973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part 50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A7EB54"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OCC-supervised GSIB IDI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FBC0E4"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Applies to GSIB depository institutions supervised by OCC and establishes minimum liquidity and stable funding standards.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23E0B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 board independence rule in part 50 itself.</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6FB56E"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IDI-level quantitative liquidity requirement overlaps with BHC liquidity governance.</w:t>
            </w:r>
          </w:p>
        </w:tc>
      </w:tr>
    </w:tbl>
    <w:p w14:paraId="32F3D6C7" w14:textId="77777777" w:rsidR="009E7639" w:rsidRPr="009E7639" w:rsidRDefault="00E716A1" w:rsidP="009E7639">
      <w:pPr>
        <w:spacing w:after="0" w:line="240" w:lineRule="auto"/>
        <w:rPr>
          <w:rFonts w:ascii="Times New Roman" w:eastAsia="Times New Roman" w:hAnsi="Times New Roman" w:cs="Times New Roman"/>
          <w:kern w:val="0"/>
          <w14:ligatures w14:val="none"/>
        </w:rPr>
      </w:pPr>
      <w:r w:rsidRPr="00E716A1">
        <w:rPr>
          <w:rFonts w:ascii="Times New Roman" w:eastAsia="Times New Roman" w:hAnsi="Times New Roman" w:cs="Times New Roman"/>
          <w:noProof/>
          <w:kern w:val="0"/>
        </w:rPr>
        <w:pict w14:anchorId="4749EB7C">
          <v:rect id="_x0000_i1036" alt="" style="width:468pt;height:.05pt;mso-width-percent:0;mso-height-percent:0;mso-width-percent:0;mso-height-percent:0" o:hralign="center" o:hrstd="t" o:hr="t" fillcolor="#a0a0a0" stroked="f"/>
        </w:pict>
      </w:r>
    </w:p>
    <w:p w14:paraId="4F834F4F" w14:textId="77777777" w:rsidR="009E7639" w:rsidRPr="009E7639" w:rsidRDefault="009E7639" w:rsidP="009E76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E7639">
        <w:rPr>
          <w:rFonts w:ascii="Times New Roman" w:eastAsia="Times New Roman" w:hAnsi="Times New Roman" w:cs="Times New Roman"/>
          <w:b/>
          <w:bCs/>
          <w:kern w:val="36"/>
          <w:sz w:val="48"/>
          <w:szCs w:val="48"/>
          <w14:ligatures w14:val="none"/>
        </w:rPr>
        <w:lastRenderedPageBreak/>
        <w:t>4. Resolution planning and resolvability</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309"/>
        <w:gridCol w:w="1249"/>
        <w:gridCol w:w="874"/>
        <w:gridCol w:w="2634"/>
        <w:gridCol w:w="1453"/>
        <w:gridCol w:w="1825"/>
      </w:tblGrid>
      <w:tr w:rsidR="009E7639" w:rsidRPr="009E7639" w14:paraId="0279B560"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865A52"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Domain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43E6B6"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Source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F6B5C1"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Board / committee target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A7544D"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Citation-level duty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59E7BC"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Independence distinction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1C085D"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Reform / overlap note</w:t>
            </w:r>
          </w:p>
        </w:tc>
      </w:tr>
      <w:tr w:rsidR="009E7639" w:rsidRPr="009E7639" w14:paraId="2965F82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2FD25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Title I resolution plan — BHC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A4D209"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part 243 / 381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1A74DF"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BHC board or governing body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023B1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Covered company must submit resolution plans; the rule applies to covered companies, including GSIB BHCs.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A0F3E3"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 independent-director requirement in the resolution-plan rule itself.</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B9224F"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BHC-level living will.</w:t>
            </w:r>
          </w:p>
        </w:tc>
      </w:tr>
      <w:tr w:rsidR="009E7639" w:rsidRPr="009E7639" w14:paraId="458F229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EEE17D"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Resolution-plan informational completeness and governance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4D5E04"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part 243 / 381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1C7E9E"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BHC board / senior governance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3251F6"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Domestic resolution-plan guidance references 12 CFR 243.5(c)(1)(iii) and 381.5(c)(1)(iii), which include governance-related plan requirements.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7F06B0"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 committee-specific distinction.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3049E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Overlaps with FDIC IDI resolution plans and recovery/resolution preparedness.</w:t>
            </w:r>
          </w:p>
        </w:tc>
      </w:tr>
      <w:tr w:rsidR="009E7639" w:rsidRPr="009E7639" w14:paraId="1E70C73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2DE8BF"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IDI resolution plan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46B99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360.10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4A6CF0"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CIDI board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41E49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Applies to IDIs with $50B+ assets; Group A CIDIs with $100B+ must submit resolution plans intended to enable FDIC receivership resolution.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EA5D0E"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 director independence rule in 360.10 itself.</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009569"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Major duplication with Title I plans for GSIB IDI subsidiaries.</w:t>
            </w:r>
          </w:p>
        </w:tc>
      </w:tr>
      <w:tr w:rsidR="009E7639" w:rsidRPr="009E7639" w14:paraId="1BF3684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98772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IDI GSIB affiliate filing frequency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20070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FDIC 2024 final rule / 12 CFR 360.10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B9AA8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CIDI board /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CFA580"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Covered IDIs affiliated with U.S. GSIBs file full resolution submissions every two years.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0D230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048872"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Particularly relevant to Category I GSIB subsidiaries.</w:t>
            </w:r>
          </w:p>
        </w:tc>
      </w:tr>
      <w:tr w:rsidR="009E7639" w:rsidRPr="009E7639" w14:paraId="5539BA4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F3ACED"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CIDI board approval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3DF118"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360.10(c)(3), as described by FDIC statement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56D5E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CIDI board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58AA86"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Combined resolution-plan submission must be separately approved by each specified CIDI’s board.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92CBF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A6C0A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Direct board approval duty; reform candidate because it may duplicate parent board approval.</w:t>
            </w:r>
          </w:p>
        </w:tc>
      </w:tr>
      <w:tr w:rsidR="009E7639" w:rsidRPr="009E7639" w14:paraId="1042D3B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AC406A"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Recovery planning — Fed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2FD75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SR 14-8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64B3E4"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BHC board / senior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560DC4"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Fed recovery-planning guidance supplements SR 12-17 and treats recovery planning as a core supervisory focus for large BHC resiliency.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5AED2B"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 independence distinction.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498A13"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Still relevant as guidance; overlaps with Title I resolution planning.</w:t>
            </w:r>
          </w:p>
        </w:tc>
      </w:tr>
      <w:tr w:rsidR="009E7639" w:rsidRPr="009E7639" w14:paraId="07D7A57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C0108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Recovery planning — OCC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46119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Former 12 CFR part 30, appendix 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1D708B"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Not current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73888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OCC has rescinded appendix E recovery-planning guidelines; do not include as current in-force obligations.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49321A"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13FCD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Important deregulatory precedent for reform inventory.</w:t>
            </w:r>
          </w:p>
        </w:tc>
      </w:tr>
    </w:tbl>
    <w:p w14:paraId="76F291A6" w14:textId="77777777" w:rsidR="009E7639" w:rsidRPr="009E7639" w:rsidRDefault="00E716A1" w:rsidP="009E7639">
      <w:pPr>
        <w:spacing w:after="0" w:line="240" w:lineRule="auto"/>
        <w:rPr>
          <w:rFonts w:ascii="Times New Roman" w:eastAsia="Times New Roman" w:hAnsi="Times New Roman" w:cs="Times New Roman"/>
          <w:kern w:val="0"/>
          <w14:ligatures w14:val="none"/>
        </w:rPr>
      </w:pPr>
      <w:r w:rsidRPr="00E716A1">
        <w:rPr>
          <w:rFonts w:ascii="Times New Roman" w:eastAsia="Times New Roman" w:hAnsi="Times New Roman" w:cs="Times New Roman"/>
          <w:noProof/>
          <w:kern w:val="0"/>
        </w:rPr>
        <w:pict w14:anchorId="3BE2FE2F">
          <v:rect id="_x0000_i1035" alt="" style="width:468pt;height:.05pt;mso-width-percent:0;mso-height-percent:0;mso-width-percent:0;mso-height-percent:0" o:hralign="center" o:hrstd="t" o:hr="t" fillcolor="#a0a0a0" stroked="f"/>
        </w:pict>
      </w:r>
    </w:p>
    <w:p w14:paraId="52CA96F2" w14:textId="77777777" w:rsidR="009E7639" w:rsidRPr="009E7639" w:rsidRDefault="009E7639" w:rsidP="009E76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E7639">
        <w:rPr>
          <w:rFonts w:ascii="Times New Roman" w:eastAsia="Times New Roman" w:hAnsi="Times New Roman" w:cs="Times New Roman"/>
          <w:b/>
          <w:bCs/>
          <w:kern w:val="36"/>
          <w:sz w:val="48"/>
          <w:szCs w:val="48"/>
          <w14:ligatures w14:val="none"/>
        </w:rPr>
        <w:t>5. Audit committee, financial reporting, and internal controls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970"/>
        <w:gridCol w:w="689"/>
        <w:gridCol w:w="844"/>
        <w:gridCol w:w="2689"/>
        <w:gridCol w:w="2007"/>
        <w:gridCol w:w="2145"/>
      </w:tblGrid>
      <w:tr w:rsidR="009E7639" w:rsidRPr="009E7639" w14:paraId="2604C38A"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0DB5AE"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lastRenderedPageBreak/>
              <w:t>Domain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FFA00A"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Source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AB7293"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Board / committee target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577487"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Citation-level duty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1E33F0"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Independence distinction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BB504F"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Reform / overlap note</w:t>
            </w:r>
          </w:p>
        </w:tc>
      </w:tr>
      <w:tr w:rsidR="009E7639" w:rsidRPr="009E7639" w14:paraId="7777FD8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CE3AA2"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Annual independent audit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AC26DA"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part 363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5B566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IDI board / audit committee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0EAC1F"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IDIs above threshold must prepare annual GAAP financial statements audited by an independent public accountant.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EE0118"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Audit committee requirements vary by asset size.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ACDBC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IDI-specific FDICIA regime; overlaps with public-company audit committee obligations not inventoried here.</w:t>
            </w:r>
          </w:p>
        </w:tc>
      </w:tr>
      <w:tr w:rsidR="009E7639" w:rsidRPr="009E7639" w14:paraId="0332497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46836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Audit committee — $5B+ IDI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2BF264"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363.5(a)(1)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FEB65A"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IDI audit committee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A6743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Each IDI with total assets of $5B+ must establish an independent audit committee of the board.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C5FDF6"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Members must be outside directors independent of management.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AC89E0"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Strongest banking-law independent-director mandate.</w:t>
            </w:r>
          </w:p>
        </w:tc>
      </w:tr>
      <w:tr w:rsidR="009E7639" w:rsidRPr="009E7639" w14:paraId="46F4045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393412"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Audit committee — $1B to &lt;$5B IDI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8F683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363.5(a)(2)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9DD002"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IDI audit committee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41C83F"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IDIs with $1B to &lt;$5B must establish an audit committee of the board.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AC0BD3"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Members must be outside directors, majority independent of management, subject to hardship relief.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4E8FE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For GSIB IDIs, the $5B+ rule will almost always apply.</w:t>
            </w:r>
          </w:p>
        </w:tc>
      </w:tr>
      <w:tr w:rsidR="009E7639" w:rsidRPr="009E7639" w14:paraId="506089A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581D08"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Outside director definition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5E8D0E"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part 363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56210F"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Audit committee composition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3F278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Outside director is a director who is not, and within the preceding fiscal year has not been, an officer or employee of the institution or affiliate.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DC08CF"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Defines “outside”; separate “independent of management” requirement applies.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4AD1D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Important because “outside” ≠ “independent.”</w:t>
            </w:r>
          </w:p>
        </w:tc>
      </w:tr>
      <w:tr w:rsidR="009E7639" w:rsidRPr="009E7639" w14:paraId="3CBDA49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8EC5F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Audit and internal-</w:t>
            </w:r>
            <w:r w:rsidRPr="009E7639">
              <w:rPr>
                <w:rFonts w:ascii="Times New Roman" w:eastAsia="Times New Roman" w:hAnsi="Times New Roman" w:cs="Times New Roman"/>
                <w:kern w:val="0"/>
                <w14:ligatures w14:val="none"/>
              </w:rPr>
              <w:lastRenderedPageBreak/>
              <w:t>control reporting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4E0BFE"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lastRenderedPageBreak/>
              <w:t>12 CFR pa</w:t>
            </w:r>
            <w:r w:rsidRPr="009E7639">
              <w:rPr>
                <w:rFonts w:ascii="Times New Roman" w:eastAsia="Times New Roman" w:hAnsi="Times New Roman" w:cs="Times New Roman"/>
                <w:b/>
                <w:bCs/>
                <w:kern w:val="0"/>
                <w14:ligatures w14:val="none"/>
              </w:rPr>
              <w:lastRenderedPageBreak/>
              <w:t>rt 363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2EF8FE"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Audit committ</w:t>
            </w:r>
            <w:r w:rsidRPr="009E7639">
              <w:rPr>
                <w:rFonts w:ascii="Times New Roman" w:eastAsia="Times New Roman" w:hAnsi="Times New Roman" w:cs="Times New Roman"/>
                <w:kern w:val="0"/>
                <w14:ligatures w14:val="none"/>
              </w:rPr>
              <w:lastRenderedPageBreak/>
              <w:t>ee / board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1333CA"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 xml:space="preserve">Part 363 links independent audit, management internal-control reporting, and </w:t>
            </w:r>
            <w:r w:rsidRPr="009E7639">
              <w:rPr>
                <w:rFonts w:ascii="Times New Roman" w:eastAsia="Times New Roman" w:hAnsi="Times New Roman" w:cs="Times New Roman"/>
                <w:kern w:val="0"/>
                <w14:ligatures w14:val="none"/>
              </w:rPr>
              <w:lastRenderedPageBreak/>
              <w:t>audit committee oversight for large IDIs.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B6AE7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See above.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4FDC2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 xml:space="preserve">Common source of duplicative committee reporting with </w:t>
            </w:r>
            <w:r w:rsidRPr="009E7639">
              <w:rPr>
                <w:rFonts w:ascii="Times New Roman" w:eastAsia="Times New Roman" w:hAnsi="Times New Roman" w:cs="Times New Roman"/>
                <w:kern w:val="0"/>
                <w14:ligatures w14:val="none"/>
              </w:rPr>
              <w:lastRenderedPageBreak/>
              <w:t>SOX/public-company requirements.</w:t>
            </w:r>
          </w:p>
        </w:tc>
      </w:tr>
    </w:tbl>
    <w:p w14:paraId="52607904" w14:textId="77777777" w:rsidR="009E7639" w:rsidRPr="009E7639" w:rsidRDefault="00E716A1" w:rsidP="009E7639">
      <w:pPr>
        <w:spacing w:after="0" w:line="240" w:lineRule="auto"/>
        <w:rPr>
          <w:rFonts w:ascii="Times New Roman" w:eastAsia="Times New Roman" w:hAnsi="Times New Roman" w:cs="Times New Roman"/>
          <w:kern w:val="0"/>
          <w14:ligatures w14:val="none"/>
        </w:rPr>
      </w:pPr>
      <w:r w:rsidRPr="00E716A1">
        <w:rPr>
          <w:rFonts w:ascii="Times New Roman" w:eastAsia="Times New Roman" w:hAnsi="Times New Roman" w:cs="Times New Roman"/>
          <w:noProof/>
          <w:kern w:val="0"/>
        </w:rPr>
        <w:lastRenderedPageBreak/>
        <w:pict w14:anchorId="694A2557">
          <v:rect id="_x0000_i1034" alt="" style="width:468pt;height:.05pt;mso-width-percent:0;mso-height-percent:0;mso-width-percent:0;mso-height-percent:0" o:hralign="center" o:hrstd="t" o:hr="t" fillcolor="#a0a0a0" stroked="f"/>
        </w:pict>
      </w:r>
    </w:p>
    <w:p w14:paraId="5A0F7CD2" w14:textId="77777777" w:rsidR="009E7639" w:rsidRPr="009E7639" w:rsidRDefault="009E7639" w:rsidP="009E76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E7639">
        <w:rPr>
          <w:rFonts w:ascii="Times New Roman" w:eastAsia="Times New Roman" w:hAnsi="Times New Roman" w:cs="Times New Roman"/>
          <w:b/>
          <w:bCs/>
          <w:kern w:val="36"/>
          <w:sz w:val="48"/>
          <w:szCs w:val="48"/>
          <w14:ligatures w14:val="none"/>
        </w:rPr>
        <w:t>6. Operational resilience, cybersecurity, information security, and incident response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044"/>
        <w:gridCol w:w="1369"/>
        <w:gridCol w:w="915"/>
        <w:gridCol w:w="3379"/>
        <w:gridCol w:w="966"/>
        <w:gridCol w:w="1671"/>
      </w:tblGrid>
      <w:tr w:rsidR="009E7639" w:rsidRPr="009E7639" w14:paraId="7DA9F58F"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34737C"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Domain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3F24CE"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Source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73B4A0"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Board / committee target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E52409"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Citation-level duty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A432CD"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Independence distinction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3DD1E5"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Reform / overlap note</w:t>
            </w:r>
          </w:p>
        </w:tc>
      </w:tr>
      <w:tr w:rsidR="009E7639" w:rsidRPr="009E7639" w14:paraId="18C4BCC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3E781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Customer information security program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910D74"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part 30 appendix B; FDIC part 364 appendix B; Fed analogues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BDD68E"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or appropriate board committee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DD075E"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Interagency Information Security Guidelines require development and implementation of administrative, technical, and physical safeguards for customer information.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70455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 director independence rule in appendix 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20EA2E"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Cross-agency duplicated text; applies at IDI level.</w:t>
            </w:r>
          </w:p>
        </w:tc>
      </w:tr>
      <w:tr w:rsidR="009E7639" w:rsidRPr="009E7639" w14:paraId="4BEFB5D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8BF95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 xml:space="preserve">Board involvement in information </w:t>
            </w:r>
            <w:r w:rsidRPr="009E7639">
              <w:rPr>
                <w:rFonts w:ascii="Times New Roman" w:eastAsia="Times New Roman" w:hAnsi="Times New Roman" w:cs="Times New Roman"/>
                <w:kern w:val="0"/>
                <w14:ligatures w14:val="none"/>
              </w:rPr>
              <w:lastRenderedPageBreak/>
              <w:t>security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EA260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lastRenderedPageBreak/>
              <w:t>FDIC 12 CFR part 364 appendix 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C27C3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or board committee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242C5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FDIC appendix B table of contents includes “Involve the Board of Directors” as part of development and implementation of the customer information security program.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C6B238"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AFDE4B"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must be involved, but duties may be delegated to committee.</w:t>
            </w:r>
          </w:p>
        </w:tc>
      </w:tr>
      <w:tr w:rsidR="009E7639" w:rsidRPr="009E7639" w14:paraId="3003F4A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1EF33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GLBA information security background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6521C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Federal Reserve interagency guidelines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CCB95D"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EFECDE"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Security Guidelines implement GLBA §501(b) and FACT Act disposal standards; establish safeguards for security, confidentiality, integrity, and disposal of customer information.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5ED072"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6F906A"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One source covers cybersecurity, privacy safeguards, and disposal.</w:t>
            </w:r>
          </w:p>
        </w:tc>
      </w:tr>
      <w:tr w:rsidR="009E7639" w:rsidRPr="009E7639" w14:paraId="7B327A3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CE2CE0"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Minimum security procedures — OCC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9C49CE"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part 21, subpart 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C83D6A"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National bank board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E8D802"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Security officer must report at least annually to the board on effectiveness of the security program; substance must be reflected in board minutes.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B3B00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74B43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Concrete annual board-reporting obligation.</w:t>
            </w:r>
          </w:p>
        </w:tc>
      </w:tr>
      <w:tr w:rsidR="009E7639" w:rsidRPr="009E7639" w14:paraId="3467372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889BAD"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Third-party technology / service-provider oversight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C91F2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2023 interagency third-party guidance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BC0250"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senior management, risk functions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B1A248"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Banking organization remains responsible for safe and sound operation and legal compliance even when activities are performed by third parties.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ABA19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 director independence rule.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62D3E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Overlaps heavily with cybersecurity, consumer compliance, model risk, and operational resilience.</w:t>
            </w:r>
          </w:p>
        </w:tc>
      </w:tr>
      <w:tr w:rsidR="009E7639" w:rsidRPr="009E7639" w14:paraId="6CB3A80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BBB9E4"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CFPB CMR-IT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D76128"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 xml:space="preserve">CFPB Compliance Management Review — IT </w:t>
            </w:r>
            <w:r w:rsidRPr="009E7639">
              <w:rPr>
                <w:rFonts w:ascii="Times New Roman" w:eastAsia="Times New Roman" w:hAnsi="Times New Roman" w:cs="Times New Roman"/>
                <w:b/>
                <w:bCs/>
                <w:kern w:val="0"/>
                <w14:ligatures w14:val="none"/>
              </w:rPr>
              <w:lastRenderedPageBreak/>
              <w:t>procedures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B702A3"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Board and management oversight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ED0F84"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 xml:space="preserve">CFPB states effective CMS commonly has two interdependent components: board and management oversight and compliance program; CMR-IT extends this to IT and service-provider </w:t>
            </w:r>
            <w:r w:rsidRPr="009E7639">
              <w:rPr>
                <w:rFonts w:ascii="Times New Roman" w:eastAsia="Times New Roman" w:hAnsi="Times New Roman" w:cs="Times New Roman"/>
                <w:kern w:val="0"/>
                <w14:ligatures w14:val="none"/>
              </w:rPr>
              <w:lastRenderedPageBreak/>
              <w:t>controls affecting consumer compliance.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790EC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No director independence rule.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398BC3"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CFPB supervisory expectation overlaps with banking-agency information-</w:t>
            </w:r>
            <w:r w:rsidRPr="009E7639">
              <w:rPr>
                <w:rFonts w:ascii="Times New Roman" w:eastAsia="Times New Roman" w:hAnsi="Times New Roman" w:cs="Times New Roman"/>
                <w:kern w:val="0"/>
                <w14:ligatures w14:val="none"/>
              </w:rPr>
              <w:lastRenderedPageBreak/>
              <w:t>security standards.</w:t>
            </w:r>
          </w:p>
        </w:tc>
      </w:tr>
    </w:tbl>
    <w:p w14:paraId="43412B58" w14:textId="77777777" w:rsidR="009E7639" w:rsidRPr="009E7639" w:rsidRDefault="00E716A1" w:rsidP="009E7639">
      <w:pPr>
        <w:spacing w:after="0" w:line="240" w:lineRule="auto"/>
        <w:rPr>
          <w:rFonts w:ascii="Times New Roman" w:eastAsia="Times New Roman" w:hAnsi="Times New Roman" w:cs="Times New Roman"/>
          <w:kern w:val="0"/>
          <w14:ligatures w14:val="none"/>
        </w:rPr>
      </w:pPr>
      <w:r w:rsidRPr="00E716A1">
        <w:rPr>
          <w:rFonts w:ascii="Times New Roman" w:eastAsia="Times New Roman" w:hAnsi="Times New Roman" w:cs="Times New Roman"/>
          <w:noProof/>
          <w:kern w:val="0"/>
        </w:rPr>
        <w:lastRenderedPageBreak/>
        <w:pict w14:anchorId="1804C43D">
          <v:rect id="_x0000_i1033" alt="" style="width:468pt;height:.05pt;mso-width-percent:0;mso-height-percent:0;mso-width-percent:0;mso-height-percent:0" o:hralign="center" o:hrstd="t" o:hr="t" fillcolor="#a0a0a0" stroked="f"/>
        </w:pict>
      </w:r>
    </w:p>
    <w:p w14:paraId="3628A7E9" w14:textId="77777777" w:rsidR="009E7639" w:rsidRPr="009E7639" w:rsidRDefault="009E7639" w:rsidP="009E76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E7639">
        <w:rPr>
          <w:rFonts w:ascii="Times New Roman" w:eastAsia="Times New Roman" w:hAnsi="Times New Roman" w:cs="Times New Roman"/>
          <w:b/>
          <w:bCs/>
          <w:kern w:val="36"/>
          <w:sz w:val="48"/>
          <w:szCs w:val="48"/>
          <w14:ligatures w14:val="none"/>
        </w:rPr>
        <w:t>7. Third-party risk management</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108"/>
        <w:gridCol w:w="1289"/>
        <w:gridCol w:w="1041"/>
        <w:gridCol w:w="3461"/>
        <w:gridCol w:w="765"/>
        <w:gridCol w:w="1680"/>
      </w:tblGrid>
      <w:tr w:rsidR="009E7639" w:rsidRPr="009E7639" w14:paraId="6121CC4F"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BE606C"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Domain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85F3B7"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Source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E37D35"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Board / committee target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475044"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Citation-level duty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DF1DC4"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Independence distinction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85B29B"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Reform / overlap note</w:t>
            </w:r>
          </w:p>
        </w:tc>
      </w:tr>
      <w:tr w:rsidR="009E7639" w:rsidRPr="009E7639" w14:paraId="4EF52AF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A7D108"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Enterprise third-party risk governance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0B140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2023 Interagency Guidance on Third-Party Relationships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0CD8AB"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board committee, senior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E0D676"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Guidance provides sound risk-management principles for all stages of third-party relationship life cycle, commensurate with risk profile, complexity, and criticality of the activity.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904B80"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AD572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Major cross-domain overlay.</w:t>
            </w:r>
          </w:p>
        </w:tc>
      </w:tr>
      <w:tr w:rsidR="009E7639" w:rsidRPr="009E7639" w14:paraId="0EA8ADC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7F121E"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Responsibility not outsourced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E6CA16"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2023 Interagency Guidance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E388E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07063E"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Use of third parties does not diminish the banking organization’s responsibility to operate safely and soundly and comply with law as if activities were performed in-house.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873E96"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78AD99"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Central board-facing principle.</w:t>
            </w:r>
          </w:p>
        </w:tc>
      </w:tr>
      <w:tr w:rsidR="009E7639" w:rsidRPr="009E7639" w14:paraId="4544869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1EC9F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Consumer compliance service</w:t>
            </w:r>
            <w:r w:rsidRPr="009E7639">
              <w:rPr>
                <w:rFonts w:ascii="Times New Roman" w:eastAsia="Times New Roman" w:hAnsi="Times New Roman" w:cs="Times New Roman"/>
                <w:kern w:val="0"/>
                <w14:ligatures w14:val="none"/>
              </w:rPr>
              <w:lastRenderedPageBreak/>
              <w:t>-provider oversight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36BE14"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lastRenderedPageBreak/>
              <w:t>CFPB CMR procedures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26EBB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2CCAC0"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 xml:space="preserve">CFPB CMR includes service-provider oversight modules and expects comprehensive ongoing due diligence and oversight of service providers to ensure </w:t>
            </w:r>
            <w:r w:rsidRPr="009E7639">
              <w:rPr>
                <w:rFonts w:ascii="Times New Roman" w:eastAsia="Times New Roman" w:hAnsi="Times New Roman" w:cs="Times New Roman"/>
                <w:kern w:val="0"/>
                <w14:ligatures w14:val="none"/>
              </w:rPr>
              <w:lastRenderedPageBreak/>
              <w:t>compliance with Federal consumer financial laws.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6B25B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None.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925144"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 xml:space="preserve">Duplicative with banking-agency third-party </w:t>
            </w:r>
            <w:r w:rsidRPr="009E7639">
              <w:rPr>
                <w:rFonts w:ascii="Times New Roman" w:eastAsia="Times New Roman" w:hAnsi="Times New Roman" w:cs="Times New Roman"/>
                <w:kern w:val="0"/>
                <w14:ligatures w14:val="none"/>
              </w:rPr>
              <w:lastRenderedPageBreak/>
              <w:t>guidance but with consumer-law framing.</w:t>
            </w:r>
          </w:p>
        </w:tc>
      </w:tr>
    </w:tbl>
    <w:p w14:paraId="70ECA72C" w14:textId="77777777" w:rsidR="009E7639" w:rsidRPr="009E7639" w:rsidRDefault="00E716A1" w:rsidP="009E7639">
      <w:pPr>
        <w:spacing w:after="0" w:line="240" w:lineRule="auto"/>
        <w:rPr>
          <w:rFonts w:ascii="Times New Roman" w:eastAsia="Times New Roman" w:hAnsi="Times New Roman" w:cs="Times New Roman"/>
          <w:kern w:val="0"/>
          <w14:ligatures w14:val="none"/>
        </w:rPr>
      </w:pPr>
      <w:r w:rsidRPr="00E716A1">
        <w:rPr>
          <w:rFonts w:ascii="Times New Roman" w:eastAsia="Times New Roman" w:hAnsi="Times New Roman" w:cs="Times New Roman"/>
          <w:noProof/>
          <w:kern w:val="0"/>
        </w:rPr>
        <w:lastRenderedPageBreak/>
        <w:pict w14:anchorId="28E11DC6">
          <v:rect id="_x0000_i1032" alt="" style="width:468pt;height:.05pt;mso-width-percent:0;mso-height-percent:0;mso-width-percent:0;mso-height-percent:0" o:hralign="center" o:hrstd="t" o:hr="t" fillcolor="#a0a0a0" stroked="f"/>
        </w:pict>
      </w:r>
    </w:p>
    <w:p w14:paraId="41D62C09" w14:textId="77777777" w:rsidR="009E7639" w:rsidRPr="009E7639" w:rsidRDefault="009E7639" w:rsidP="009E76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E7639">
        <w:rPr>
          <w:rFonts w:ascii="Times New Roman" w:eastAsia="Times New Roman" w:hAnsi="Times New Roman" w:cs="Times New Roman"/>
          <w:b/>
          <w:bCs/>
          <w:kern w:val="36"/>
          <w:sz w:val="48"/>
          <w:szCs w:val="48"/>
          <w14:ligatures w14:val="none"/>
        </w:rPr>
        <w:t>8. Model risk governance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845"/>
        <w:gridCol w:w="1557"/>
        <w:gridCol w:w="896"/>
        <w:gridCol w:w="3379"/>
        <w:gridCol w:w="1098"/>
        <w:gridCol w:w="1569"/>
      </w:tblGrid>
      <w:tr w:rsidR="009E7639" w:rsidRPr="009E7639" w14:paraId="0D53C71C"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642212"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Domain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7BED59"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Source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4D3CE2"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Board / committee target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2583DE"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Citation-level duty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40A65B"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Independence distinction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3AA835"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Reform / overlap note</w:t>
            </w:r>
          </w:p>
        </w:tc>
      </w:tr>
      <w:tr w:rsidR="009E7639" w:rsidRPr="009E7639" w14:paraId="4A28D2A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0A261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Model risk management governance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63D436"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Fed/OCC/FDIC revised model risk guidance, 2026; formerly SR 11-7 / OCC 2011-12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D0FAA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and senior management oversight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2BB24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Revised guidance highlights sound principles for effective model risk management, tailored to model risk profile, size, complexity, and model use.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623132"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 specific director independence rule.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060CE0"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Guidance explicitly says principles are risk-based and tailored.</w:t>
            </w:r>
          </w:p>
        </w:tc>
      </w:tr>
      <w:tr w:rsidR="009E7639" w:rsidRPr="009E7639" w14:paraId="4BA0D72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2726DE"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Board/senior management oversight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0ADB54"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Fed supervisory guidance on model risk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8D06B2"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 senior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46CB0F"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 xml:space="preserve">Model risk management includes governance and control mechanisms such as board and senior management oversight, policies and procedures, controls and compliance, and appropriate </w:t>
            </w:r>
            <w:r w:rsidRPr="009E7639">
              <w:rPr>
                <w:rFonts w:ascii="Times New Roman" w:eastAsia="Times New Roman" w:hAnsi="Times New Roman" w:cs="Times New Roman"/>
                <w:kern w:val="0"/>
                <w14:ligatures w14:val="none"/>
              </w:rPr>
              <w:lastRenderedPageBreak/>
              <w:t>incentives and organizational structure.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E8C39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None.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A5043F"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 xml:space="preserve">Cross-cuts capital planning, BSA/AML models, consumer models, and </w:t>
            </w:r>
            <w:r w:rsidRPr="009E7639">
              <w:rPr>
                <w:rFonts w:ascii="Times New Roman" w:eastAsia="Times New Roman" w:hAnsi="Times New Roman" w:cs="Times New Roman"/>
                <w:kern w:val="0"/>
                <w14:ligatures w14:val="none"/>
              </w:rPr>
              <w:lastRenderedPageBreak/>
              <w:t>AI governance.</w:t>
            </w:r>
          </w:p>
        </w:tc>
      </w:tr>
      <w:tr w:rsidR="009E7639" w:rsidRPr="009E7639" w14:paraId="61062DC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6ACD2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FDIC adoption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4D5724"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FDIC 2017 adoption / 2026 revised guidance context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14D139"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FDIC-supervised IDIs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AB6D0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FDIC adopted model risk guidance addressing model development, implementation, use, validation, governance, policies, and controls.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832A13"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F1BDAA"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Confirms cross-agency applicability.</w:t>
            </w:r>
          </w:p>
        </w:tc>
      </w:tr>
      <w:tr w:rsidR="009E7639" w:rsidRPr="009E7639" w14:paraId="5981640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160D6B"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Capital-model systems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0DA692"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part 217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BC3409"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or committee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2526FE"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Advanced systems internal audit findings must be reported to board or committee.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55C38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Internal audit independence, not director independence.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39EE8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Regulatory capital rules create hard governance requirements beyond model-risk guidance.</w:t>
            </w:r>
          </w:p>
        </w:tc>
      </w:tr>
    </w:tbl>
    <w:p w14:paraId="53E71AFC" w14:textId="77777777" w:rsidR="009E7639" w:rsidRPr="009E7639" w:rsidRDefault="00E716A1" w:rsidP="009E7639">
      <w:pPr>
        <w:spacing w:after="0" w:line="240" w:lineRule="auto"/>
        <w:rPr>
          <w:rFonts w:ascii="Times New Roman" w:eastAsia="Times New Roman" w:hAnsi="Times New Roman" w:cs="Times New Roman"/>
          <w:kern w:val="0"/>
          <w14:ligatures w14:val="none"/>
        </w:rPr>
      </w:pPr>
      <w:r w:rsidRPr="00E716A1">
        <w:rPr>
          <w:rFonts w:ascii="Times New Roman" w:eastAsia="Times New Roman" w:hAnsi="Times New Roman" w:cs="Times New Roman"/>
          <w:noProof/>
          <w:kern w:val="0"/>
        </w:rPr>
        <w:pict w14:anchorId="5CDAF8FE">
          <v:rect id="_x0000_i1031" alt="" style="width:468pt;height:.05pt;mso-width-percent:0;mso-height-percent:0;mso-width-percent:0;mso-height-percent:0" o:hralign="center" o:hrstd="t" o:hr="t" fillcolor="#a0a0a0" stroked="f"/>
        </w:pict>
      </w:r>
    </w:p>
    <w:p w14:paraId="64032976" w14:textId="77777777" w:rsidR="009E7639" w:rsidRPr="009E7639" w:rsidRDefault="009E7639" w:rsidP="009E76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E7639">
        <w:rPr>
          <w:rFonts w:ascii="Times New Roman" w:eastAsia="Times New Roman" w:hAnsi="Times New Roman" w:cs="Times New Roman"/>
          <w:b/>
          <w:bCs/>
          <w:kern w:val="36"/>
          <w:sz w:val="48"/>
          <w:szCs w:val="48"/>
          <w14:ligatures w14:val="none"/>
        </w:rPr>
        <w:t>9. Incentive compensation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832"/>
        <w:gridCol w:w="1231"/>
        <w:gridCol w:w="1160"/>
        <w:gridCol w:w="2998"/>
        <w:gridCol w:w="1873"/>
        <w:gridCol w:w="1250"/>
      </w:tblGrid>
      <w:tr w:rsidR="009E7639" w:rsidRPr="009E7639" w14:paraId="040578A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5A6DA1"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Domain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2CAA8D"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Source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97E718"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Board / committee target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8977EE"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Citation-level duty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CADB2D"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Independence distinction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470E8A"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Reform / overlap note</w:t>
            </w:r>
          </w:p>
        </w:tc>
      </w:tr>
      <w:tr w:rsidR="009E7639" w:rsidRPr="009E7639" w14:paraId="4327963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F2AB88"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Sound incentive compens</w:t>
            </w:r>
            <w:r w:rsidRPr="009E7639">
              <w:rPr>
                <w:rFonts w:ascii="Times New Roman" w:eastAsia="Times New Roman" w:hAnsi="Times New Roman" w:cs="Times New Roman"/>
                <w:kern w:val="0"/>
                <w14:ligatures w14:val="none"/>
              </w:rPr>
              <w:lastRenderedPageBreak/>
              <w:t>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AB6CD4"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lastRenderedPageBreak/>
              <w:t>2010 Interagency Guidance on Sound Incentiv</w:t>
            </w:r>
            <w:r w:rsidRPr="009E7639">
              <w:rPr>
                <w:rFonts w:ascii="Times New Roman" w:eastAsia="Times New Roman" w:hAnsi="Times New Roman" w:cs="Times New Roman"/>
                <w:b/>
                <w:bCs/>
                <w:kern w:val="0"/>
                <w14:ligatures w14:val="none"/>
              </w:rPr>
              <w:lastRenderedPageBreak/>
              <w:t>e Compensation Policies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7AD47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 xml:space="preserve">Board; compensation committee where used; </w:t>
            </w:r>
            <w:r w:rsidRPr="009E7639">
              <w:rPr>
                <w:rFonts w:ascii="Times New Roman" w:eastAsia="Times New Roman" w:hAnsi="Times New Roman" w:cs="Times New Roman"/>
                <w:kern w:val="0"/>
                <w14:ligatures w14:val="none"/>
              </w:rPr>
              <w:lastRenderedPageBreak/>
              <w:t>control functions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368039"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Incentive compensation arrangements should not encourage imprudent risk-taking and should be consistent with safety and soundness.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E1E91D"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 xml:space="preserve">No specific federal banking-law independence requirement, though public-company </w:t>
            </w:r>
            <w:r w:rsidRPr="009E7639">
              <w:rPr>
                <w:rFonts w:ascii="Times New Roman" w:eastAsia="Times New Roman" w:hAnsi="Times New Roman" w:cs="Times New Roman"/>
                <w:kern w:val="0"/>
                <w14:ligatures w14:val="none"/>
              </w:rPr>
              <w:lastRenderedPageBreak/>
              <w:t>listing rules may apply outside this inventory.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B8F8A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 xml:space="preserve">Still in force as guidance; Dodd-Frank §956 final </w:t>
            </w:r>
            <w:r w:rsidRPr="009E7639">
              <w:rPr>
                <w:rFonts w:ascii="Times New Roman" w:eastAsia="Times New Roman" w:hAnsi="Times New Roman" w:cs="Times New Roman"/>
                <w:kern w:val="0"/>
                <w14:ligatures w14:val="none"/>
              </w:rPr>
              <w:lastRenderedPageBreak/>
              <w:t>rules remain unresolved.</w:t>
            </w:r>
          </w:p>
        </w:tc>
      </w:tr>
      <w:tr w:rsidR="009E7639" w:rsidRPr="009E7639" w14:paraId="149172F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BA0E93"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Three principles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CDF46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2010 Interagency Guidance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259C1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 compensation governance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E2BAB6"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Incentive compensation should balance risk and reward, be compatible with effective controls and risk management, and be supported by strong corporate governance, including active and effective board oversight.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21981B"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 federal banking-specific inside/outside distinction.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D5224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Direct overlap with risk committee oversight and model/incentive structures.</w:t>
            </w:r>
          </w:p>
        </w:tc>
      </w:tr>
      <w:tr w:rsidR="009E7639" w:rsidRPr="009E7639" w14:paraId="42DEDB6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F4076F"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Large banking organization expectations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CDEC69"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2010 Interagency Guidance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F37619"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 compensation committee / senior management / control units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0683F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Guidance identifies policies, procedures, and systems that large banking organizations should maintain; covered employees include executive officers and nonexecutive personnel able to expose the organization to material risk.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0136FB"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A7010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Important because obligation is broader than named executive officers.</w:t>
            </w:r>
          </w:p>
        </w:tc>
      </w:tr>
      <w:tr w:rsidR="009E7639" w:rsidRPr="009E7639" w14:paraId="2FFB88C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930BC6"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Status of incentive-comp rulemaking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37AE93"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Dodd-Frank §956 proposals; not final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314326"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E9EB7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FDIC and others have proposed more prescriptive rules, but those are not current final in-force obligations. GAO notes agencies have not finalized Dodd-Frank incentive-compensation rulemaking.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FBD65A"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5B2086"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Exclude from current inventory; include in reform appendix only.</w:t>
            </w:r>
          </w:p>
        </w:tc>
      </w:tr>
    </w:tbl>
    <w:p w14:paraId="5FB9FFF2" w14:textId="77777777" w:rsidR="009E7639" w:rsidRPr="009E7639" w:rsidRDefault="00E716A1" w:rsidP="009E7639">
      <w:pPr>
        <w:spacing w:after="0" w:line="240" w:lineRule="auto"/>
        <w:rPr>
          <w:rFonts w:ascii="Times New Roman" w:eastAsia="Times New Roman" w:hAnsi="Times New Roman" w:cs="Times New Roman"/>
          <w:kern w:val="0"/>
          <w14:ligatures w14:val="none"/>
        </w:rPr>
      </w:pPr>
      <w:r w:rsidRPr="00E716A1">
        <w:rPr>
          <w:rFonts w:ascii="Times New Roman" w:eastAsia="Times New Roman" w:hAnsi="Times New Roman" w:cs="Times New Roman"/>
          <w:noProof/>
          <w:kern w:val="0"/>
        </w:rPr>
        <w:pict w14:anchorId="268D38BE">
          <v:rect id="_x0000_i1030" alt="" style="width:468pt;height:.05pt;mso-width-percent:0;mso-height-percent:0;mso-width-percent:0;mso-height-percent:0" o:hralign="center" o:hrstd="t" o:hr="t" fillcolor="#a0a0a0" stroked="f"/>
        </w:pict>
      </w:r>
    </w:p>
    <w:p w14:paraId="7D9CCAB7" w14:textId="77777777" w:rsidR="009E7639" w:rsidRPr="009E7639" w:rsidRDefault="009E7639" w:rsidP="009E76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E7639">
        <w:rPr>
          <w:rFonts w:ascii="Times New Roman" w:eastAsia="Times New Roman" w:hAnsi="Times New Roman" w:cs="Times New Roman"/>
          <w:b/>
          <w:bCs/>
          <w:kern w:val="36"/>
          <w:sz w:val="48"/>
          <w:szCs w:val="48"/>
          <w14:ligatures w14:val="none"/>
        </w:rPr>
        <w:lastRenderedPageBreak/>
        <w:t>10. BSA/AML and sanctions-adjacent governance</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074"/>
        <w:gridCol w:w="1391"/>
        <w:gridCol w:w="901"/>
        <w:gridCol w:w="3371"/>
        <w:gridCol w:w="884"/>
        <w:gridCol w:w="1723"/>
      </w:tblGrid>
      <w:tr w:rsidR="009E7639" w:rsidRPr="009E7639" w14:paraId="0CD6D42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19CC97"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Domain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CA64F2"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Source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8F5235"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Board / committee target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51B83C"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Citation-level duty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15AEBC"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Independence distinction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DD5370"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Reform / overlap note</w:t>
            </w:r>
          </w:p>
        </w:tc>
      </w:tr>
      <w:tr w:rsidR="009E7639" w:rsidRPr="009E7639" w14:paraId="300609B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963F6D"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OCC BSA program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0C0F3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21.21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B089E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National bank / FSA board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A7ED83"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BSA compliance program must be written, approved by the board, and reflected in board minutes.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4F9F1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963F4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Concrete board approval and minutes requirement.</w:t>
            </w:r>
          </w:p>
        </w:tc>
      </w:tr>
      <w:tr w:rsidR="009E7639" w:rsidRPr="009E7639" w14:paraId="6CE4412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AF8E8A"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FDIC BSA program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FC34E6"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326.8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8643A2"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FDIC-supervised IDI board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DD5CCA"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BSA compliance program must be written, approved by the institution’s board, and noted in minutes.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3DA16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65B52D"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Same requirement across agencies; duplicative text.</w:t>
            </w:r>
          </w:p>
        </w:tc>
      </w:tr>
      <w:tr w:rsidR="009E7639" w:rsidRPr="009E7639" w14:paraId="203626D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A3A1A0"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BSA program minimum elements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7C3CB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21.21 / 326.8 and FFIEC BSA Manual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32C85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Board-approved program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3BCB54"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Program must be reasonably designed to assure and monitor BSA compliance; customer identification program forms part of BSA compliance program.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F431C0"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258398"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approves program; management administers.</w:t>
            </w:r>
          </w:p>
        </w:tc>
      </w:tr>
      <w:tr w:rsidR="009E7639" w:rsidRPr="009E7639" w14:paraId="381A0B5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7C46DD"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BSA compliance officer designation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B780CD"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Interagency statement on BSA resource sharing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D4FD42"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049D13"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Bank board must designate a qualified individual or individuals to serve as BSA compliance officer.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0AC269"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D10E2F"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Board-specific staffing/designation duty.</w:t>
            </w:r>
          </w:p>
        </w:tc>
      </w:tr>
      <w:tr w:rsidR="009E7639" w:rsidRPr="009E7639" w14:paraId="1DE8E6C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31385B"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 xml:space="preserve">Pending </w:t>
            </w:r>
            <w:r w:rsidRPr="009E7639">
              <w:rPr>
                <w:rFonts w:ascii="Times New Roman" w:eastAsia="Times New Roman" w:hAnsi="Times New Roman" w:cs="Times New Roman"/>
                <w:kern w:val="0"/>
                <w14:ligatures w14:val="none"/>
              </w:rPr>
              <w:lastRenderedPageBreak/>
              <w:t>AML/CFT modernization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4BE6A8"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lastRenderedPageBreak/>
              <w:t xml:space="preserve">FinCEN / agencies </w:t>
            </w:r>
            <w:r w:rsidRPr="009E7639">
              <w:rPr>
                <w:rFonts w:ascii="Times New Roman" w:eastAsia="Times New Roman" w:hAnsi="Times New Roman" w:cs="Times New Roman"/>
                <w:b/>
                <w:bCs/>
                <w:kern w:val="0"/>
                <w14:ligatures w14:val="none"/>
              </w:rPr>
              <w:lastRenderedPageBreak/>
              <w:t>proposed rules, 2024 and 2026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DC8E93"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Not curre</w:t>
            </w:r>
            <w:r w:rsidRPr="009E7639">
              <w:rPr>
                <w:rFonts w:ascii="Times New Roman" w:eastAsia="Times New Roman" w:hAnsi="Times New Roman" w:cs="Times New Roman"/>
                <w:kern w:val="0"/>
                <w14:ligatures w14:val="none"/>
              </w:rPr>
              <w:lastRenderedPageBreak/>
              <w:t>nt final rule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568B8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 xml:space="preserve">Proposed rules would alter approval/oversight language, </w:t>
            </w:r>
            <w:r w:rsidRPr="009E7639">
              <w:rPr>
                <w:rFonts w:ascii="Times New Roman" w:eastAsia="Times New Roman" w:hAnsi="Times New Roman" w:cs="Times New Roman"/>
                <w:kern w:val="0"/>
                <w14:ligatures w14:val="none"/>
              </w:rPr>
              <w:lastRenderedPageBreak/>
              <w:t>but not current in-force obligations.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345426"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N/A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8D0AE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 xml:space="preserve">Include in policy-reform </w:t>
            </w:r>
            <w:r w:rsidRPr="009E7639">
              <w:rPr>
                <w:rFonts w:ascii="Times New Roman" w:eastAsia="Times New Roman" w:hAnsi="Times New Roman" w:cs="Times New Roman"/>
                <w:kern w:val="0"/>
                <w14:ligatures w14:val="none"/>
              </w:rPr>
              <w:lastRenderedPageBreak/>
              <w:t>tracker, not inventory of current obligations.</w:t>
            </w:r>
          </w:p>
        </w:tc>
      </w:tr>
    </w:tbl>
    <w:p w14:paraId="0AE99751" w14:textId="77777777" w:rsidR="009E7639" w:rsidRPr="009E7639" w:rsidRDefault="00E716A1" w:rsidP="009E7639">
      <w:pPr>
        <w:spacing w:after="0" w:line="240" w:lineRule="auto"/>
        <w:rPr>
          <w:rFonts w:ascii="Times New Roman" w:eastAsia="Times New Roman" w:hAnsi="Times New Roman" w:cs="Times New Roman"/>
          <w:kern w:val="0"/>
          <w14:ligatures w14:val="none"/>
        </w:rPr>
      </w:pPr>
      <w:r w:rsidRPr="00E716A1">
        <w:rPr>
          <w:rFonts w:ascii="Times New Roman" w:eastAsia="Times New Roman" w:hAnsi="Times New Roman" w:cs="Times New Roman"/>
          <w:noProof/>
          <w:kern w:val="0"/>
        </w:rPr>
        <w:lastRenderedPageBreak/>
        <w:pict w14:anchorId="0ED71061">
          <v:rect id="_x0000_i1029" alt="" style="width:468pt;height:.05pt;mso-width-percent:0;mso-height-percent:0;mso-width-percent:0;mso-height-percent:0" o:hralign="center" o:hrstd="t" o:hr="t" fillcolor="#a0a0a0" stroked="f"/>
        </w:pict>
      </w:r>
    </w:p>
    <w:p w14:paraId="3E5EB50D" w14:textId="77777777" w:rsidR="009E7639" w:rsidRPr="009E7639" w:rsidRDefault="009E7639" w:rsidP="009E76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E7639">
        <w:rPr>
          <w:rFonts w:ascii="Times New Roman" w:eastAsia="Times New Roman" w:hAnsi="Times New Roman" w:cs="Times New Roman"/>
          <w:b/>
          <w:bCs/>
          <w:kern w:val="36"/>
          <w:sz w:val="48"/>
          <w:szCs w:val="48"/>
          <w14:ligatures w14:val="none"/>
        </w:rPr>
        <w:t>11. Consumer compliance and CFPB-supervised activities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017"/>
        <w:gridCol w:w="1290"/>
        <w:gridCol w:w="1020"/>
        <w:gridCol w:w="3475"/>
        <w:gridCol w:w="811"/>
        <w:gridCol w:w="1731"/>
      </w:tblGrid>
      <w:tr w:rsidR="009E7639" w:rsidRPr="009E7639" w14:paraId="73AD6D1F"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547728"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Domain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6C25A8"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Source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ED55A2"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Board / committee target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FAD2CA"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Citation-level duty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7545EF"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Independence distinction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089E4A"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Reform / overlap note</w:t>
            </w:r>
          </w:p>
        </w:tc>
      </w:tr>
      <w:tr w:rsidR="009E7639" w:rsidRPr="009E7639" w14:paraId="46209C7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40423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CFPB compliance management 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38E683"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CFPB Compliance Management Review procedures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F001B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and management oversight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7E7FF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CFPB CMR manual is organized into modules including Board and Management Oversight, Compliance Program, Service Provider Oversight, Violations of Law and Consumer Harm, and Examiner Conclusions.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FF8F8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 director independence rule.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3115DE"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Supervisory expectation, not a prescriptive board-approval regulation.</w:t>
            </w:r>
          </w:p>
        </w:tc>
      </w:tr>
      <w:tr w:rsidR="009E7639" w:rsidRPr="009E7639" w14:paraId="0B9F029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208C7A"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CMS core components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BA0414"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CFPB CMR / CMR-IT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3B5259"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D30D6D"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Effective CMS commonly includes board and management oversight plus a compliance program covering policies/procedures, training, monitoring/audit, and complaint response.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B6FA6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B1C353"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Overlaps with prudential compliance management and third-party oversight.</w:t>
            </w:r>
          </w:p>
        </w:tc>
      </w:tr>
      <w:tr w:rsidR="009E7639" w:rsidRPr="009E7639" w14:paraId="11F0DCD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327673"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lastRenderedPageBreak/>
              <w:t>Service-provider consumer compliance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F70AB2"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CFPB CMR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621E50"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 management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31C020"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CFPB expects comprehensive ongoing due diligence and oversight of service providers to ensure compliance with Federal consumer financial laws.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A45608"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85328A"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Duplicates 2023 interagency third-party guidance.</w:t>
            </w:r>
          </w:p>
        </w:tc>
      </w:tr>
      <w:tr w:rsidR="009E7639" w:rsidRPr="009E7639" w14:paraId="48064D2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54BC28"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Uniform consumer compliance rating 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C33023"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Uniform Interagency Consumer Compliance Rating System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1A6DE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and management oversight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F62F4B"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Consumer compliance rating system evaluates institutions under board and management oversight, compliance program, and violations/consumer harm.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81594B"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4B4E44"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Used by prudential regulators and relevant to CFPB-style CMS expectations.</w:t>
            </w:r>
          </w:p>
        </w:tc>
      </w:tr>
      <w:tr w:rsidR="009E7639" w:rsidRPr="009E7639" w14:paraId="51E50AB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CA07AA"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UDAAP examination procedures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94D754"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CFPB UDAAP procedures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1591C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 management indirectly through CMS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87289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Procedures guide examiners in assessing UDAAP risk in consumer financial products and services.  </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2DB8EB"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None.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1BFDD1"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Board obligation is governance/oversight, not a specific UDAAP board approval requirement.</w:t>
            </w:r>
          </w:p>
        </w:tc>
      </w:tr>
    </w:tbl>
    <w:p w14:paraId="5AD94634" w14:textId="77777777" w:rsidR="009E7639" w:rsidRPr="009E7639" w:rsidRDefault="00E716A1" w:rsidP="009E7639">
      <w:pPr>
        <w:spacing w:after="0" w:line="240" w:lineRule="auto"/>
        <w:rPr>
          <w:rFonts w:ascii="Times New Roman" w:eastAsia="Times New Roman" w:hAnsi="Times New Roman" w:cs="Times New Roman"/>
          <w:kern w:val="0"/>
          <w14:ligatures w14:val="none"/>
        </w:rPr>
      </w:pPr>
      <w:r w:rsidRPr="00E716A1">
        <w:rPr>
          <w:rFonts w:ascii="Times New Roman" w:eastAsia="Times New Roman" w:hAnsi="Times New Roman" w:cs="Times New Roman"/>
          <w:noProof/>
          <w:kern w:val="0"/>
        </w:rPr>
        <w:pict w14:anchorId="2B1E4F48">
          <v:rect id="_x0000_i1028" alt="" style="width:468pt;height:.05pt;mso-width-percent:0;mso-height-percent:0;mso-width-percent:0;mso-height-percent:0" o:hralign="center" o:hrstd="t" o:hr="t" fillcolor="#a0a0a0" stroked="f"/>
        </w:pict>
      </w:r>
    </w:p>
    <w:p w14:paraId="5C67216A" w14:textId="77777777" w:rsidR="009E7639" w:rsidRPr="009E7639" w:rsidRDefault="009E7639" w:rsidP="009E76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E7639">
        <w:rPr>
          <w:rFonts w:ascii="Times New Roman" w:eastAsia="Times New Roman" w:hAnsi="Times New Roman" w:cs="Times New Roman"/>
          <w:b/>
          <w:bCs/>
          <w:kern w:val="36"/>
          <w:sz w:val="48"/>
          <w:szCs w:val="48"/>
          <w14:ligatures w14:val="none"/>
        </w:rPr>
        <w:t>12. Key director-independence and committee-composition obligations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673"/>
        <w:gridCol w:w="1317"/>
        <w:gridCol w:w="1098"/>
        <w:gridCol w:w="5256"/>
      </w:tblGrid>
      <w:tr w:rsidR="009E7639" w:rsidRPr="009E7639" w14:paraId="2D3543A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79C841"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lastRenderedPageBreak/>
              <w:t>Requirement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046346"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Source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611911"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Applies to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0B9A8F" w14:textId="77777777" w:rsidR="009E7639" w:rsidRPr="009E7639" w:rsidRDefault="009E7639" w:rsidP="009E7639">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E7639">
              <w:rPr>
                <w:rFonts w:ascii="Times New Roman" w:eastAsia="Times New Roman" w:hAnsi="Times New Roman" w:cs="Times New Roman"/>
                <w:b/>
                <w:bCs/>
                <w:kern w:val="0"/>
                <w14:ligatures w14:val="none"/>
              </w:rPr>
              <w:t>Content</w:t>
            </w:r>
          </w:p>
        </w:tc>
      </w:tr>
      <w:tr w:rsidR="009E7639" w:rsidRPr="009E7639" w14:paraId="225FB68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723AFB"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BHC risk committee chair independence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4DA80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252.33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348763"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Category I BHC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3AAF30"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Risk committee must be chaired by an independent director; independence ties to exchange-listing standards or equivalent demonstration to the Fed.  </w:t>
            </w:r>
          </w:p>
        </w:tc>
      </w:tr>
      <w:tr w:rsidR="009E7639" w:rsidRPr="009E7639" w14:paraId="2B7005A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EB31A3"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BHC risk expertise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DC2210"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252.33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13B694"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Category I BHC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4FFB7F"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Risk committee must include at least one member with experience identifying, assessing, and managing risk exposures of large, complex financial firms.  </w:t>
            </w:r>
          </w:p>
        </w:tc>
      </w:tr>
      <w:tr w:rsidR="009E7639" w:rsidRPr="009E7639" w14:paraId="302DCD9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960C06"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OCC covered bank independent directors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57FDAD"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part 30, appendix 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AB91DF"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OCC covered bank IDI</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07B81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At least two board members should be independent directors; each director should exercise sound independent judgment.  </w:t>
            </w:r>
          </w:p>
        </w:tc>
      </w:tr>
      <w:tr w:rsidR="009E7639" w:rsidRPr="009E7639" w14:paraId="2EFEC6E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3484C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IDI audit committee independence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D784BD"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363.5(a)(1)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0C1F74"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IDI $5B+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1F61FB"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Audit committee members must be outside directors independent of management.  </w:t>
            </w:r>
          </w:p>
        </w:tc>
      </w:tr>
      <w:tr w:rsidR="009E7639" w:rsidRPr="009E7639" w14:paraId="00614CE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217B42"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IDI audit committee outside directors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829008"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363.5(a)(2)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DC62E4"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IDI $1B to &lt;$5B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CA927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Audit committee members must be outside directors, majority independent of management.  </w:t>
            </w:r>
          </w:p>
        </w:tc>
      </w:tr>
      <w:tr w:rsidR="009E7639" w:rsidRPr="009E7639" w14:paraId="2BF788D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CEF3F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Outside director definition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71DBE4"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12 CFR part 363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0D928A"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IDI audit committee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BBBABC"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Outside director is not, and in preceding fiscal year has not been, an officer or employee of institution or affiliate.  </w:t>
            </w:r>
          </w:p>
        </w:tc>
      </w:tr>
    </w:tbl>
    <w:p w14:paraId="5249E2C5" w14:textId="77777777" w:rsidR="009E7639" w:rsidRPr="009E7639" w:rsidRDefault="00E716A1" w:rsidP="009E7639">
      <w:pPr>
        <w:spacing w:after="0" w:line="240" w:lineRule="auto"/>
        <w:rPr>
          <w:rFonts w:ascii="Times New Roman" w:eastAsia="Times New Roman" w:hAnsi="Times New Roman" w:cs="Times New Roman"/>
          <w:kern w:val="0"/>
          <w14:ligatures w14:val="none"/>
        </w:rPr>
      </w:pPr>
      <w:r w:rsidRPr="00E716A1">
        <w:rPr>
          <w:rFonts w:ascii="Times New Roman" w:eastAsia="Times New Roman" w:hAnsi="Times New Roman" w:cs="Times New Roman"/>
          <w:noProof/>
          <w:kern w:val="0"/>
        </w:rPr>
        <w:pict w14:anchorId="49741919">
          <v:rect id="_x0000_i1027" alt="" style="width:468pt;height:.05pt;mso-width-percent:0;mso-height-percent:0;mso-width-percent:0;mso-height-percent:0" o:hralign="center" o:hrstd="t" o:hr="t" fillcolor="#a0a0a0" stroked="f"/>
        </w:pict>
      </w:r>
    </w:p>
    <w:p w14:paraId="778D75A8" w14:textId="77777777" w:rsidR="009E7639" w:rsidRPr="009E7639" w:rsidRDefault="009E7639" w:rsidP="009E76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E7639">
        <w:rPr>
          <w:rFonts w:ascii="Times New Roman" w:eastAsia="Times New Roman" w:hAnsi="Times New Roman" w:cs="Times New Roman"/>
          <w:b/>
          <w:bCs/>
          <w:kern w:val="36"/>
          <w:sz w:val="48"/>
          <w:szCs w:val="48"/>
          <w14:ligatures w14:val="none"/>
        </w:rPr>
        <w:t>13. Preliminary duplication map for reform work</w:t>
      </w:r>
    </w:p>
    <w:p w14:paraId="08E7A2EC" w14:textId="77777777" w:rsidR="009E7639" w:rsidRPr="009E7639" w:rsidRDefault="009E7639" w:rsidP="009E76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7639">
        <w:rPr>
          <w:rFonts w:ascii="Times New Roman" w:eastAsia="Times New Roman" w:hAnsi="Times New Roman" w:cs="Times New Roman"/>
          <w:b/>
          <w:bCs/>
          <w:kern w:val="0"/>
          <w:sz w:val="36"/>
          <w:szCs w:val="36"/>
          <w14:ligatures w14:val="none"/>
        </w:rPr>
        <w:t>Highest-density duplicative clusters</w:t>
      </w:r>
    </w:p>
    <w:p w14:paraId="3961F8FF"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1. BHC risk committee vs. OCC covered-bank risk governance.</w:t>
      </w:r>
      <w:r w:rsidRPr="009E7639">
        <w:rPr>
          <w:rFonts w:ascii="Times New Roman" w:eastAsia="Times New Roman" w:hAnsi="Times New Roman" w:cs="Times New Roman"/>
          <w:kern w:val="0"/>
          <w14:ligatures w14:val="none"/>
        </w:rPr>
        <w:br/>
        <w:t xml:space="preserve">Reg YY requires the BHC risk committee to approve and periodically review global risk-management policies and oversee the global framework. OCC appendix D requires the IDI board </w:t>
      </w:r>
      <w:r w:rsidRPr="009E7639">
        <w:rPr>
          <w:rFonts w:ascii="Times New Roman" w:eastAsia="Times New Roman" w:hAnsi="Times New Roman" w:cs="Times New Roman"/>
          <w:kern w:val="0"/>
          <w14:ligatures w14:val="none"/>
        </w:rPr>
        <w:lastRenderedPageBreak/>
        <w:t xml:space="preserve">or risk committee to approve and monitor an IDI risk-governance framework and risk appetite. For GSIB structures, these can produce parallel BHC and bank-board approval cycles for largely integrated risk frameworks. </w:t>
      </w:r>
    </w:p>
    <w:p w14:paraId="7E9A307D"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2. Liquidity governance overlap.</w:t>
      </w:r>
      <w:r w:rsidRPr="009E7639">
        <w:rPr>
          <w:rFonts w:ascii="Times New Roman" w:eastAsia="Times New Roman" w:hAnsi="Times New Roman" w:cs="Times New Roman"/>
          <w:kern w:val="0"/>
          <w14:ligatures w14:val="none"/>
        </w:rPr>
        <w:br/>
        <w:t xml:space="preserve">Reg YY separately requires board approval of liquidity risk tolerance and policies, risk committee approval of contingency funding plans, quarterly liquidity reporting to board or risk committee, and governance over liquidity stress testing. These requirements sit on top of LCR/NSFR quantitative rules and general risk governance. </w:t>
      </w:r>
    </w:p>
    <w:p w14:paraId="7C433427"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3. Resolution planning overlap.</w:t>
      </w:r>
      <w:r w:rsidRPr="009E7639">
        <w:rPr>
          <w:rFonts w:ascii="Times New Roman" w:eastAsia="Times New Roman" w:hAnsi="Times New Roman" w:cs="Times New Roman"/>
          <w:kern w:val="0"/>
          <w14:ligatures w14:val="none"/>
        </w:rPr>
        <w:br/>
        <w:t xml:space="preserve">GSIB BHCs file Title I resolution plans under 12 CFR part 243/381, while large IDI subsidiaries file FDIC IDI resolution plans under 12 CFR 360.10. FDIC rules require GSIB-affiliated CIDIs to file full submissions every two years, and CIDI submissions require separate CIDI board approval. </w:t>
      </w:r>
    </w:p>
    <w:p w14:paraId="3934A90A"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4. Third-party / cybersecurity / consumer compliance overlap.</w:t>
      </w:r>
      <w:r w:rsidRPr="009E7639">
        <w:rPr>
          <w:rFonts w:ascii="Times New Roman" w:eastAsia="Times New Roman" w:hAnsi="Times New Roman" w:cs="Times New Roman"/>
          <w:kern w:val="0"/>
          <w14:ligatures w14:val="none"/>
        </w:rPr>
        <w:br/>
        <w:t xml:space="preserve">The 2023 interagency third-party guidance states that outsourcing does not diminish the bank’s compliance and safety-and-soundness responsibilities. CFPB CMS procedures separately require service-provider oversight for consumer compliance, while information-security guidelines impose board-involvement duties for safeguarding customer information. </w:t>
      </w:r>
    </w:p>
    <w:p w14:paraId="3445BBA0"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5. Model risk overlap with capital, BSA/AML, consumer compliance, and AI.</w:t>
      </w:r>
      <w:r w:rsidRPr="009E7639">
        <w:rPr>
          <w:rFonts w:ascii="Times New Roman" w:eastAsia="Times New Roman" w:hAnsi="Times New Roman" w:cs="Times New Roman"/>
          <w:kern w:val="0"/>
          <w14:ligatures w14:val="none"/>
        </w:rPr>
        <w:br/>
        <w:t xml:space="preserve">Revised model risk guidance sets risk-based governance principles; capital rules impose hard board-committee reporting obligations for advanced systems; BSA/AML and consumer models are also subject to specialized supervisory expectations. </w:t>
      </w:r>
    </w:p>
    <w:p w14:paraId="723BBE8A" w14:textId="77777777" w:rsidR="009E7639" w:rsidRPr="009E7639" w:rsidRDefault="00E716A1" w:rsidP="009E7639">
      <w:pPr>
        <w:spacing w:after="0" w:line="240" w:lineRule="auto"/>
        <w:rPr>
          <w:rFonts w:ascii="Times New Roman" w:eastAsia="Times New Roman" w:hAnsi="Times New Roman" w:cs="Times New Roman"/>
          <w:kern w:val="0"/>
          <w14:ligatures w14:val="none"/>
        </w:rPr>
      </w:pPr>
      <w:r w:rsidRPr="00E716A1">
        <w:rPr>
          <w:rFonts w:ascii="Times New Roman" w:eastAsia="Times New Roman" w:hAnsi="Times New Roman" w:cs="Times New Roman"/>
          <w:noProof/>
          <w:kern w:val="0"/>
        </w:rPr>
        <w:pict w14:anchorId="1C65CC9A">
          <v:rect id="_x0000_i1026" alt="" style="width:468pt;height:.05pt;mso-width-percent:0;mso-height-percent:0;mso-width-percent:0;mso-height-percent:0" o:hralign="center" o:hrstd="t" o:hr="t" fillcolor="#a0a0a0" stroked="f"/>
        </w:pict>
      </w:r>
    </w:p>
    <w:p w14:paraId="7909B708" w14:textId="77777777" w:rsidR="009E7639" w:rsidRPr="009E7639" w:rsidRDefault="009E7639" w:rsidP="009E763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E7639">
        <w:rPr>
          <w:rFonts w:ascii="Times New Roman" w:eastAsia="Times New Roman" w:hAnsi="Times New Roman" w:cs="Times New Roman"/>
          <w:b/>
          <w:bCs/>
          <w:kern w:val="36"/>
          <w:sz w:val="48"/>
          <w:szCs w:val="48"/>
          <w14:ligatures w14:val="none"/>
        </w:rPr>
        <w:t>14. Items that should be treated carefully in the full 40–60 page version</w:t>
      </w:r>
    </w:p>
    <w:p w14:paraId="04BF9456" w14:textId="77777777" w:rsidR="009E7639" w:rsidRPr="009E7639" w:rsidRDefault="009E7639" w:rsidP="009E763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“Obligation” vs. “expectation.”</w:t>
      </w:r>
      <w:r w:rsidRPr="009E7639">
        <w:rPr>
          <w:rFonts w:ascii="Times New Roman" w:eastAsia="Times New Roman" w:hAnsi="Times New Roman" w:cs="Times New Roman"/>
          <w:kern w:val="0"/>
          <w14:ligatures w14:val="none"/>
        </w:rPr>
        <w:t xml:space="preserve"> Some sources are binding regulations, some are enforceable guidelines under section 39, and some are supervisory guidance. The final document should label each row as: rule, guideline, supervisory guidance, examination procedure, or rating-system factor.</w:t>
      </w:r>
    </w:p>
    <w:p w14:paraId="44AA6668" w14:textId="77777777" w:rsidR="009E7639" w:rsidRPr="009E7639" w:rsidRDefault="009E7639" w:rsidP="009E763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BHC vs. IDI subsidiary duties.</w:t>
      </w:r>
      <w:r w:rsidRPr="009E7639">
        <w:rPr>
          <w:rFonts w:ascii="Times New Roman" w:eastAsia="Times New Roman" w:hAnsi="Times New Roman" w:cs="Times New Roman"/>
          <w:kern w:val="0"/>
          <w14:ligatures w14:val="none"/>
        </w:rPr>
        <w:t xml:space="preserve"> The most reform-relevant burden often arises when the same governance issue is reviewed by both parent and subsidiary boards.</w:t>
      </w:r>
    </w:p>
    <w:p w14:paraId="58278257" w14:textId="77777777" w:rsidR="009E7639" w:rsidRPr="009E7639" w:rsidRDefault="009E7639" w:rsidP="009E763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Committee delegation.</w:t>
      </w:r>
      <w:r w:rsidRPr="009E7639">
        <w:rPr>
          <w:rFonts w:ascii="Times New Roman" w:eastAsia="Times New Roman" w:hAnsi="Times New Roman" w:cs="Times New Roman"/>
          <w:kern w:val="0"/>
          <w14:ligatures w14:val="none"/>
        </w:rPr>
        <w:t xml:space="preserve"> Several rules allow “board or appropriate board committee,” while others specify risk committee or audit committee. This distinction matters for reducing duplicative full-board approvals.</w:t>
      </w:r>
    </w:p>
    <w:p w14:paraId="7EC02648" w14:textId="77777777" w:rsidR="009E7639" w:rsidRPr="009E7639" w:rsidRDefault="009E7639" w:rsidP="009E763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Independence terms are not uniform.</w:t>
      </w:r>
      <w:r w:rsidRPr="009E7639">
        <w:rPr>
          <w:rFonts w:ascii="Times New Roman" w:eastAsia="Times New Roman" w:hAnsi="Times New Roman" w:cs="Times New Roman"/>
          <w:kern w:val="0"/>
          <w14:ligatures w14:val="none"/>
        </w:rPr>
        <w:t xml:space="preserve"> “Independent director,” “outside director,” “independent of management,” and exchange-listing independence are not identical.</w:t>
      </w:r>
    </w:p>
    <w:p w14:paraId="2C89A0D4" w14:textId="77777777" w:rsidR="009E7639" w:rsidRPr="009E7639" w:rsidRDefault="009E7639" w:rsidP="009E763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lastRenderedPageBreak/>
        <w:t>OCC recovery-planning rescission.</w:t>
      </w:r>
      <w:r w:rsidRPr="009E7639">
        <w:rPr>
          <w:rFonts w:ascii="Times New Roman" w:eastAsia="Times New Roman" w:hAnsi="Times New Roman" w:cs="Times New Roman"/>
          <w:kern w:val="0"/>
          <w14:ligatures w14:val="none"/>
        </w:rPr>
        <w:t xml:space="preserve"> Appendix E should be listed in a historical appendix as a removed obligation, not in the current inventory.  </w:t>
      </w:r>
    </w:p>
    <w:p w14:paraId="36EBA47B" w14:textId="77777777" w:rsidR="009E7639" w:rsidRPr="009E7639" w:rsidRDefault="009E7639" w:rsidP="009E763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Dodd-Frank incentive compensation rules.</w:t>
      </w:r>
      <w:r w:rsidRPr="009E7639">
        <w:rPr>
          <w:rFonts w:ascii="Times New Roman" w:eastAsia="Times New Roman" w:hAnsi="Times New Roman" w:cs="Times New Roman"/>
          <w:kern w:val="0"/>
          <w14:ligatures w14:val="none"/>
        </w:rPr>
        <w:t xml:space="preserve"> Proposed §956 rules should not be included as current obligations because the agencies have not finalized them.  </w:t>
      </w:r>
    </w:p>
    <w:p w14:paraId="0911D6C2" w14:textId="77777777" w:rsidR="009E7639" w:rsidRPr="009E7639" w:rsidRDefault="00E716A1" w:rsidP="009E7639">
      <w:pPr>
        <w:spacing w:after="0" w:line="240" w:lineRule="auto"/>
        <w:rPr>
          <w:rFonts w:ascii="Times New Roman" w:eastAsia="Times New Roman" w:hAnsi="Times New Roman" w:cs="Times New Roman"/>
          <w:kern w:val="0"/>
          <w14:ligatures w14:val="none"/>
        </w:rPr>
      </w:pPr>
      <w:r w:rsidRPr="00E716A1">
        <w:rPr>
          <w:rFonts w:ascii="Times New Roman" w:eastAsia="Times New Roman" w:hAnsi="Times New Roman" w:cs="Times New Roman"/>
          <w:noProof/>
          <w:kern w:val="0"/>
        </w:rPr>
        <w:pict w14:anchorId="53C968BF">
          <v:rect id="_x0000_i1025" alt="" style="width:468pt;height:.05pt;mso-width-percent:0;mso-height-percent:0;mso-width-percent:0;mso-height-percent:0" o:hralign="center" o:hrstd="t" o:hr="t" fillcolor="#a0a0a0" stroked="f"/>
        </w:pict>
      </w:r>
    </w:p>
    <w:p w14:paraId="0C687C50" w14:textId="77777777" w:rsidR="009E7639" w:rsidRPr="009E7639" w:rsidRDefault="009E7639" w:rsidP="009E763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E7639">
        <w:rPr>
          <w:rFonts w:ascii="Times New Roman" w:eastAsia="Times New Roman" w:hAnsi="Times New Roman" w:cs="Times New Roman"/>
          <w:b/>
          <w:bCs/>
          <w:kern w:val="0"/>
          <w:sz w:val="36"/>
          <w:szCs w:val="36"/>
          <w14:ligatures w14:val="none"/>
        </w:rPr>
        <w:t>Bottom-line synthesis</w:t>
      </w:r>
    </w:p>
    <w:p w14:paraId="1F75C682"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 xml:space="preserve">For Category I GSIB boards, the current federal board-obligation stack is not one regime but </w:t>
      </w:r>
      <w:r w:rsidRPr="009E7639">
        <w:rPr>
          <w:rFonts w:ascii="Times New Roman" w:eastAsia="Times New Roman" w:hAnsi="Times New Roman" w:cs="Times New Roman"/>
          <w:b/>
          <w:bCs/>
          <w:kern w:val="0"/>
          <w14:ligatures w14:val="none"/>
        </w:rPr>
        <w:t>five overlapping governance layers</w:t>
      </w:r>
      <w:r w:rsidRPr="009E7639">
        <w:rPr>
          <w:rFonts w:ascii="Times New Roman" w:eastAsia="Times New Roman" w:hAnsi="Times New Roman" w:cs="Times New Roman"/>
          <w:kern w:val="0"/>
          <w14:ligatures w14:val="none"/>
        </w:rPr>
        <w:t>:</w:t>
      </w:r>
    </w:p>
    <w:p w14:paraId="044D1A9C" w14:textId="77777777" w:rsidR="009E7639" w:rsidRPr="009E7639" w:rsidRDefault="009E7639" w:rsidP="009E763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Parent-level systemic-risk governance</w:t>
      </w:r>
      <w:r w:rsidRPr="009E7639">
        <w:rPr>
          <w:rFonts w:ascii="Times New Roman" w:eastAsia="Times New Roman" w:hAnsi="Times New Roman" w:cs="Times New Roman"/>
          <w:kern w:val="0"/>
          <w14:ligatures w14:val="none"/>
        </w:rPr>
        <w:t xml:space="preserve"> under Federal Reserve Reg YY, capital planning, liquidity, stress testing, and resolution planning.</w:t>
      </w:r>
    </w:p>
    <w:p w14:paraId="1D027AB0" w14:textId="77777777" w:rsidR="009E7639" w:rsidRPr="009E7639" w:rsidRDefault="009E7639" w:rsidP="009E763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IDI-level safety-and-soundness governance</w:t>
      </w:r>
      <w:r w:rsidRPr="009E7639">
        <w:rPr>
          <w:rFonts w:ascii="Times New Roman" w:eastAsia="Times New Roman" w:hAnsi="Times New Roman" w:cs="Times New Roman"/>
          <w:kern w:val="0"/>
          <w14:ligatures w14:val="none"/>
        </w:rPr>
        <w:t xml:space="preserve"> under OCC/FDIC/Fed rules, including heightened standards for OCC covered banks.</w:t>
      </w:r>
    </w:p>
    <w:p w14:paraId="03296544" w14:textId="77777777" w:rsidR="009E7639" w:rsidRPr="009E7639" w:rsidRDefault="009E7639" w:rsidP="009E763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Committee-specific mandates</w:t>
      </w:r>
      <w:r w:rsidRPr="009E7639">
        <w:rPr>
          <w:rFonts w:ascii="Times New Roman" w:eastAsia="Times New Roman" w:hAnsi="Times New Roman" w:cs="Times New Roman"/>
          <w:kern w:val="0"/>
          <w14:ligatures w14:val="none"/>
        </w:rPr>
        <w:t>, especially risk committee and audit committee composition and approvals.</w:t>
      </w:r>
    </w:p>
    <w:p w14:paraId="661EA570" w14:textId="77777777" w:rsidR="009E7639" w:rsidRPr="009E7639" w:rsidRDefault="009E7639" w:rsidP="009E763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Program-specific board approvals</w:t>
      </w:r>
      <w:r w:rsidRPr="009E7639">
        <w:rPr>
          <w:rFonts w:ascii="Times New Roman" w:eastAsia="Times New Roman" w:hAnsi="Times New Roman" w:cs="Times New Roman"/>
          <w:kern w:val="0"/>
          <w14:ligatures w14:val="none"/>
        </w:rPr>
        <w:t>, including BSA/AML, information security, liquidity contingency funding, capital models, and resolution submissions.</w:t>
      </w:r>
    </w:p>
    <w:p w14:paraId="40BD9B52" w14:textId="77777777" w:rsidR="009E7639" w:rsidRPr="009E7639" w:rsidRDefault="009E7639" w:rsidP="009E763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b/>
          <w:bCs/>
          <w:kern w:val="0"/>
          <w14:ligatures w14:val="none"/>
        </w:rPr>
        <w:t>Supervisory guidance overlays</w:t>
      </w:r>
      <w:r w:rsidRPr="009E7639">
        <w:rPr>
          <w:rFonts w:ascii="Times New Roman" w:eastAsia="Times New Roman" w:hAnsi="Times New Roman" w:cs="Times New Roman"/>
          <w:kern w:val="0"/>
          <w14:ligatures w14:val="none"/>
        </w:rPr>
        <w:t>, including third-party risk, model risk, incentive compensation, consumer compliance, and recovery/resolution preparedness.</w:t>
      </w:r>
    </w:p>
    <w:p w14:paraId="44FC7D45" w14:textId="77777777" w:rsidR="009E7639" w:rsidRPr="009E7639" w:rsidRDefault="009E7639" w:rsidP="009E7639">
      <w:pPr>
        <w:spacing w:before="100" w:beforeAutospacing="1" w:after="100" w:afterAutospacing="1" w:line="240" w:lineRule="auto"/>
        <w:rPr>
          <w:rFonts w:ascii="Times New Roman" w:eastAsia="Times New Roman" w:hAnsi="Times New Roman" w:cs="Times New Roman"/>
          <w:kern w:val="0"/>
          <w14:ligatures w14:val="none"/>
        </w:rPr>
      </w:pPr>
      <w:r w:rsidRPr="009E7639">
        <w:rPr>
          <w:rFonts w:ascii="Times New Roman" w:eastAsia="Times New Roman" w:hAnsi="Times New Roman" w:cs="Times New Roman"/>
          <w:kern w:val="0"/>
          <w14:ligatures w14:val="none"/>
        </w:rPr>
        <w:t xml:space="preserve">The most promising reform targets are not basic board oversight duties, which are unavoidable, but </w:t>
      </w:r>
      <w:r w:rsidRPr="009E7639">
        <w:rPr>
          <w:rFonts w:ascii="Times New Roman" w:eastAsia="Times New Roman" w:hAnsi="Times New Roman" w:cs="Times New Roman"/>
          <w:b/>
          <w:bCs/>
          <w:kern w:val="0"/>
          <w14:ligatures w14:val="none"/>
        </w:rPr>
        <w:t>duplicative approval cycles</w:t>
      </w:r>
      <w:r w:rsidRPr="009E7639">
        <w:rPr>
          <w:rFonts w:ascii="Times New Roman" w:eastAsia="Times New Roman" w:hAnsi="Times New Roman" w:cs="Times New Roman"/>
          <w:kern w:val="0"/>
          <w14:ligatures w14:val="none"/>
        </w:rPr>
        <w:t xml:space="preserve">, </w:t>
      </w:r>
      <w:r w:rsidRPr="009E7639">
        <w:rPr>
          <w:rFonts w:ascii="Times New Roman" w:eastAsia="Times New Roman" w:hAnsi="Times New Roman" w:cs="Times New Roman"/>
          <w:b/>
          <w:bCs/>
          <w:kern w:val="0"/>
          <w14:ligatures w14:val="none"/>
        </w:rPr>
        <w:t>inconsistent independence definitions</w:t>
      </w:r>
      <w:r w:rsidRPr="009E7639">
        <w:rPr>
          <w:rFonts w:ascii="Times New Roman" w:eastAsia="Times New Roman" w:hAnsi="Times New Roman" w:cs="Times New Roman"/>
          <w:kern w:val="0"/>
          <w14:ligatures w14:val="none"/>
        </w:rPr>
        <w:t xml:space="preserve">, </w:t>
      </w:r>
      <w:r w:rsidRPr="009E7639">
        <w:rPr>
          <w:rFonts w:ascii="Times New Roman" w:eastAsia="Times New Roman" w:hAnsi="Times New Roman" w:cs="Times New Roman"/>
          <w:b/>
          <w:bCs/>
          <w:kern w:val="0"/>
          <w14:ligatures w14:val="none"/>
        </w:rPr>
        <w:t>parallel BHC/IDI resolution-planning governance</w:t>
      </w:r>
      <w:r w:rsidRPr="009E7639">
        <w:rPr>
          <w:rFonts w:ascii="Times New Roman" w:eastAsia="Times New Roman" w:hAnsi="Times New Roman" w:cs="Times New Roman"/>
          <w:kern w:val="0"/>
          <w14:ligatures w14:val="none"/>
        </w:rPr>
        <w:t xml:space="preserve">, and </w:t>
      </w:r>
      <w:r w:rsidRPr="009E7639">
        <w:rPr>
          <w:rFonts w:ascii="Times New Roman" w:eastAsia="Times New Roman" w:hAnsi="Times New Roman" w:cs="Times New Roman"/>
          <w:b/>
          <w:bCs/>
          <w:kern w:val="0"/>
          <w14:ligatures w14:val="none"/>
        </w:rPr>
        <w:t>program-specific requirements that convert board oversight into repeated document approval</w:t>
      </w:r>
      <w:r w:rsidRPr="009E7639">
        <w:rPr>
          <w:rFonts w:ascii="Times New Roman" w:eastAsia="Times New Roman" w:hAnsi="Times New Roman" w:cs="Times New Roman"/>
          <w:kern w:val="0"/>
          <w14:ligatures w14:val="none"/>
        </w:rPr>
        <w:t>.</w:t>
      </w:r>
    </w:p>
    <w:p w14:paraId="2BBE2038" w14:textId="77777777" w:rsidR="009E7639" w:rsidRDefault="009E7639"/>
    <w:sectPr w:rsidR="009E76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4F1E1F"/>
    <w:multiLevelType w:val="multilevel"/>
    <w:tmpl w:val="9ABED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533B4F"/>
    <w:multiLevelType w:val="multilevel"/>
    <w:tmpl w:val="FA703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1866270">
    <w:abstractNumId w:val="1"/>
  </w:num>
  <w:num w:numId="2" w16cid:durableId="1157116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639"/>
    <w:rsid w:val="000A1707"/>
    <w:rsid w:val="002508A8"/>
    <w:rsid w:val="009E7639"/>
    <w:rsid w:val="00BA4D63"/>
    <w:rsid w:val="00E716A1"/>
    <w:rsid w:val="00EB31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9924A"/>
  <w15:chartTrackingRefBased/>
  <w15:docId w15:val="{9B3CCCB5-B920-1B4E-9562-F540BBC0F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6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E76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6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6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6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6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6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6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6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6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E76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6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6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6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6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6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6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639"/>
    <w:rPr>
      <w:rFonts w:eastAsiaTheme="majorEastAsia" w:cstheme="majorBidi"/>
      <w:color w:val="272727" w:themeColor="text1" w:themeTint="D8"/>
    </w:rPr>
  </w:style>
  <w:style w:type="paragraph" w:styleId="Title">
    <w:name w:val="Title"/>
    <w:basedOn w:val="Normal"/>
    <w:next w:val="Normal"/>
    <w:link w:val="TitleChar"/>
    <w:uiPriority w:val="10"/>
    <w:qFormat/>
    <w:rsid w:val="009E76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6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6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6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639"/>
    <w:pPr>
      <w:spacing w:before="160"/>
      <w:jc w:val="center"/>
    </w:pPr>
    <w:rPr>
      <w:i/>
      <w:iCs/>
      <w:color w:val="404040" w:themeColor="text1" w:themeTint="BF"/>
    </w:rPr>
  </w:style>
  <w:style w:type="character" w:customStyle="1" w:styleId="QuoteChar">
    <w:name w:val="Quote Char"/>
    <w:basedOn w:val="DefaultParagraphFont"/>
    <w:link w:val="Quote"/>
    <w:uiPriority w:val="29"/>
    <w:rsid w:val="009E7639"/>
    <w:rPr>
      <w:i/>
      <w:iCs/>
      <w:color w:val="404040" w:themeColor="text1" w:themeTint="BF"/>
    </w:rPr>
  </w:style>
  <w:style w:type="paragraph" w:styleId="ListParagraph">
    <w:name w:val="List Paragraph"/>
    <w:basedOn w:val="Normal"/>
    <w:uiPriority w:val="34"/>
    <w:qFormat/>
    <w:rsid w:val="009E7639"/>
    <w:pPr>
      <w:ind w:left="720"/>
      <w:contextualSpacing/>
    </w:pPr>
  </w:style>
  <w:style w:type="character" w:styleId="IntenseEmphasis">
    <w:name w:val="Intense Emphasis"/>
    <w:basedOn w:val="DefaultParagraphFont"/>
    <w:uiPriority w:val="21"/>
    <w:qFormat/>
    <w:rsid w:val="009E7639"/>
    <w:rPr>
      <w:i/>
      <w:iCs/>
      <w:color w:val="0F4761" w:themeColor="accent1" w:themeShade="BF"/>
    </w:rPr>
  </w:style>
  <w:style w:type="paragraph" w:styleId="IntenseQuote">
    <w:name w:val="Intense Quote"/>
    <w:basedOn w:val="Normal"/>
    <w:next w:val="Normal"/>
    <w:link w:val="IntenseQuoteChar"/>
    <w:uiPriority w:val="30"/>
    <w:qFormat/>
    <w:rsid w:val="009E76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639"/>
    <w:rPr>
      <w:i/>
      <w:iCs/>
      <w:color w:val="0F4761" w:themeColor="accent1" w:themeShade="BF"/>
    </w:rPr>
  </w:style>
  <w:style w:type="character" w:styleId="IntenseReference">
    <w:name w:val="Intense Reference"/>
    <w:basedOn w:val="DefaultParagraphFont"/>
    <w:uiPriority w:val="32"/>
    <w:qFormat/>
    <w:rsid w:val="009E7639"/>
    <w:rPr>
      <w:b/>
      <w:bCs/>
      <w:smallCaps/>
      <w:color w:val="0F4761" w:themeColor="accent1" w:themeShade="BF"/>
      <w:spacing w:val="5"/>
    </w:rPr>
  </w:style>
  <w:style w:type="paragraph" w:customStyle="1" w:styleId="p1">
    <w:name w:val="p1"/>
    <w:basedOn w:val="Normal"/>
    <w:rsid w:val="009E763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9E7639"/>
  </w:style>
  <w:style w:type="character" w:customStyle="1" w:styleId="apple-converted-space">
    <w:name w:val="apple-converted-space"/>
    <w:basedOn w:val="DefaultParagraphFont"/>
    <w:rsid w:val="009E7639"/>
  </w:style>
  <w:style w:type="paragraph" w:customStyle="1" w:styleId="p3">
    <w:name w:val="p3"/>
    <w:basedOn w:val="Normal"/>
    <w:rsid w:val="009E763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9E7639"/>
  </w:style>
  <w:style w:type="paragraph" w:customStyle="1" w:styleId="p2">
    <w:name w:val="p2"/>
    <w:basedOn w:val="Normal"/>
    <w:rsid w:val="009E7639"/>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9E763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4785</Words>
  <Characters>27277</Characters>
  <Application>Microsoft Office Word</Application>
  <DocSecurity>0</DocSecurity>
  <Lines>227</Lines>
  <Paragraphs>63</Paragraphs>
  <ScaleCrop>false</ScaleCrop>
  <Company/>
  <LinksUpToDate>false</LinksUpToDate>
  <CharactersWithSpaces>31999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Hsu</dc:creator>
  <cp:keywords/>
  <dc:description/>
  <cp:lastModifiedBy>Mike Hsu</cp:lastModifiedBy>
  <cp:revision>1</cp:revision>
  <dcterms:created xsi:type="dcterms:W3CDTF">2026-05-29T15:55:00Z</dcterms:created>
  <dcterms:modified xsi:type="dcterms:W3CDTF">2026-05-29T15:58:00Z</dcterms:modified>
</cp:coreProperties>
</file>