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right"/>
        <w:spacing w:after="0"/>
      </w:pPr>
      <w:r>
        <w:drawing>
          <wp:inline>
            <wp:extent cx="1371600" cy="320040"/>
            <wp:docPr id="1" name="Picture 1"/>
            <wp:cNvGraphicFramePr>
              <a:graphicFrameLocks noChangeAspect="1"/>
            </wp:cNvGraphicFramePr>
            <a:graphic>
              <a:graphicData uri="http://schemas.openxmlformats.org/drawingml/2006/picture">
                <pic:pic>
                  <pic:nvPicPr>
                    <pic:cNvPr id="0" name="caffrey-logo.png"/>
                    <pic:cNvPicPr/>
                  </pic:nvPicPr>
                  <pic:blipFill>
                    <a:blip r:embed="rId9"/>
                    <a:stretch>
                      <a:fillRect/>
                    </a:stretch>
                  </pic:blipFill>
                  <pic:spPr>
                    <a:xfrm>
                      <a:off x="0" y="0"/>
                      <a:ext cx="1371600" cy="320040"/>
                    </a:xfrm>
                    <a:prstGeom prst="rect"/>
                  </pic:spPr>
                </pic:pic>
              </a:graphicData>
            </a:graphic>
          </wp:inline>
        </w:drawing>
      </w:r>
    </w:p>
    <w:p>
      <w:pPr>
        <w:jc w:val="right"/>
        <w:spacing w:before="60" w:after="0"/>
      </w:pPr>
      <w:r>
        <w:rPr>
          <w:sz w:val="18"/>
          <w:szCs w:val="18"/>
          <w:b/>
          <w:color w:val="888888"/>
          <w:rFonts w:ascii="Pretendard" w:hAnsi="Pretendard"/>
        </w:rPr>
        <w:t xml:space="preserve">PRIVILEGED &amp; CONFIDENTIAL</w:t>
      </w:r>
    </w:p>
    <w:p>
      <w:pPr>
        <w:spacing w:before="600" w:after="60"/>
      </w:pPr>
      <w:r>
        <w:rPr>
          <w:sz w:val="48"/>
          <w:szCs w:val="48"/>
          <w:color w:val="1C1C1C"/>
          <w:rFonts w:ascii="Instrument Serif" w:hAnsi="Instrument Serif"/>
        </w:rPr>
        <w:t xml:space="preserve">Comprehensive Inventory of Supervisory Expectations Applicable to Boards of Directors of Category I Global Systemically Important Bank Holding Companies and Their Insured Depository Institution Subsidiaries</w:t>
      </w:r>
    </w:p>
    <w:p>
      <w:pPr>
        <w:spacing w:before="60" w:after="560"/>
      </w:pPr>
      <w:r>
        <w:rPr>
          <w:sz w:val="20"/>
          <w:szCs w:val="20"/>
          <w:color w:val="888888"/>
          <w:rFonts w:ascii="Pretendard" w:hAnsi="Pretendard"/>
        </w:rPr>
        <w:t xml:space="preserve">June 5, 2026</w:t>
      </w:r>
    </w:p>
    <w:p>
      <w:pPr>
        <w:pStyle w:val="FirstParagraph"/>
      </w:pPr>
      <w:r>
        <w:rPr>
          <w:b/>
          <w:bCs/>
        </w:rPr>
        <w:t xml:space="preserve">PRIVILEGED &amp; CONFIDENTIAL</w:t>
      </w:r>
    </w:p>
    <w:bookmarkStart w:id="20" w:name="i.-introduction"/>
    <w:p>
      <w:pPr>
        <w:pStyle w:val="Heading1"/>
      </w:pPr>
      <w:r>
        <w:t xml:space="preserve">I. Introduction</w:t>
      </w:r>
    </w:p>
    <w:p>
      <w:pPr>
        <w:pStyle w:val="FirstParagraph"/>
      </w:pPr>
      <w:r>
        <w:t xml:space="preserve">This memorandum compiles a citation-specific inventory of all currently in-force supervisory expectations applicable to the boards of directors of Category I global systemically important bank holding companies (</w:t>
      </w:r>
      <w:r>
        <w:t xml:space="preserve">“</w:t>
      </w:r>
      <w:r>
        <w:t xml:space="preserve">Category I GSIBs</w:t>
      </w:r>
      <w:r>
        <w:t xml:space="preserve">”</w:t>
      </w:r>
      <w:r>
        <w:t xml:space="preserve">) and their insured depository institution (</w:t>
      </w:r>
      <w:r>
        <w:t xml:space="preserve">“</w:t>
      </w:r>
      <w:r>
        <w:t xml:space="preserve">IDI</w:t>
      </w:r>
      <w:r>
        <w:t xml:space="preserve">”</w:t>
      </w:r>
      <w:r>
        <w:t xml:space="preserve">) subsidiaries. It draws from the full universe of applicable federal supervisory sources issued by the Federal Reserve, the Office of the Comptroller of the Currency (</w:t>
      </w:r>
      <w:r>
        <w:t xml:space="preserve">“</w:t>
      </w:r>
      <w:r>
        <w:t xml:space="preserve">OCC</w:t>
      </w:r>
      <w:r>
        <w:t xml:space="preserve">”</w:t>
      </w:r>
      <w:r>
        <w:t xml:space="preserve">), the Federal Deposit Insurance Corporation (</w:t>
      </w:r>
      <w:r>
        <w:t xml:space="preserve">“</w:t>
      </w:r>
      <w:r>
        <w:t xml:space="preserve">FDIC</w:t>
      </w:r>
      <w:r>
        <w:t xml:space="preserve">”</w:t>
      </w:r>
      <w:r>
        <w:t xml:space="preserve">), and interagency bodies, including SR letters, CA letters, Financial Institution Letters (</w:t>
      </w:r>
      <w:r>
        <w:t xml:space="preserve">“</w:t>
      </w:r>
      <w:r>
        <w:t xml:space="preserve">FILs</w:t>
      </w:r>
      <w:r>
        <w:t xml:space="preserve">”</w:t>
      </w:r>
      <w:r>
        <w:t xml:space="preserve">), OCC Bulletins, examination manuals, and interagency guidance statements.</w:t>
      </w:r>
    </w:p>
    <w:p>
      <w:pPr>
        <w:pStyle w:val="BodyText"/>
      </w:pPr>
      <w:r>
        <w:t xml:space="preserve">The inventory separately addresses supervisory expectations at the holding company level and at the IDI subsidiary level, identifying where expectations diverge or conflict across agencies. For each expectation identified, it specifies the precise source and citation, the nature of the board-level responsibility, whether the expectation falls on the full board or a specific committee, and any distinction between inside and outside or independent and non-independent directors. The inventory affirmatively identifies and labels expectations that appear duplicative or overlapping across agencies or guidance documents. It also flags instances where currently active guidance contains board-level expectations that appear inconsistent with or partially displaced by more recent frameworks, including the Federal Reserve’s board effectiveness guidance finalized in SR 21-3/CA 21-1, the conforming revisions addressed in SR 21-4/CA 21-2, and the Large Financial Institution (</w:t>
      </w:r>
      <w:r>
        <w:t xml:space="preserve">“</w:t>
      </w:r>
      <w:r>
        <w:t xml:space="preserve">LFI</w:t>
      </w:r>
      <w:r>
        <w:t xml:space="preserve">”</w:t>
      </w:r>
      <w:r>
        <w:t xml:space="preserve">) rating system.</w:t>
      </w:r>
    </w:p>
    <w:p>
      <w:pPr>
        <w:pStyle w:val="BodyText"/>
      </w:pPr>
      <w:r>
        <w:t xml:space="preserve">This memorandum covers supervisory expectations across the following domains: capital planning and stress testing; liquidity risk management; resolution planning; recovery planning; operational resilience; model risk governance; third-party risk management; incentive compensation; cybersecurity governance; BSA/AML program oversight; consumer compliance oversight; internal audit governance; risk committee requirements; board composition, independence, and director qualifications; and safety and soundness generally. A separate analysis of board-level regulatory obligations (i.e., binding rules with the force of law) has been prepared independently; this memorandum focuses on supervisory expectations, which include guidance, examination standards, and supervisory frameworks that inform examination assessments and rating determinations but do not carry the formal force of law.</w:t>
      </w:r>
    </w:p>
    <w:p>
      <w:pPr>
        <w:pStyle w:val="BodyText"/>
      </w:pPr>
      <w:r>
        <w:t xml:space="preserve">The memorandum concludes with a consolidated identification of duplicative, overlapping, and inconsistent expectations across agencies and guidance documents, and a discussion of policy reform considerations.</w:t>
      </w:r>
    </w:p>
    <w:bookmarkEnd w:id="20"/>
    <w:bookmarkStart w:id="21" w:name="ii.-executive-summary"/>
    <w:p>
      <w:pPr>
        <w:pStyle w:val="Heading1"/>
      </w:pPr>
      <w:r>
        <w:t xml:space="preserve">II. Executive Summary</w:t>
      </w:r>
    </w:p>
    <w:p>
      <w:pPr>
        <w:pStyle w:val="FirstParagraph"/>
      </w:pPr>
      <w:r>
        <w:t xml:space="preserve">The supervisory expectations applicable to boards of Category I GSIBs and their IDI subsidiaries are extensive, layered, and, in certain material respects, internally inconsistent. The following key findings emerge from this inventory:</w:t>
      </w:r>
    </w:p>
    <w:p>
      <w:pPr>
        <w:pStyle w:val="BodyText"/>
      </w:pPr>
      <w:r>
        <w:rPr>
          <w:b/>
          <w:bCs/>
        </w:rPr>
        <w:t xml:space="preserve">1. The Federal Reserve’s SR 21-3/CA 21-1 is the primary framework for board effectiveness at the holding company level.</w:t>
      </w:r>
      <w:r>
        <w:t xml:space="preserve"> </w:t>
      </w:r>
      <w:r>
        <w:t xml:space="preserve">It establishes five principles-based attributes of effective boards: setting strategy and risk appetite; directing management on information needs; overseeing and holding management accountable; supporting independent risk management and internal audit; and maintaining capable board composition. These attributes are now embedded in the LFI rating system’s Governance and Controls component.</w:t>
      </w:r>
    </w:p>
    <w:p>
      <w:pPr>
        <w:pStyle w:val="BodyText"/>
      </w:pPr>
      <w:r>
        <w:rPr>
          <w:b/>
          <w:bCs/>
        </w:rPr>
        <w:t xml:space="preserve">2. SR 12-17/CA 12-14 was retained without revision by SR 21-4 and contains board-level expectations that use</w:t>
      </w:r>
      <w:r>
        <w:rPr>
          <w:b/>
          <w:bCs/>
        </w:rPr>
        <w:t xml:space="preserve"> </w:t>
      </w:r>
      <w:r>
        <w:rPr>
          <w:b/>
          <w:bCs/>
        </w:rPr>
        <w:t xml:space="preserve">“</w:t>
      </w:r>
      <w:r>
        <w:rPr>
          <w:b/>
          <w:bCs/>
        </w:rPr>
        <w:t xml:space="preserve">ensure</w:t>
      </w:r>
      <w:r>
        <w:rPr>
          <w:b/>
          <w:bCs/>
        </w:rPr>
        <w:t xml:space="preserve">”</w:t>
      </w:r>
      <w:r>
        <w:rPr>
          <w:b/>
          <w:bCs/>
        </w:rPr>
        <w:t xml:space="preserve"> </w:t>
      </w:r>
      <w:r>
        <w:rPr>
          <w:b/>
          <w:bCs/>
        </w:rPr>
        <w:t xml:space="preserve">language inconsistent with SR 21-3’s oversight-focused approach.</w:t>
      </w:r>
      <w:r>
        <w:t xml:space="preserve"> </w:t>
      </w:r>
      <w:r>
        <w:t xml:space="preserve">This creates an unresolved tension in the Federal Reserve’s own guidance corpus that affects every supervisory domain addressed in this inventory.</w:t>
      </w:r>
    </w:p>
    <w:p>
      <w:pPr>
        <w:pStyle w:val="BodyText"/>
      </w:pPr>
      <w:r>
        <w:rPr>
          <w:b/>
          <w:bCs/>
        </w:rPr>
        <w:t xml:space="preserve">3. Board-level expectations at the IDI subsidiary level are governed by separate, agency-specific frameworks</w:t>
      </w:r>
      <w:r>
        <w:t xml:space="preserve"> </w:t>
      </w:r>
      <w:r>
        <w:t xml:space="preserve">that are not fully harmonized with the holding company-level framework. The OCC’s heightened standards (12 CFR Part 30, Appendix D) apply to large national banks; the FDIC’s proposed corporate governance guidelines were withdrawn in March 2025. Independence requirements, committee mandates, and the allocation of board versus management responsibility differ across agencies and organizational levels.</w:t>
      </w:r>
    </w:p>
    <w:p>
      <w:pPr>
        <w:pStyle w:val="BodyText"/>
      </w:pPr>
      <w:r>
        <w:rPr>
          <w:b/>
          <w:bCs/>
        </w:rPr>
        <w:t xml:space="preserve">4. Duplicative and overlapping expectations are pervasive.</w:t>
      </w:r>
      <w:r>
        <w:t xml:space="preserve"> </w:t>
      </w:r>
      <w:r>
        <w:t xml:space="preserve">The board’s obligation to oversee risk management, approve capital plans, oversee liquidity risk, and maintain information security programs is addressed in multiple concurrent sources, often with slightly different language and framing, administered by different agencies, and applicable to different legal entities within the same corporate family.</w:t>
      </w:r>
    </w:p>
    <w:p>
      <w:pPr>
        <w:pStyle w:val="BodyText"/>
      </w:pPr>
      <w:r>
        <w:rPr>
          <w:b/>
          <w:bCs/>
        </w:rPr>
        <w:t xml:space="preserve">5. Examination manuals contain board-level expectations that are partially displaced but not yet formally removed.</w:t>
      </w:r>
      <w:r>
        <w:t xml:space="preserve"> </w:t>
      </w:r>
      <w:r>
        <w:t xml:space="preserve">SR 21-4 instructed that firms should not rely on the manuals for board expectations and that examiners should not refer to them in governance assessments, but the manual revision process remains incomplete as of June 2026.</w:t>
      </w:r>
    </w:p>
    <w:p>
      <w:pPr>
        <w:pStyle w:val="BodyText"/>
      </w:pPr>
      <w:r>
        <w:rPr>
          <w:b/>
          <w:bCs/>
        </w:rPr>
        <w:t xml:space="preserve">6. The LFI rating system has been revised effective January 2026 to address acknowledged miscalibration.</w:t>
      </w:r>
      <w:r>
        <w:t xml:space="preserve"> </w:t>
      </w:r>
      <w:r>
        <w:t xml:space="preserve">The revised framework permits a single Deficient-1 component rating without automatic loss of</w:t>
      </w:r>
      <w:r>
        <w:t xml:space="preserve"> </w:t>
      </w:r>
      <w:r>
        <w:t xml:space="preserve">“</w:t>
      </w:r>
      <w:r>
        <w:t xml:space="preserve">well managed</w:t>
      </w:r>
      <w:r>
        <w:t xml:space="preserve">”</w:t>
      </w:r>
      <w:r>
        <w:t xml:space="preserve"> </w:t>
      </w:r>
      <w:r>
        <w:t xml:space="preserve">status, and replaces the prior presumption of enforcement action with a facts-and-circumstances standard.</w:t>
      </w:r>
    </w:p>
    <w:p>
      <w:pPr>
        <w:pStyle w:val="BodyText"/>
      </w:pPr>
      <w:r>
        <w:rPr>
          <w:b/>
          <w:bCs/>
        </w:rPr>
        <w:t xml:space="preserve">7. Priority areas for policy reform include:</w:t>
      </w:r>
      <w:r>
        <w:t xml:space="preserve"> </w:t>
      </w:r>
      <w:r>
        <w:t xml:space="preserve">finalizing the Federal Reserve’s companion guidance on senior management; revising SR 12-17 to align with SR 21-3; completing examination manual updates; harmonizing holding company and IDI subsidiary board expectations across agencies; and finalizing the Section 956 incentive compensation rulemaking.</w:t>
      </w:r>
    </w:p>
    <w:bookmarkEnd w:id="21"/>
    <w:bookmarkStart w:id="29" w:name="Xb84d67dee2249a1f5d1692f4f8637e795387d32"/>
    <w:p>
      <w:pPr>
        <w:pStyle w:val="Heading1"/>
      </w:pPr>
      <w:r>
        <w:t xml:space="preserve">III. Foundational Supervisory Architecture</w:t>
      </w:r>
    </w:p>
    <w:bookmarkStart w:id="24" w:name="Xf0e10b0f828c8a82960bd25c1d667a7c3824853"/>
    <w:p>
      <w:pPr>
        <w:pStyle w:val="Heading2"/>
      </w:pPr>
      <w:r>
        <w:t xml:space="preserve">A. The Consolidated Supervision Framework: SR 12-17/CA 12-14</w:t>
      </w:r>
    </w:p>
    <w:p>
      <w:pPr>
        <w:pStyle w:val="FirstParagraph"/>
      </w:pPr>
      <w:r>
        <w:t xml:space="preserve">SR 12-17/CA 12-14,</w:t>
      </w:r>
      <w:r>
        <w:t xml:space="preserve"> </w:t>
      </w:r>
      <w:r>
        <w:t xml:space="preserve">“</w:t>
      </w:r>
      <w:r>
        <w:t xml:space="preserve">Consolidated Supervision Framework for Large Financial Institutions</w:t>
      </w:r>
      <w:r>
        <w:t xml:space="preserve">”</w:t>
      </w:r>
      <w:r>
        <w:t xml:space="preserve"> </w:t>
      </w:r>
      <w:r>
        <w:t xml:space="preserve">(December 17, 2012, revised October 1, 2025), establishes the overarching supervisory framework applicable to LISCC firms and Large Banking Organizations with total consolidated assets of $50 billion or more. The framework has two stated objectives: (1) enhancing the resiliency of a firm to lower the probability of its failure or inability to serve as a financial intermediary, and (2) reducing the impact on the financial system and the broader economy in the event of a firm’s failure or material weakness. (</w:t>
      </w:r>
      <w:hyperlink r:id="rId22">
        <w:r>
          <w:rPr>
            <w:rStyle w:val="Hyperlink"/>
            <w:color w:val="0645AD"/>
            <w:u w:val="single"/>
          </w:rPr>
          <w:t xml:space="preserve">SR 12-17: Consolidated Supervision Framework for Large Financial Institutions</w:t>
        </w:r>
      </w:hyperlink>
      <w:r>
        <w:t xml:space="preserve">)</w:t>
      </w:r>
    </w:p>
    <w:p>
      <w:pPr>
        <w:pStyle w:val="BodyText"/>
      </w:pPr>
      <w:r>
        <w:t xml:space="preserve">The framework was revised on October 1, 2025 to remove references to reputational risk from the Federal Reserve’s examination programs.</w:t>
      </w:r>
    </w:p>
    <w:p>
      <w:pPr>
        <w:pStyle w:val="BodyText"/>
      </w:pPr>
      <w:r>
        <w:t xml:space="preserve">SR 12-17 identifies eight core areas of supervisory focus: (1) capital planning and positions; (2) liquidity risk management and positions; (3) corporate governance, risk management, and internal controls; (4) recovery planning; (5) management of core business lines; (6) management of critical operations; (7) protection of the banking offices; and (8) resolution planning. (</w:t>
      </w:r>
      <w:hyperlink r:id="rId22">
        <w:r>
          <w:rPr>
            <w:rStyle w:val="Hyperlink"/>
            <w:color w:val="0645AD"/>
            <w:u w:val="single"/>
          </w:rPr>
          <w:t xml:space="preserve">SR 12-17: Consolidated Supervision Framework for Large Financial Institutions</w:t>
        </w:r>
      </w:hyperlink>
      <w:r>
        <w:t xml:space="preserve">)</w:t>
      </w:r>
    </w:p>
    <w:p>
      <w:pPr>
        <w:pStyle w:val="BodyText"/>
      </w:pPr>
      <w:r>
        <w:rPr>
          <w:b/>
          <w:bCs/>
        </w:rPr>
        <w:t xml:space="preserve">Board-Level Expectations.</w:t>
      </w:r>
      <w:r>
        <w:t xml:space="preserve"> </w:t>
      </w:r>
      <w:r>
        <w:t xml:space="preserve">SR 12-17 places the board at the apex of the firm-level governance structure and specifies that each firm’s board of directors and committees, with support from senior management, should:</w:t>
      </w:r>
    </w:p>
    <w:p>
      <w:pPr>
        <w:pStyle w:val="Compact"/>
        <w:numPr>
          <w:ilvl w:val="0"/>
          <w:numId w:val="1001"/>
        </w:numPr>
      </w:pPr>
      <w:r>
        <w:t xml:space="preserve">Maintain a clearly articulated corporate strategy and institutional risk appetite;</w:t>
      </w:r>
    </w:p>
    <w:p>
      <w:pPr>
        <w:pStyle w:val="Compact"/>
        <w:numPr>
          <w:ilvl w:val="0"/>
          <w:numId w:val="1001"/>
        </w:numPr>
      </w:pPr>
      <w:r>
        <w:t xml:space="preserve">Ensure that the firm’s senior management has the expertise and level of involvement required to manage the firm’s core business lines, critical operations, banking offices, and other material entities;</w:t>
      </w:r>
    </w:p>
    <w:p>
      <w:pPr>
        <w:pStyle w:val="Compact"/>
        <w:numPr>
          <w:ilvl w:val="0"/>
          <w:numId w:val="1001"/>
        </w:numPr>
      </w:pPr>
      <w:r>
        <w:t xml:space="preserve">Maintain a corporate culture that emphasizes the importance of compliance with laws and regulations and consumer protection;</w:t>
      </w:r>
    </w:p>
    <w:p>
      <w:pPr>
        <w:pStyle w:val="Compact"/>
        <w:numPr>
          <w:ilvl w:val="0"/>
          <w:numId w:val="1001"/>
        </w:numPr>
      </w:pPr>
      <w:r>
        <w:t xml:space="preserve">Ensure the organization’s internal audit, corporate compliance, and risk management and internal control functions are effective and independent;</w:t>
      </w:r>
    </w:p>
    <w:p>
      <w:pPr>
        <w:pStyle w:val="Compact"/>
        <w:numPr>
          <w:ilvl w:val="0"/>
          <w:numId w:val="1001"/>
        </w:numPr>
      </w:pPr>
      <w:r>
        <w:t xml:space="preserve">Assign senior managers with the responsibility for ensuring that compensation arrangements and other incentives are consistent with the corporate culture and institutional risk appetite; and</w:t>
      </w:r>
    </w:p>
    <w:p>
      <w:pPr>
        <w:pStyle w:val="Compact"/>
        <w:numPr>
          <w:ilvl w:val="0"/>
          <w:numId w:val="1001"/>
        </w:numPr>
      </w:pPr>
      <w:r>
        <w:t xml:space="preserve">Ensure that management information systems support the responsibilities of the board of directors.</w:t>
      </w:r>
    </w:p>
    <w:p>
      <w:pPr>
        <w:pStyle w:val="FirstParagraph"/>
      </w:pPr>
      <w:r>
        <w:t xml:space="preserve">(</w:t>
      </w:r>
      <w:hyperlink r:id="rId22">
        <w:r>
          <w:rPr>
            <w:rStyle w:val="Hyperlink"/>
            <w:color w:val="0645AD"/>
            <w:u w:val="single"/>
          </w:rPr>
          <w:t xml:space="preserve">SR 12-17: Consolidated Supervision Framework for Large Financial Institutions</w:t>
        </w:r>
      </w:hyperlink>
      <w:r>
        <w:t xml:space="preserve">)</w:t>
      </w:r>
    </w:p>
    <w:p>
      <w:pPr>
        <w:pStyle w:val="BlockText"/>
      </w:pPr>
      <w:r>
        <w:rPr>
          <w:b/>
          <w:bCs/>
        </w:rPr>
        <w:t xml:space="preserve">⚠ Tension Flag:</w:t>
      </w:r>
      <w:r>
        <w:t xml:space="preserve"> </w:t>
      </w:r>
      <w:r>
        <w:t xml:space="preserve">These six board-level responsibilities use</w:t>
      </w:r>
      <w:r>
        <w:t xml:space="preserve"> </w:t>
      </w:r>
      <w:r>
        <w:t xml:space="preserve">“</w:t>
      </w:r>
      <w:r>
        <w:t xml:space="preserve">ensure</w:t>
      </w:r>
      <w:r>
        <w:t xml:space="preserve">”</w:t>
      </w:r>
      <w:r>
        <w:t xml:space="preserve"> </w:t>
      </w:r>
      <w:r>
        <w:t xml:space="preserve">and</w:t>
      </w:r>
      <w:r>
        <w:t xml:space="preserve"> </w:t>
      </w:r>
      <w:r>
        <w:t xml:space="preserve">“</w:t>
      </w:r>
      <w:r>
        <w:t xml:space="preserve">maintain</w:t>
      </w:r>
      <w:r>
        <w:t xml:space="preserve">”</w:t>
      </w:r>
      <w:r>
        <w:t xml:space="preserve"> </w:t>
      </w:r>
      <w:r>
        <w:t xml:space="preserve">language that contemplates a more outcome-oriented board role than the oversight-focused approach subsequently adopted in SR 21-3. SR 21-4 retained SR 12-17 without revision, creating an unresolved tension that recurs throughout this inventory. As Debevoise &amp; Plimpton’s secondary analysis observes, SR 12-17</w:t>
      </w:r>
      <w:r>
        <w:t xml:space="preserve"> </w:t>
      </w:r>
      <w:r>
        <w:t xml:space="preserve">“</w:t>
      </w:r>
      <w:r>
        <w:t xml:space="preserve">contemplates greater involvement by the board in day-to-day operations and requires boards to</w:t>
      </w:r>
      <w:r>
        <w:t xml:space="preserve"> </w:t>
      </w:r>
      <w:r>
        <w:t xml:space="preserve">‘</w:t>
      </w:r>
      <w:r>
        <w:t xml:space="preserve">ensure</w:t>
      </w:r>
      <w:r>
        <w:t xml:space="preserve">’</w:t>
      </w:r>
      <w:r>
        <w:t xml:space="preserve"> </w:t>
      </w:r>
      <w:r>
        <w:t xml:space="preserve">certain results typically viewed as being within the scope of management’s control.</w:t>
      </w:r>
      <w:r>
        <w:t xml:space="preserve">”</w:t>
      </w:r>
      <w:r>
        <w:t xml:space="preserve"> </w:t>
      </w:r>
      <w:r>
        <w:t xml:space="preserve">(</w:t>
      </w:r>
      <w:hyperlink r:id="rId23">
        <w:r>
          <w:rPr>
            <w:rStyle w:val="Hyperlink"/>
            <w:color w:val="0645AD"/>
            <w:u w:val="single"/>
          </w:rPr>
          <w:t xml:space="preserve">Federal Reserve Board Finalizes Board Effectiveness Guidance, Debevoise &amp; Plimpton (March 10, 2021)</w:t>
        </w:r>
      </w:hyperlink>
      <w:r>
        <w:t xml:space="preserve">)</w:t>
      </w:r>
    </w:p>
    <w:bookmarkEnd w:id="24"/>
    <w:bookmarkStart w:id="26" w:name="X6a6c5734013de00524f94b4c5f604473c834ca4"/>
    <w:p>
      <w:pPr>
        <w:pStyle w:val="Heading2"/>
      </w:pPr>
      <w:r>
        <w:t xml:space="preserve">B. The Large Financial Institution Rating System</w:t>
      </w:r>
    </w:p>
    <w:p>
      <w:pPr>
        <w:pStyle w:val="FirstParagraph"/>
      </w:pPr>
      <w:r>
        <w:t xml:space="preserve">The LFI rating system, as revised effective January 16, 2026, applies to bank holding companies with total consolidated assets of $100 billion or more, all non-insurance, non-commercial savings and loan holding companies with total consolidated assets of $100 billion or more, and U.S. intermediate holding companies of foreign banking organizations with combined U.S. assets of $50 billion or more. (</w:t>
      </w:r>
      <w:hyperlink r:id="rId25">
        <w:r>
          <w:rPr>
            <w:rStyle w:val="Hyperlink"/>
            <w:color w:val="0645AD"/>
            <w:u w:val="single"/>
          </w:rPr>
          <w:t xml:space="preserve">90 FR 51329, Revisions to the Large Financial Institution Rating System</w:t>
        </w:r>
      </w:hyperlink>
      <w:r>
        <w:t xml:space="preserve">)</w:t>
      </w:r>
    </w:p>
    <w:p>
      <w:pPr>
        <w:pStyle w:val="BodyText"/>
      </w:pPr>
      <w:r>
        <w:t xml:space="preserve">The system comprises three component ratings:</w:t>
      </w:r>
    </w:p>
    <w:p>
      <w:pPr>
        <w:pStyle w:val="BodyText"/>
      </w:pPr>
      <w:r>
        <w:rPr>
          <w:b/>
          <w:bCs/>
        </w:rPr>
        <w:t xml:space="preserve">1. Capital Planning and Positions</w:t>
      </w:r>
      <w:r>
        <w:t xml:space="preserve">, evaluating governance and planning processes and sufficiency of capital positions.</w:t>
      </w:r>
    </w:p>
    <w:p>
      <w:pPr>
        <w:pStyle w:val="BodyText"/>
      </w:pPr>
      <w:r>
        <w:rPr>
          <w:b/>
          <w:bCs/>
        </w:rPr>
        <w:t xml:space="preserve">2. Liquidity Risk Management and Positions</w:t>
      </w:r>
      <w:r>
        <w:t xml:space="preserve">, evaluating governance, risk management processes, and sufficiency of liquidity positions.</w:t>
      </w:r>
    </w:p>
    <w:p>
      <w:pPr>
        <w:pStyle w:val="BodyText"/>
      </w:pPr>
      <w:r>
        <w:rPr>
          <w:b/>
          <w:bCs/>
        </w:rPr>
        <w:t xml:space="preserve">3. Governance and Controls</w:t>
      </w:r>
      <w:r>
        <w:t xml:space="preserve">, evaluating the effectiveness of a firm’s (a) board of directors; (b) management of business lines and independent risk management and controls; and (c) recovery planning (for domestic LISCC firms only).</w:t>
      </w:r>
    </w:p>
    <w:p>
      <w:pPr>
        <w:pStyle w:val="BodyText"/>
      </w:pPr>
      <w:r>
        <w:t xml:space="preserve">Each component is rated on a four-level scale: Broadly Meets Expectations, Conditionally Meets Expectations, Deficient-1, and Deficient-2. (</w:t>
      </w:r>
      <w:hyperlink r:id="rId25">
        <w:r>
          <w:rPr>
            <w:rStyle w:val="Hyperlink"/>
            <w:color w:val="0645AD"/>
            <w:u w:val="single"/>
          </w:rPr>
          <w:t xml:space="preserve">90 FR 51329, Revisions to the Large Financial Institution Rating System</w:t>
        </w:r>
      </w:hyperlink>
      <w:r>
        <w:t xml:space="preserve">)</w:t>
      </w:r>
    </w:p>
    <w:p>
      <w:pPr>
        <w:pStyle w:val="BodyText"/>
      </w:pPr>
      <w:r>
        <w:rPr>
          <w:b/>
          <w:bCs/>
        </w:rPr>
        <w:t xml:space="preserve">Board Effectiveness Assessment.</w:t>
      </w:r>
      <w:r>
        <w:t xml:space="preserve"> </w:t>
      </w:r>
      <w:r>
        <w:t xml:space="preserve">The Governance and Controls component evaluates board effectiveness by assessing whether the board exhibits the five attributes identified in SR 21-3: (1) setting clear, aligned, and consistent direction regarding strategy and risk appetite; (2) directing senior management regarding information needs; (3) overseeing and holding senior management accountable; (4) supporting the independence and stature of independent risk management and internal audit; and (5) maintaining a capable board composition and governance structure. (</w:t>
      </w:r>
      <w:hyperlink r:id="rId25">
        <w:r>
          <w:rPr>
            <w:rStyle w:val="Hyperlink"/>
            <w:color w:val="0645AD"/>
            <w:u w:val="single"/>
          </w:rPr>
          <w:t xml:space="preserve">90 FR 51329, Revisions to the Large Financial Institution Rating System</w:t>
        </w:r>
      </w:hyperlink>
      <w:r>
        <w:t xml:space="preserve">)</w:t>
      </w:r>
    </w:p>
    <w:p>
      <w:pPr>
        <w:pStyle w:val="BodyText"/>
      </w:pPr>
      <w:r>
        <w:rPr>
          <w:b/>
          <w:bCs/>
        </w:rPr>
        <w:t xml:space="preserve">January 2026 Revisions.</w:t>
      </w:r>
      <w:r>
        <w:t xml:space="preserve"> </w:t>
      </w:r>
      <w:r>
        <w:t xml:space="preserve">The revised framework provides that a firm with at least two Broadly Meets Expectations or Conditionally Meets Expectations component ratings and no more than one Deficient-1 component rating is considered</w:t>
      </w:r>
      <w:r>
        <w:t xml:space="preserve"> </w:t>
      </w:r>
      <w:r>
        <w:t xml:space="preserve">“</w:t>
      </w:r>
      <w:r>
        <w:t xml:space="preserve">well managed.</w:t>
      </w:r>
      <w:r>
        <w:t xml:space="preserve">”</w:t>
      </w:r>
      <w:r>
        <w:t xml:space="preserve"> </w:t>
      </w:r>
      <w:r>
        <w:t xml:space="preserve">The prior presumption that firms with a Deficient-1 rating would be subject to enforcement action was replaced with a facts-and-circumstances standard. The Board noted that as of Q3 2025, 17 out of 36 firms subject to the LFI Framework were classified as not</w:t>
      </w:r>
      <w:r>
        <w:t xml:space="preserve"> </w:t>
      </w:r>
      <w:r>
        <w:t xml:space="preserve">“</w:t>
      </w:r>
      <w:r>
        <w:t xml:space="preserve">well managed</w:t>
      </w:r>
      <w:r>
        <w:t xml:space="preserve">”</w:t>
      </w:r>
      <w:r>
        <w:t xml:space="preserve"> </w:t>
      </w:r>
      <w:r>
        <w:t xml:space="preserve">under the prior framework, and that the average CET1 capital ratio for not</w:t>
      </w:r>
      <w:r>
        <w:t xml:space="preserve"> </w:t>
      </w:r>
      <w:r>
        <w:t xml:space="preserve">“</w:t>
      </w:r>
      <w:r>
        <w:t xml:space="preserve">well managed</w:t>
      </w:r>
      <w:r>
        <w:t xml:space="preserve">”</w:t>
      </w:r>
      <w:r>
        <w:t xml:space="preserve"> </w:t>
      </w:r>
      <w:r>
        <w:t xml:space="preserve">firms was approximately 3 percentage points higher than their</w:t>
      </w:r>
      <w:r>
        <w:t xml:space="preserve"> </w:t>
      </w:r>
      <w:r>
        <w:t xml:space="preserve">“</w:t>
      </w:r>
      <w:r>
        <w:t xml:space="preserve">well managed</w:t>
      </w:r>
      <w:r>
        <w:t xml:space="preserve">”</w:t>
      </w:r>
      <w:r>
        <w:t xml:space="preserve"> </w:t>
      </w:r>
      <w:r>
        <w:t xml:space="preserve">peers, indicating a misalignment between the framework’s results and actual financial condition. (</w:t>
      </w:r>
      <w:hyperlink r:id="rId25">
        <w:r>
          <w:rPr>
            <w:rStyle w:val="Hyperlink"/>
            <w:color w:val="0645AD"/>
            <w:u w:val="single"/>
          </w:rPr>
          <w:t xml:space="preserve">90 FR 51329, Revisions to the Large Financial Institution Rating System</w:t>
        </w:r>
      </w:hyperlink>
      <w:r>
        <w:t xml:space="preserve">)</w:t>
      </w:r>
    </w:p>
    <w:bookmarkEnd w:id="26"/>
    <w:bookmarkStart w:id="28" w:name="c.-the-liscc-program"/>
    <w:p>
      <w:pPr>
        <w:pStyle w:val="Heading2"/>
      </w:pPr>
      <w:r>
        <w:t xml:space="preserve">C. The LISCC Program</w:t>
      </w:r>
    </w:p>
    <w:p>
      <w:pPr>
        <w:pStyle w:val="FirstParagraph"/>
      </w:pPr>
      <w:r>
        <w:t xml:space="preserve">The LISCC Program coordinates the Federal Reserve’s supervision of the eight domestic Category I GSIBs. The Program consists of five portfolio programs: Capital, Governance and Controls, Liquidity, Recovery and Resolution Preparedness, and Monitoring and Analysis. The Governance and Controls program conducts horizontal and firm-specific examinations on policies and processes supporting the effective functioning of a firm’s board of directors, management of business lines, and independent risk management and controls. Dedicated Supervisory Teams communicate supervisory messages, including ratings and annual assessments, to each firm’s board of directors. (</w:t>
      </w:r>
      <w:hyperlink r:id="rId27">
        <w:r>
          <w:rPr>
            <w:rStyle w:val="Hyperlink"/>
            <w:color w:val="0645AD"/>
            <w:u w:val="single"/>
          </w:rPr>
          <w:t xml:space="preserve">Large Institution Supervision Coordinating Committee Program Manual</w:t>
        </w:r>
      </w:hyperlink>
      <w:r>
        <w:t xml:space="preserve">)</w:t>
      </w:r>
    </w:p>
    <w:bookmarkEnd w:id="28"/>
    <w:bookmarkEnd w:id="29"/>
    <w:bookmarkStart w:id="42" w:name="X9b0ec98fa96b4ae2a79db92025c6359e45bbfc3"/>
    <w:p>
      <w:pPr>
        <w:pStyle w:val="Heading1"/>
      </w:pPr>
      <w:r>
        <w:t xml:space="preserve">IV. The Board Effectiveness Framework: SR 21-3 and SR 21-4</w:t>
      </w:r>
    </w:p>
    <w:bookmarkStart w:id="32" w:name="X0a49b0fdb36c72b37f5b8e75283dc62ea6c30ae"/>
    <w:p>
      <w:pPr>
        <w:pStyle w:val="Heading2"/>
      </w:pPr>
      <w:r>
        <w:t xml:space="preserve">A. SR 21-3: Scope and Principles-Based Architecture</w:t>
      </w:r>
    </w:p>
    <w:p>
      <w:pPr>
        <w:pStyle w:val="FirstParagraph"/>
      </w:pPr>
      <w:r>
        <w:t xml:space="preserve">SR 21-3/CA 21-1,</w:t>
      </w:r>
      <w:r>
        <w:t xml:space="preserve"> </w:t>
      </w:r>
      <w:r>
        <w:t xml:space="preserve">“</w:t>
      </w:r>
      <w:r>
        <w:t xml:space="preserve">Supervisory Guidance on Board of Directors’ Effectiveness</w:t>
      </w:r>
      <w:r>
        <w:t xml:space="preserve">”</w:t>
      </w:r>
      <w:r>
        <w:t xml:space="preserve"> </w:t>
      </w:r>
      <w:r>
        <w:t xml:space="preserve">(February 26, 2021), applies to all domestic bank holding companies and savings and loan holding companies with total consolidated assets of $100 billion or more (excluding U.S. intermediate holding companies of foreign banking organizations) and systemically important nonbank financial companies designated by FSOC. The term</w:t>
      </w:r>
      <w:r>
        <w:t xml:space="preserve"> </w:t>
      </w:r>
      <w:r>
        <w:t xml:space="preserve">“</w:t>
      </w:r>
      <w:r>
        <w:t xml:space="preserve">board of directors</w:t>
      </w:r>
      <w:r>
        <w:t xml:space="preserve">”</w:t>
      </w:r>
      <w:r>
        <w:t xml:space="preserve"> </w:t>
      </w:r>
      <w:r>
        <w:t xml:space="preserve">as used in the guidance includes committees of the board. (</w:t>
      </w:r>
      <w:hyperlink r:id="rId30">
        <w:r>
          <w:rPr>
            <w:rStyle w:val="Hyperlink"/>
            <w:color w:val="0645AD"/>
            <w:u w:val="single"/>
          </w:rPr>
          <w:t xml:space="preserve">SR 21-3/CA 21-1, Supervisory Guidance on Board of Directors’ Effectiveness</w:t>
        </w:r>
      </w:hyperlink>
      <w:r>
        <w:t xml:space="preserve">)</w:t>
      </w:r>
    </w:p>
    <w:p>
      <w:pPr>
        <w:pStyle w:val="BodyText"/>
      </w:pPr>
      <w:r>
        <w:t xml:space="preserve">The guidance adopts a principles-based approach, stating that</w:t>
      </w:r>
      <w:r>
        <w:t xml:space="preserve"> </w:t>
      </w:r>
      <w:r>
        <w:t xml:space="preserve">“</w:t>
      </w:r>
      <w:r>
        <w:t xml:space="preserve">including standardized expectations would not take into account material differences in activities, risk profile, and complexity among large financial institutions as they relate to boards of directors.</w:t>
      </w:r>
      <w:r>
        <w:t xml:space="preserve">”</w:t>
      </w:r>
      <w:r>
        <w:t xml:space="preserve"> </w:t>
      </w:r>
      <w:r>
        <w:t xml:space="preserve">It also demarcates the board/management boundary:</w:t>
      </w:r>
      <w:r>
        <w:t xml:space="preserve"> </w:t>
      </w:r>
      <w:r>
        <w:t xml:space="preserve">“</w:t>
      </w:r>
      <w:r>
        <w:t xml:space="preserve">Responsibilities that are typically the purview of senior management, including most daily and operational decisions, are not described in this guidance.</w:t>
      </w:r>
      <w:r>
        <w:t xml:space="preserve">”</w:t>
      </w:r>
      <w:r>
        <w:t xml:space="preserve"> </w:t>
      </w:r>
      <w:r>
        <w:t xml:space="preserve">(</w:t>
      </w:r>
      <w:hyperlink r:id="rId31">
        <w:r>
          <w:rPr>
            <w:rStyle w:val="Hyperlink"/>
            <w:color w:val="0645AD"/>
            <w:u w:val="single"/>
          </w:rPr>
          <w:t xml:space="preserve">SR 21-3/CA 21-1 Attachment, Supervisory Guidance for Boards of Directors</w:t>
        </w:r>
      </w:hyperlink>
      <w:r>
        <w:t xml:space="preserve">)</w:t>
      </w:r>
    </w:p>
    <w:bookmarkEnd w:id="32"/>
    <w:bookmarkStart w:id="38" w:name="Xe54779839a1ba7bf4c3fbfa9485e0b139527d56"/>
    <w:p>
      <w:pPr>
        <w:pStyle w:val="Heading2"/>
      </w:pPr>
      <w:r>
        <w:t xml:space="preserve">B. The Five Attributes of Board Effectiveness</w:t>
      </w:r>
    </w:p>
    <w:bookmarkStart w:id="33" w:name="Xa031e3ed4feed08fcaa7bb5dd2339df6bb73f4f"/>
    <w:p>
      <w:pPr>
        <w:pStyle w:val="Heading3"/>
      </w:pPr>
      <w:r>
        <w:t xml:space="preserve">Attribute 1: Setting Clear, Aligned, and Consistent Direction</w:t>
      </w:r>
    </w:p>
    <w:p>
      <w:pPr>
        <w:pStyle w:val="FirstParagraph"/>
      </w:pPr>
      <w:r>
        <w:rPr>
          <w:b/>
          <w:bCs/>
        </w:rPr>
        <w:t xml:space="preserve">Locus: Full Board.</w:t>
      </w:r>
      <w:r>
        <w:t xml:space="preserve"> </w:t>
      </w:r>
      <w:r>
        <w:t xml:space="preserve">An effective board</w:t>
      </w:r>
      <w:r>
        <w:t xml:space="preserve"> </w:t>
      </w:r>
      <w:r>
        <w:t xml:space="preserve">“</w:t>
      </w:r>
      <w:r>
        <w:t xml:space="preserve">oversees the development of, reviews, approves, and periodically monitors the firm’s strategy and risk appetite.</w:t>
      </w:r>
      <w:r>
        <w:t xml:space="preserve">”</w:t>
      </w:r>
      <w:r>
        <w:t xml:space="preserve"> </w:t>
      </w:r>
      <w:r>
        <w:t xml:space="preserve">The board must review and approve significant policies, programs, and plans, including: the capital plan; recovery and resolution plans; the audit plan; enterprise-wide risk management policies; liquidity risk management policies; the compliance risk management program; and performance management and compensation programs. The guidance notes that the board may review</w:t>
      </w:r>
      <w:r>
        <w:t xml:space="preserve"> </w:t>
      </w:r>
      <w:r>
        <w:t xml:space="preserve">“</w:t>
      </w:r>
      <w:r>
        <w:t xml:space="preserve">summarized forms</w:t>
      </w:r>
      <w:r>
        <w:t xml:space="preserve">”</w:t>
      </w:r>
      <w:r>
        <w:t xml:space="preserve"> </w:t>
      </w:r>
      <w:r>
        <w:t xml:space="preserve">of these policies if they contain sufficient detail and context. (</w:t>
      </w:r>
      <w:hyperlink r:id="rId31">
        <w:r>
          <w:rPr>
            <w:rStyle w:val="Hyperlink"/>
            <w:color w:val="0645AD"/>
            <w:u w:val="single"/>
          </w:rPr>
          <w:t xml:space="preserve">SR 21-3/CA 21-1 Attachment</w:t>
        </w:r>
      </w:hyperlink>
      <w:r>
        <w:t xml:space="preserve">)</w:t>
      </w:r>
    </w:p>
    <w:bookmarkEnd w:id="33"/>
    <w:bookmarkStart w:id="34" w:name="Xa42f720051992b0126151c43c7c5742623b0eec"/>
    <w:p>
      <w:pPr>
        <w:pStyle w:val="Heading3"/>
      </w:pPr>
      <w:r>
        <w:t xml:space="preserve">Attribute 2: Directing Senior Management Regarding Information Needs</w:t>
      </w:r>
    </w:p>
    <w:p>
      <w:pPr>
        <w:pStyle w:val="FirstParagraph"/>
      </w:pPr>
      <w:r>
        <w:rPr>
          <w:b/>
          <w:bCs/>
        </w:rPr>
        <w:t xml:space="preserve">Locus: Full Board.</w:t>
      </w:r>
      <w:r>
        <w:t xml:space="preserve"> </w:t>
      </w:r>
      <w:r>
        <w:t xml:space="preserve">The board directs senior management regarding the type, format, and frequency of information it requires to fulfill its oversight responsibilities. (</w:t>
      </w:r>
      <w:hyperlink r:id="rId31">
        <w:r>
          <w:rPr>
            <w:rStyle w:val="Hyperlink"/>
            <w:color w:val="0645AD"/>
            <w:u w:val="single"/>
          </w:rPr>
          <w:t xml:space="preserve">SR 21-3/CA 21-1 Attachment</w:t>
        </w:r>
      </w:hyperlink>
      <w:r>
        <w:t xml:space="preserve">)</w:t>
      </w:r>
    </w:p>
    <w:bookmarkEnd w:id="34"/>
    <w:bookmarkStart w:id="35" w:name="X6751111ea4de49f9dabff116bec95bf1bc7e309"/>
    <w:p>
      <w:pPr>
        <w:pStyle w:val="Heading3"/>
      </w:pPr>
      <w:r>
        <w:t xml:space="preserve">Attribute 3: Overseeing and Holding Senior Management Accountable</w:t>
      </w:r>
    </w:p>
    <w:p>
      <w:pPr>
        <w:pStyle w:val="FirstParagraph"/>
      </w:pPr>
      <w:r>
        <w:rPr>
          <w:b/>
          <w:bCs/>
        </w:rPr>
        <w:t xml:space="preserve">Locus: Full Board; distinction between independent and non-independent directors.</w:t>
      </w:r>
      <w:r>
        <w:t xml:space="preserve"> </w:t>
      </w:r>
      <w:r>
        <w:t xml:space="preserve">An effective board engages in</w:t>
      </w:r>
      <w:r>
        <w:t xml:space="preserve"> </w:t>
      </w:r>
      <w:r>
        <w:t xml:space="preserve">“</w:t>
      </w:r>
      <w:r>
        <w:t xml:space="preserve">robust inquiry</w:t>
      </w:r>
      <w:r>
        <w:t xml:space="preserve">”</w:t>
      </w:r>
      <w:r>
        <w:t xml:space="preserve"> </w:t>
      </w:r>
      <w:r>
        <w:t xml:space="preserve">into: drivers, indicators, and trends related to current and emerging risks; adherence to board-approved strategy and risk appetite; and material or persistent deficiencies in risk management or control practices. The board also reviews reports of internal and external complaints, including whistleblower reports. (</w:t>
      </w:r>
      <w:hyperlink r:id="rId31">
        <w:r>
          <w:rPr>
            <w:rStyle w:val="Hyperlink"/>
            <w:color w:val="0645AD"/>
            <w:u w:val="single"/>
          </w:rPr>
          <w:t xml:space="preserve">SR 21-3/CA 21-1 Attachment</w:t>
        </w:r>
      </w:hyperlink>
      <w:r>
        <w:t xml:space="preserve">)</w:t>
      </w:r>
    </w:p>
    <w:p>
      <w:pPr>
        <w:pStyle w:val="BodyText"/>
      </w:pPr>
      <w:r>
        <w:rPr>
          <w:b/>
          <w:bCs/>
        </w:rPr>
        <w:t xml:space="preserve">Independent Director Distinction.</w:t>
      </w:r>
      <w:r>
        <w:t xml:space="preserve"> </w:t>
      </w:r>
      <w:r>
        <w:t xml:space="preserve">Independent directors must be</w:t>
      </w:r>
      <w:r>
        <w:t xml:space="preserve"> </w:t>
      </w:r>
      <w:r>
        <w:t xml:space="preserve">“</w:t>
      </w:r>
      <w:r>
        <w:t xml:space="preserve">sufficiently empowered to serve as an effective check against firm executives who sit on the board and senior management.</w:t>
      </w:r>
      <w:r>
        <w:t xml:space="preserve">”</w:t>
      </w:r>
      <w:r>
        <w:t xml:space="preserve"> </w:t>
      </w:r>
      <w:r>
        <w:t xml:space="preserve">An illustrative practice is electing a lead independent director with authority to call board meetings with or without the chair present. (</w:t>
      </w:r>
      <w:hyperlink r:id="rId31">
        <w:r>
          <w:rPr>
            <w:rStyle w:val="Hyperlink"/>
            <w:color w:val="0645AD"/>
            <w:u w:val="single"/>
          </w:rPr>
          <w:t xml:space="preserve">SR 21-3/CA 21-1 Attachment</w:t>
        </w:r>
      </w:hyperlink>
      <w:r>
        <w:t xml:space="preserve">)</w:t>
      </w:r>
    </w:p>
    <w:p>
      <w:pPr>
        <w:pStyle w:val="BodyText"/>
      </w:pPr>
      <w:r>
        <w:rPr>
          <w:b/>
          <w:bCs/>
        </w:rPr>
        <w:t xml:space="preserve">Compensation Governance.</w:t>
      </w:r>
      <w:r>
        <w:t xml:space="preserve"> </w:t>
      </w:r>
      <w:r>
        <w:t xml:space="preserve">“</w:t>
      </w:r>
      <w:r>
        <w:t xml:space="preserve">A crucial aspect of holding senior management accountable is regular board oversight and evaluation of the performance and compensation of senior management.</w:t>
      </w:r>
      <w:r>
        <w:t xml:space="preserve">”</w:t>
      </w:r>
      <w:r>
        <w:t xml:space="preserve"> </w:t>
      </w:r>
      <w:r>
        <w:t xml:space="preserve">The board must approve clear financial and nonfinancial performance objectives for the CEO and business line executives, and nonfinancial performance objectives for the CRO and chief audit executive. The board must also oversee succession plans for the CEO and, depending on the firm, the CRO, chief audit executive, or other senior management officials. (</w:t>
      </w:r>
      <w:hyperlink r:id="rId31">
        <w:r>
          <w:rPr>
            <w:rStyle w:val="Hyperlink"/>
            <w:color w:val="0645AD"/>
            <w:u w:val="single"/>
          </w:rPr>
          <w:t xml:space="preserve">SR 21-3/CA 21-1 Attachment</w:t>
        </w:r>
      </w:hyperlink>
      <w:r>
        <w:t xml:space="preserve">)</w:t>
      </w:r>
    </w:p>
    <w:bookmarkEnd w:id="35"/>
    <w:bookmarkStart w:id="36" w:name="X0b0bdbd11694762e9aa7a0e50712e9b4c041f76"/>
    <w:p>
      <w:pPr>
        <w:pStyle w:val="Heading3"/>
      </w:pPr>
      <w:r>
        <w:t xml:space="preserve">Attribute 4: Supporting the Independence and Stature of Independent Risk Management and Internal Audit</w:t>
      </w:r>
    </w:p>
    <w:p>
      <w:pPr>
        <w:pStyle w:val="FirstParagraph"/>
      </w:pPr>
      <w:r>
        <w:rPr>
          <w:b/>
          <w:bCs/>
        </w:rPr>
        <w:t xml:space="preserve">Locus: Risk Committee and Audit Committee separately.</w:t>
      </w:r>
    </w:p>
    <w:p>
      <w:pPr>
        <w:pStyle w:val="BodyText"/>
      </w:pPr>
      <w:r>
        <w:rPr>
          <w:b/>
          <w:bCs/>
        </w:rPr>
        <w:t xml:space="preserve">Risk Committee.</w:t>
      </w:r>
      <w:r>
        <w:t xml:space="preserve"> </w:t>
      </w:r>
      <w:r>
        <w:t xml:space="preserve">An effective risk committee must: be responsible for the firm’s global risk management policies and oversight of the global risk management framework (12 CFR 252.33(a)); communicate directly with the CRO on material risk management issues; oversee the appropriateness of independent risk management’s budget, staffing, and systems of internal controls; coordinate with the compliance function; and provide independent risk management with direct and unrestricted access to the risk committee. (</w:t>
      </w:r>
      <w:hyperlink r:id="rId31">
        <w:r>
          <w:rPr>
            <w:rStyle w:val="Hyperlink"/>
            <w:color w:val="0645AD"/>
            <w:u w:val="single"/>
          </w:rPr>
          <w:t xml:space="preserve">SR 21-3/CA 21-1 Attachment</w:t>
        </w:r>
      </w:hyperlink>
      <w:r>
        <w:t xml:space="preserve">)</w:t>
      </w:r>
    </w:p>
    <w:p>
      <w:pPr>
        <w:pStyle w:val="BodyText"/>
      </w:pPr>
      <w:r>
        <w:rPr>
          <w:b/>
          <w:bCs/>
        </w:rPr>
        <w:t xml:space="preserve">Audit Committee.</w:t>
      </w:r>
      <w:r>
        <w:t xml:space="preserve"> </w:t>
      </w:r>
      <w:r>
        <w:t xml:space="preserve">An effective audit committee must: meet directly with the chief audit executive; support internal audit’s budget and staffing; and review the status of actions recommended by internal and external auditors to remediate material or persistent deficiencies. (</w:t>
      </w:r>
      <w:hyperlink r:id="rId31">
        <w:r>
          <w:rPr>
            <w:rStyle w:val="Hyperlink"/>
            <w:color w:val="0645AD"/>
            <w:u w:val="single"/>
          </w:rPr>
          <w:t xml:space="preserve">SR 21-3/CA 21-1 Attachment</w:t>
        </w:r>
      </w:hyperlink>
      <w:r>
        <w:t xml:space="preserve">)</w:t>
      </w:r>
    </w:p>
    <w:bookmarkEnd w:id="36"/>
    <w:bookmarkStart w:id="37" w:name="X5ac8690ec73131c9c220b18f9d13b2a45d0db0c"/>
    <w:p>
      <w:pPr>
        <w:pStyle w:val="Heading3"/>
      </w:pPr>
      <w:r>
        <w:t xml:space="preserve">Attribute 5: Maintaining a Capable Board Composition and Governance Structure</w:t>
      </w:r>
    </w:p>
    <w:p>
      <w:pPr>
        <w:pStyle w:val="FirstParagraph"/>
      </w:pPr>
      <w:r>
        <w:rPr>
          <w:b/>
          <w:bCs/>
        </w:rPr>
        <w:t xml:space="preserve">Locus: Full Board (nominating/governance committee implicated).</w:t>
      </w:r>
      <w:r>
        <w:t xml:space="preserve"> </w:t>
      </w:r>
      <w:r>
        <w:t xml:space="preserve">An effective board establishes a process to identify and select director nominees with</w:t>
      </w:r>
      <w:r>
        <w:t xml:space="preserve"> </w:t>
      </w:r>
      <w:r>
        <w:t xml:space="preserve">“</w:t>
      </w:r>
      <w:r>
        <w:t xml:space="preserve">a mix of skills, knowledge, experience, and perspectives,</w:t>
      </w:r>
      <w:r>
        <w:t xml:space="preserve">”</w:t>
      </w:r>
      <w:r>
        <w:t xml:space="preserve"> </w:t>
      </w:r>
      <w:r>
        <w:t xml:space="preserve">considers</w:t>
      </w:r>
      <w:r>
        <w:t xml:space="preserve"> </w:t>
      </w:r>
      <w:r>
        <w:t xml:space="preserve">“</w:t>
      </w:r>
      <w:r>
        <w:t xml:space="preserve">a diverse pool of potential nominees, including women and minorities</w:t>
      </w:r>
      <w:r>
        <w:t xml:space="preserve">”</w:t>
      </w:r>
      <w:r>
        <w:t xml:space="preserve"> </w:t>
      </w:r>
      <w:r>
        <w:t xml:space="preserve">(citing 80 FR 33016), evaluates on an ongoing basis its strengths and weaknesses including the performance of board committees, particularly the risk, audit, and other key committees, and maintains the capacity to engage third-party advisors and consultants. (</w:t>
      </w:r>
      <w:hyperlink r:id="rId31">
        <w:r>
          <w:rPr>
            <w:rStyle w:val="Hyperlink"/>
            <w:color w:val="0645AD"/>
            <w:u w:val="single"/>
          </w:rPr>
          <w:t xml:space="preserve">SR 21-3/CA 21-1 Attachment</w:t>
        </w:r>
      </w:hyperlink>
      <w:r>
        <w:t xml:space="preserve">)</w:t>
      </w:r>
    </w:p>
    <w:bookmarkEnd w:id="37"/>
    <w:bookmarkEnd w:id="38"/>
    <w:bookmarkStart w:id="41" w:name="c.-sr-21-4-conforming-revisions"/>
    <w:p>
      <w:pPr>
        <w:pStyle w:val="Heading2"/>
      </w:pPr>
      <w:r>
        <w:t xml:space="preserve">C. SR 21-4: Conforming Revisions</w:t>
      </w:r>
    </w:p>
    <w:p>
      <w:pPr>
        <w:pStyle w:val="FirstParagraph"/>
      </w:pPr>
      <w:r>
        <w:t xml:space="preserve">SR 21-4/CA 21-2 reviewed 27 SR/CA letters for consistency with SR 21-3 and categorized them as follows:</w:t>
      </w:r>
    </w:p>
    <w:p>
      <w:pPr>
        <w:pStyle w:val="BodyText"/>
      </w:pPr>
      <w:r>
        <w:rPr>
          <w:b/>
          <w:bCs/>
        </w:rPr>
        <w:t xml:space="preserve">Retained Without Change (6 letters):</w:t>
      </w:r>
      <w:r>
        <w:t xml:space="preserve"> </w:t>
      </w:r>
      <w:r>
        <w:t xml:space="preserve">SR 16-17 (Reserve-Based Energy Lending); SR 14-8 (Consolidated Recovery Planning); SR 13-13/CA 13-10 (Communication of Supervisory Findings); SR 12-17/CA 12-14 (Consolidated Supervision Framework); SR 09-4 (Dividends, Stock Redemptions, and Stock Repurchases); SR 08-9/CA 08-12 (Consolidated Supervision of BHCs and FBOs). (</w:t>
      </w:r>
      <w:hyperlink r:id="rId39">
        <w:r>
          <w:rPr>
            <w:rStyle w:val="Hyperlink"/>
            <w:color w:val="0645AD"/>
            <w:u w:val="single"/>
          </w:rPr>
          <w:t xml:space="preserve">SR 21-4/CA 21-2 Attachment</w:t>
        </w:r>
      </w:hyperlink>
      <w:r>
        <w:t xml:space="preserve">)</w:t>
      </w:r>
    </w:p>
    <w:p>
      <w:pPr>
        <w:pStyle w:val="BodyText"/>
      </w:pPr>
      <w:r>
        <w:rPr>
          <w:b/>
          <w:bCs/>
        </w:rPr>
        <w:t xml:space="preserve">Revised (12 letters):</w:t>
      </w:r>
      <w:r>
        <w:t xml:space="preserve"> </w:t>
      </w:r>
      <w:r>
        <w:t xml:space="preserve">Including SR 13-19/CA 13-21 (Outsourcing Risk); SR 08-8/CA 08-11 (Compliance Risk Management); SR 98-9 (IT Assessment); SR 95-51 (Risk Management Processes and Internal Controls); and eight others. (</w:t>
      </w:r>
      <w:hyperlink r:id="rId39">
        <w:r>
          <w:rPr>
            <w:rStyle w:val="Hyperlink"/>
            <w:color w:val="0645AD"/>
            <w:u w:val="single"/>
          </w:rPr>
          <w:t xml:space="preserve">SR 21-4/CA 21-2 Attachment</w:t>
        </w:r>
      </w:hyperlink>
      <w:r>
        <w:t xml:space="preserve">)</w:t>
      </w:r>
    </w:p>
    <w:p>
      <w:pPr>
        <w:pStyle w:val="BodyText"/>
      </w:pPr>
      <w:r>
        <w:rPr>
          <w:b/>
          <w:bCs/>
        </w:rPr>
        <w:t xml:space="preserve">Made Inactive (9 letters):</w:t>
      </w:r>
      <w:r>
        <w:t xml:space="preserve"> </w:t>
      </w:r>
      <w:r>
        <w:t xml:space="preserve">Including SR 97-24 (Risk-Focused Framework for Large Complex Institutions) and SR 93-69 (Examining Risk Management for Trading Activities). (</w:t>
      </w:r>
      <w:hyperlink r:id="rId39">
        <w:r>
          <w:rPr>
            <w:rStyle w:val="Hyperlink"/>
            <w:color w:val="0645AD"/>
            <w:u w:val="single"/>
          </w:rPr>
          <w:t xml:space="preserve">SR 21-4/CA 21-2 Attachment</w:t>
        </w:r>
      </w:hyperlink>
      <w:r>
        <w:t xml:space="preserve">)</w:t>
      </w:r>
    </w:p>
    <w:p>
      <w:pPr>
        <w:pStyle w:val="BodyText"/>
      </w:pPr>
      <w:r>
        <w:rPr>
          <w:b/>
          <w:bCs/>
        </w:rPr>
        <w:t xml:space="preserve">Examination Manual Instruction.</w:t>
      </w:r>
      <w:r>
        <w:t xml:space="preserve"> </w:t>
      </w:r>
      <w:r>
        <w:t xml:space="preserve">SR 21-4 states:</w:t>
      </w:r>
      <w:r>
        <w:t xml:space="preserve"> </w:t>
      </w:r>
      <w:r>
        <w:t xml:space="preserve">“</w:t>
      </w:r>
      <w:r>
        <w:t xml:space="preserve">To the extent that the content of a revised or inactive letter appears in the Bank Holding Company Supervision Manual or Commercial Bank Examination Manual, the Federal Reserve intends to revise the manual content at a later date. In the meantime, firms are not expected to rely on the manuals for board expectations, and the Federal Reserve does not intend to refer to the board expectations included in the manuals in conducting a supervisory assessment of a firm’s governance and controls.</w:t>
      </w:r>
      <w:r>
        <w:t xml:space="preserve">”</w:t>
      </w:r>
      <w:r>
        <w:t xml:space="preserve"> </w:t>
      </w:r>
      <w:r>
        <w:t xml:space="preserve">(</w:t>
      </w:r>
      <w:hyperlink r:id="rId40">
        <w:r>
          <w:rPr>
            <w:rStyle w:val="Hyperlink"/>
            <w:color w:val="0645AD"/>
            <w:u w:val="single"/>
          </w:rPr>
          <w:t xml:space="preserve">SR 21-4/CA 21-2</w:t>
        </w:r>
      </w:hyperlink>
      <w:r>
        <w:t xml:space="preserve">)</w:t>
      </w:r>
    </w:p>
    <w:bookmarkEnd w:id="41"/>
    <w:bookmarkEnd w:id="42"/>
    <w:bookmarkStart w:id="51" w:name="Xed2b598dcbcd191d5b1baf223845bb089bcedbc"/>
    <w:p>
      <w:pPr>
        <w:pStyle w:val="Heading1"/>
      </w:pPr>
      <w:r>
        <w:t xml:space="preserve">V. Holding Company Level vs. IDI Subsidiary Level: Structural Divergence</w:t>
      </w:r>
    </w:p>
    <w:bookmarkStart w:id="45" w:name="a.-the-foundational-distinction"/>
    <w:p>
      <w:pPr>
        <w:pStyle w:val="Heading2"/>
      </w:pPr>
      <w:r>
        <w:t xml:space="preserve">A. The Foundational Distinction</w:t>
      </w:r>
    </w:p>
    <w:p>
      <w:pPr>
        <w:pStyle w:val="FirstParagraph"/>
      </w:pPr>
      <w:r>
        <w:t xml:space="preserve">The Federal Reserve’s board effectiveness guidance (SR 21-3) and the LFI rating system apply at the holding company level and do not directly apply to IDI subsidiaries. IDI subsidiary boards are governed primarily by:</w:t>
      </w:r>
    </w:p>
    <w:p>
      <w:pPr>
        <w:numPr>
          <w:ilvl w:val="0"/>
          <w:numId w:val="1002"/>
        </w:numPr>
      </w:pPr>
      <w:r>
        <w:rPr>
          <w:b/>
          <w:bCs/>
        </w:rPr>
        <w:t xml:space="preserve">National banks and federal savings associations:</w:t>
      </w:r>
      <w:r>
        <w:t xml:space="preserve"> </w:t>
      </w:r>
      <w:r>
        <w:t xml:space="preserve">The OCC’s heightened standards (12 CFR Part 30, Appendix D) and the Comptroller’s Handbook. (</w:t>
      </w:r>
      <w:hyperlink r:id="rId43">
        <w:r>
          <w:rPr>
            <w:rStyle w:val="Hyperlink"/>
            <w:color w:val="0645AD"/>
            <w:u w:val="single"/>
          </w:rPr>
          <w:t xml:space="preserve">OCC Bulletin 2014-45: Heightened Standards for Large Banks</w:t>
        </w:r>
      </w:hyperlink>
      <w:r>
        <w:t xml:space="preserve">)</w:t>
      </w:r>
    </w:p>
    <w:p>
      <w:pPr>
        <w:numPr>
          <w:ilvl w:val="0"/>
          <w:numId w:val="1002"/>
        </w:numPr>
      </w:pPr>
      <w:r>
        <w:rPr>
          <w:b/>
          <w:bCs/>
        </w:rPr>
        <w:t xml:space="preserve">Insured state nonmember banks:</w:t>
      </w:r>
      <w:r>
        <w:t xml:space="preserve"> </w:t>
      </w:r>
      <w:r>
        <w:t xml:space="preserve">The FDIC’s safety and soundness guidelines (12 CFR Part 364, Appendix A) and examination manual. The FDIC’s proposed corporate governance guidelines were formally withdrawn on March 3, 2025, with the FDIC stating that the proposal</w:t>
      </w:r>
      <w:r>
        <w:t xml:space="preserve"> </w:t>
      </w:r>
      <w:r>
        <w:t xml:space="preserve">“</w:t>
      </w:r>
      <w:r>
        <w:t xml:space="preserve">would have conflated the roles of management and the board of directors, created unworkable expectations, and, in certain areas, would have conflicted with applicable state law.</w:t>
      </w:r>
      <w:r>
        <w:t xml:space="preserve">”</w:t>
      </w:r>
      <w:r>
        <w:t xml:space="preserve"> </w:t>
      </w:r>
      <w:r>
        <w:t xml:space="preserve">(</w:t>
      </w:r>
      <w:hyperlink r:id="rId44">
        <w:r>
          <w:rPr>
            <w:rStyle w:val="Hyperlink"/>
            <w:color w:val="0645AD"/>
            <w:u w:val="single"/>
          </w:rPr>
          <w:t xml:space="preserve">FDIC Withdraws Proposed Banking Rules</w:t>
        </w:r>
      </w:hyperlink>
      <w:r>
        <w:t xml:space="preserve">)</w:t>
      </w:r>
    </w:p>
    <w:p>
      <w:pPr>
        <w:numPr>
          <w:ilvl w:val="0"/>
          <w:numId w:val="1002"/>
        </w:numPr>
      </w:pPr>
      <w:r>
        <w:rPr>
          <w:b/>
          <w:bCs/>
        </w:rPr>
        <w:t xml:space="preserve">State member banks:</w:t>
      </w:r>
      <w:r>
        <w:t xml:space="preserve"> </w:t>
      </w:r>
      <w:r>
        <w:t xml:space="preserve">The Federal Reserve’s examination framework, including CBEM Section 4000, the CAMELS rating system, and safety and soundness guidelines (12 CFR Part 208, Appendix D-1).</w:t>
      </w:r>
    </w:p>
    <w:bookmarkEnd w:id="45"/>
    <w:bookmarkStart w:id="46" w:name="b.-the-source-of-strength-doctrine"/>
    <w:p>
      <w:pPr>
        <w:pStyle w:val="Heading2"/>
      </w:pPr>
      <w:r>
        <w:t xml:space="preserve">B. The Source-of-Strength Doctrine</w:t>
      </w:r>
    </w:p>
    <w:p>
      <w:pPr>
        <w:pStyle w:val="FirstParagraph"/>
      </w:pPr>
      <w:r>
        <w:t xml:space="preserve">SR 12-17 states that</w:t>
      </w:r>
      <w:r>
        <w:t xml:space="preserve"> </w:t>
      </w:r>
      <w:r>
        <w:t xml:space="preserve">“</w:t>
      </w:r>
      <w:r>
        <w:t xml:space="preserve">[a] consolidated organization should serve as a source of financial and managerial strength to its banking offices.</w:t>
      </w:r>
      <w:r>
        <w:t xml:space="preserve">”</w:t>
      </w:r>
      <w:r>
        <w:t xml:space="preserve"> </w:t>
      </w:r>
      <w:r>
        <w:t xml:space="preserve">This creates holding company board obligations that are distinct from, but calibrated to protect, IDI-level interests, including the obligation to</w:t>
      </w:r>
      <w:r>
        <w:t xml:space="preserve"> </w:t>
      </w:r>
      <w:r>
        <w:t xml:space="preserve">“</w:t>
      </w:r>
      <w:r>
        <w:t xml:space="preserve">establish goals for capital and liquidity positions that are approved by the firm’s board of directors and reflect the potential impact of legal or regulatory restrictions on the transfer of capital or liquidity between legal entities.</w:t>
      </w:r>
      <w:r>
        <w:t xml:space="preserve">”</w:t>
      </w:r>
      <w:r>
        <w:t xml:space="preserve"> </w:t>
      </w:r>
      <w:r>
        <w:t xml:space="preserve">(</w:t>
      </w:r>
      <w:hyperlink r:id="rId22">
        <w:r>
          <w:rPr>
            <w:rStyle w:val="Hyperlink"/>
            <w:color w:val="0645AD"/>
            <w:u w:val="single"/>
          </w:rPr>
          <w:t xml:space="preserve">SR 12-17: Consolidated Supervision Framework</w:t>
        </w:r>
      </w:hyperlink>
      <w:r>
        <w:t xml:space="preserve">)</w:t>
      </w:r>
    </w:p>
    <w:bookmarkEnd w:id="46"/>
    <w:bookmarkStart w:id="50" w:name="Xf54c9ee080f13780b71b79e2eca00b6fc18e683"/>
    <w:p>
      <w:pPr>
        <w:pStyle w:val="Heading2"/>
      </w:pPr>
      <w:r>
        <w:t xml:space="preserve">C. OCC Heightened Standards: Key IDI-Level Board Expectations</w:t>
      </w:r>
    </w:p>
    <w:p>
      <w:pPr>
        <w:pStyle w:val="FirstParagraph"/>
      </w:pPr>
      <w:r>
        <w:t xml:space="preserve">The OCC’s heightened standards (12 CFR Part 30, Appendix D, finalized in OCC Bulletin 2014-45) apply to covered national banks and federal savings associations with average total consolidated assets of $50 billion or more. Key board-level expectations include:</w:t>
      </w:r>
    </w:p>
    <w:p>
      <w:pPr>
        <w:numPr>
          <w:ilvl w:val="0"/>
          <w:numId w:val="1003"/>
        </w:numPr>
      </w:pPr>
      <w:r>
        <w:t xml:space="preserve">The board must require management to establish and implement an effective risk governance framework. The OCC revised the proposed language from</w:t>
      </w:r>
      <w:r>
        <w:t xml:space="preserve"> </w:t>
      </w:r>
      <w:r>
        <w:t xml:space="preserve">“</w:t>
      </w:r>
      <w:r>
        <w:t xml:space="preserve">ensure</w:t>
      </w:r>
      <w:r>
        <w:t xml:space="preserve">”</w:t>
      </w:r>
      <w:r>
        <w:t xml:space="preserve"> </w:t>
      </w:r>
      <w:r>
        <w:t xml:space="preserve">to</w:t>
      </w:r>
      <w:r>
        <w:t xml:space="preserve"> </w:t>
      </w:r>
      <w:r>
        <w:t xml:space="preserve">“</w:t>
      </w:r>
      <w:r>
        <w:t xml:space="preserve">require,</w:t>
      </w:r>
      <w:r>
        <w:t xml:space="preserve">”</w:t>
      </w:r>
      <w:r>
        <w:t xml:space="preserve"> </w:t>
      </w:r>
      <w:r>
        <w:t xml:space="preserve">stating it</w:t>
      </w:r>
      <w:r>
        <w:t xml:space="preserve"> </w:t>
      </w:r>
      <w:r>
        <w:t xml:space="preserve">“</w:t>
      </w:r>
      <w:r>
        <w:t xml:space="preserve">did not intend to impose managerial responsibilities on the board of directors.</w:t>
      </w:r>
      <w:r>
        <w:t xml:space="preserve">”</w:t>
      </w:r>
      <w:r>
        <w:t xml:space="preserve"> </w:t>
      </w:r>
      <w:r>
        <w:t xml:space="preserve">(</w:t>
      </w:r>
      <w:hyperlink r:id="rId47">
        <w:r>
          <w:rPr>
            <w:rStyle w:val="Hyperlink"/>
            <w:color w:val="0645AD"/>
            <w:u w:val="single"/>
          </w:rPr>
          <w:t xml:space="preserve">79 FR 54517, OCC Final Heightened Standards</w:t>
        </w:r>
      </w:hyperlink>
      <w:r>
        <w:t xml:space="preserve">)</w:t>
      </w:r>
    </w:p>
    <w:p>
      <w:pPr>
        <w:numPr>
          <w:ilvl w:val="0"/>
          <w:numId w:val="1003"/>
        </w:numPr>
      </w:pPr>
      <w:r>
        <w:t xml:space="preserve">The board must actively oversee the bank’s risk-taking activities and hold management accountable, including the ability to</w:t>
      </w:r>
      <w:r>
        <w:t xml:space="preserve"> </w:t>
      </w:r>
      <w:r>
        <w:t xml:space="preserve">“</w:t>
      </w:r>
      <w:r>
        <w:t xml:space="preserve">question, challenge, and when necessary, oppose recommendations and decisions made by management.</w:t>
      </w:r>
      <w:r>
        <w:t xml:space="preserve">”</w:t>
      </w:r>
    </w:p>
    <w:p>
      <w:pPr>
        <w:numPr>
          <w:ilvl w:val="0"/>
          <w:numId w:val="1003"/>
        </w:numPr>
      </w:pPr>
      <w:r>
        <w:t xml:space="preserve">The board or risk committee must review and approve the risk governance framework, the risk appetite statement (at least annually), and the strategic plan (at least annually).</w:t>
      </w:r>
    </w:p>
    <w:p>
      <w:pPr>
        <w:numPr>
          <w:ilvl w:val="0"/>
          <w:numId w:val="1003"/>
        </w:numPr>
      </w:pPr>
      <w:r>
        <w:t xml:space="preserve">The board must include at least two independent directors.</w:t>
      </w:r>
    </w:p>
    <w:p>
      <w:pPr>
        <w:numPr>
          <w:ilvl w:val="0"/>
          <w:numId w:val="1003"/>
        </w:numPr>
      </w:pPr>
      <w:r>
        <w:t xml:space="preserve">The board or audit committee must approve the appointment, removal, and annual compensation of the Chief Audit Executive.</w:t>
      </w:r>
    </w:p>
    <w:p>
      <w:pPr>
        <w:numPr>
          <w:ilvl w:val="0"/>
          <w:numId w:val="1003"/>
        </w:numPr>
      </w:pPr>
      <w:r>
        <w:t xml:space="preserve">The board or risk committee must approve the appointment, removal, and annual compensation of the Chief Risk Executive.</w:t>
      </w:r>
    </w:p>
    <w:p>
      <w:pPr>
        <w:numPr>
          <w:ilvl w:val="0"/>
          <w:numId w:val="1003"/>
        </w:numPr>
      </w:pPr>
      <w:r>
        <w:t xml:space="preserve">The board must establish a formal ongoing training program for directors and conduct an annual self-assessment.</w:t>
      </w:r>
    </w:p>
    <w:p>
      <w:pPr>
        <w:pStyle w:val="FirstParagraph"/>
      </w:pPr>
      <w:r>
        <w:t xml:space="preserve">(</w:t>
      </w:r>
      <w:hyperlink r:id="rId47">
        <w:r>
          <w:rPr>
            <w:rStyle w:val="Hyperlink"/>
            <w:color w:val="0645AD"/>
            <w:u w:val="single"/>
          </w:rPr>
          <w:t xml:space="preserve">79 FR 54517, OCC Final Heightened Standards</w:t>
        </w:r>
      </w:hyperlink>
      <w:r>
        <w:t xml:space="preserve">); (</w:t>
      </w:r>
      <w:hyperlink r:id="rId48">
        <w:r>
          <w:rPr>
            <w:rStyle w:val="Hyperlink"/>
            <w:color w:val="0645AD"/>
            <w:u w:val="single"/>
          </w:rPr>
          <w:t xml:space="preserve">OCC Bulletin 2016-25, Corporate and Risk Governance Booklet</w:t>
        </w:r>
      </w:hyperlink>
      <w:r>
        <w:t xml:space="preserve">)</w:t>
      </w:r>
    </w:p>
    <w:p>
      <w:pPr>
        <w:pStyle w:val="BodyText"/>
      </w:pPr>
      <w:r>
        <w:t xml:space="preserve">The OCC permits a covered bank to use its parent company’s risk governance framework without modification if the IDI represents 95 percent or more of the parent company’s average total consolidated assets. For most Category I GSIBs with significant nonbank operations, this threshold is unlikely to be met. (</w:t>
      </w:r>
      <w:hyperlink r:id="rId47">
        <w:r>
          <w:rPr>
            <w:rStyle w:val="Hyperlink"/>
            <w:color w:val="0645AD"/>
            <w:u w:val="single"/>
          </w:rPr>
          <w:t xml:space="preserve">79 FR 54517, OCC Final Heightened Standards</w:t>
        </w:r>
      </w:hyperlink>
      <w:r>
        <w:t xml:space="preserve">)</w:t>
      </w:r>
    </w:p>
    <w:p>
      <w:pPr>
        <w:pStyle w:val="BlockText"/>
      </w:pPr>
      <w:r>
        <w:rPr>
          <w:b/>
          <w:bCs/>
        </w:rPr>
        <w:t xml:space="preserve">⚠ Cross-Agency Divergence:</w:t>
      </w:r>
      <w:r>
        <w:t xml:space="preserve"> </w:t>
      </w:r>
      <w:r>
        <w:t xml:space="preserve">The OCC requires at least two independent directors at the IDI level. The Federal Reserve’s SR 21-3 does not specify a minimum number of independent directors at the holding company level. The FDIC’s withdrawn proposal would have required a majority of IDI directors to be independent of both the bank and its parent holding company. FDIC Director McKernan cautioned that this would go</w:t>
      </w:r>
      <w:r>
        <w:t xml:space="preserve"> </w:t>
      </w:r>
      <w:r>
        <w:t xml:space="preserve">“</w:t>
      </w:r>
      <w:r>
        <w:t xml:space="preserve">beyond the expectations of other bank regulators</w:t>
      </w:r>
      <w:r>
        <w:t xml:space="preserve">”</w:t>
      </w:r>
      <w:r>
        <w:t xml:space="preserve"> </w:t>
      </w:r>
      <w:r>
        <w:t xml:space="preserve">and could</w:t>
      </w:r>
      <w:r>
        <w:t xml:space="preserve"> </w:t>
      </w:r>
      <w:r>
        <w:t xml:space="preserve">“</w:t>
      </w:r>
      <w:r>
        <w:t xml:space="preserve">conflict with regulatory expectations applicable to parent companies.</w:t>
      </w:r>
      <w:r>
        <w:t xml:space="preserve">”</w:t>
      </w:r>
      <w:r>
        <w:t xml:space="preserve"> </w:t>
      </w:r>
      <w:r>
        <w:t xml:space="preserve">(</w:t>
      </w:r>
      <w:hyperlink r:id="rId49">
        <w:r>
          <w:rPr>
            <w:rStyle w:val="Hyperlink"/>
            <w:color w:val="0645AD"/>
            <w:u w:val="single"/>
          </w:rPr>
          <w:t xml:space="preserve">FDIC Director McKernan Statement (October 3, 2023)</w:t>
        </w:r>
      </w:hyperlink>
      <w:r>
        <w:t xml:space="preserve">)</w:t>
      </w:r>
    </w:p>
    <w:bookmarkEnd w:id="50"/>
    <w:bookmarkEnd w:id="51"/>
    <w:bookmarkStart w:id="98" w:name="X333bbc72d7922c1dfa5656dbb0da788369ada48"/>
    <w:p>
      <w:pPr>
        <w:pStyle w:val="Heading1"/>
      </w:pPr>
      <w:r>
        <w:t xml:space="preserve">VI. Domain-Specific Supervisory Expectations</w:t>
      </w:r>
    </w:p>
    <w:bookmarkStart w:id="58" w:name="a.-capital-planning-and-stress-testing"/>
    <w:p>
      <w:pPr>
        <w:pStyle w:val="Heading2"/>
      </w:pPr>
      <w:r>
        <w:t xml:space="preserve">A. Capital Planning and Stress Testing</w:t>
      </w:r>
    </w:p>
    <w:bookmarkStart w:id="56" w:name="holding-company-level"/>
    <w:p>
      <w:pPr>
        <w:pStyle w:val="Heading3"/>
      </w:pPr>
      <w:r>
        <w:t xml:space="preserve">1. Holding Company Level</w:t>
      </w:r>
    </w:p>
    <w:p>
      <w:pPr>
        <w:pStyle w:val="FirstParagraph"/>
      </w:pPr>
      <w:r>
        <w:rPr>
          <w:b/>
          <w:bCs/>
        </w:rPr>
        <w:t xml:space="preserve">Regulation Y, 12 CFR 225.8(e)(1)(iii) (Full Board or Designated Committee).</w:t>
      </w:r>
      <w:r>
        <w:t xml:space="preserve"> </w:t>
      </w:r>
      <w:r>
        <w:t xml:space="preserve">The board of directors, or a designated committee thereof, must at least annually and prior to submission of the capital plan: (A) review the robustness of the bank holding company’s process for assessing capital adequacy; (B) ensure that any deficiencies in that process are appropriately remedied; and (C) approve the capital plan. (</w:t>
      </w:r>
      <w:hyperlink r:id="rId52">
        <w:r>
          <w:rPr>
            <w:rStyle w:val="Hyperlink"/>
            <w:color w:val="0645AD"/>
            <w:u w:val="single"/>
          </w:rPr>
          <w:t xml:space="preserve">12 CFR 225.8, Capital Planning and Stress Capital Buffer Requirement</w:t>
        </w:r>
      </w:hyperlink>
      <w:r>
        <w:t xml:space="preserve">)</w:t>
      </w:r>
    </w:p>
    <w:p>
      <w:pPr>
        <w:pStyle w:val="BodyText"/>
      </w:pPr>
      <w:r>
        <w:t xml:space="preserve">The capital plan that the board must approve must include a description of how the firm will</w:t>
      </w:r>
      <w:r>
        <w:t xml:space="preserve"> </w:t>
      </w:r>
      <w:r>
        <w:t xml:space="preserve">“</w:t>
      </w:r>
      <w:r>
        <w:t xml:space="preserve">maintain capital commensurate with its risks, maintain capital above the regulatory capital ratios, and serve as a source of strength to its subsidiary depository institutions under expected and stressful conditions.</w:t>
      </w:r>
      <w:r>
        <w:t xml:space="preserve">”</w:t>
      </w:r>
      <w:r>
        <w:t xml:space="preserve"> </w:t>
      </w:r>
      <w:r>
        <w:t xml:space="preserve">(</w:t>
      </w:r>
      <w:hyperlink r:id="rId52">
        <w:r>
          <w:rPr>
            <w:rStyle w:val="Hyperlink"/>
            <w:color w:val="0645AD"/>
            <w:u w:val="single"/>
          </w:rPr>
          <w:t xml:space="preserve">12 CFR 225.8</w:t>
        </w:r>
      </w:hyperlink>
      <w:r>
        <w:t xml:space="preserve">)</w:t>
      </w:r>
    </w:p>
    <w:p>
      <w:pPr>
        <w:pStyle w:val="BodyText"/>
      </w:pPr>
      <w:r>
        <w:t xml:space="preserve">The board must also stand ready to review and re-approve a capital plan whenever a material change in risk profile, financial condition, or corporate structure occurs, as required by 12 CFR 225.8(e)(4). (</w:t>
      </w:r>
      <w:hyperlink r:id="rId53">
        <w:r>
          <w:rPr>
            <w:rStyle w:val="Hyperlink"/>
            <w:color w:val="0645AD"/>
            <w:u w:val="single"/>
          </w:rPr>
          <w:t xml:space="preserve">76 FR 74631, Capital Plans Final Rule</w:t>
        </w:r>
      </w:hyperlink>
      <w:r>
        <w:t xml:space="preserve">)</w:t>
      </w:r>
    </w:p>
    <w:p>
      <w:pPr>
        <w:pStyle w:val="BodyText"/>
      </w:pPr>
      <w:r>
        <w:rPr>
          <w:b/>
          <w:bCs/>
        </w:rPr>
        <w:t xml:space="preserve">Regulation YY, 12 CFR 252.56(c) (Full Board or Committee).</w:t>
      </w:r>
      <w:r>
        <w:t xml:space="preserve"> </w:t>
      </w:r>
      <w:r>
        <w:t xml:space="preserve">The board or a committee thereof must review and approve stress testing policies and procedures at least annually. The board and senior management must receive a summary of stress test results and consider those results in: (i) capital planning, including changes to capital structure; (ii) assessing exposures, concentrations, and risk positions; and (iii) recovery or resolution planning. (</w:t>
      </w:r>
      <w:hyperlink r:id="rId54">
        <w:r>
          <w:rPr>
            <w:rStyle w:val="Hyperlink"/>
            <w:color w:val="0645AD"/>
            <w:u w:val="single"/>
          </w:rPr>
          <w:t xml:space="preserve">12 CFR 252.56, Methodologies and Practices</w:t>
        </w:r>
      </w:hyperlink>
      <w:r>
        <w:t xml:space="preserve">)</w:t>
      </w:r>
    </w:p>
    <w:p>
      <w:pPr>
        <w:pStyle w:val="BodyText"/>
      </w:pPr>
      <w:r>
        <w:rPr>
          <w:b/>
          <w:bCs/>
        </w:rPr>
        <w:t xml:space="preserve">SR 21-3/CA 21-1 (Full Board).</w:t>
      </w:r>
      <w:r>
        <w:t xml:space="preserve"> </w:t>
      </w:r>
      <w:r>
        <w:t xml:space="preserve">The capital plan is identified as one of the significant policies that the board must review and approve under Attribute 1. (</w:t>
      </w:r>
      <w:hyperlink r:id="rId31">
        <w:r>
          <w:rPr>
            <w:rStyle w:val="Hyperlink"/>
            <w:color w:val="0645AD"/>
            <w:u w:val="single"/>
          </w:rPr>
          <w:t xml:space="preserve">SR 21-3/CA 21-1 Attachment</w:t>
        </w:r>
      </w:hyperlink>
      <w:r>
        <w:t xml:space="preserve">)</w:t>
      </w:r>
    </w:p>
    <w:p>
      <w:pPr>
        <w:pStyle w:val="BodyText"/>
      </w:pPr>
      <w:r>
        <w:rPr>
          <w:b/>
          <w:bCs/>
        </w:rPr>
        <w:t xml:space="preserve">Interagency Stress Testing Guidance, 77 FR 29458 (Full Board).</w:t>
      </w:r>
      <w:r>
        <w:t xml:space="preserve"> </w:t>
      </w:r>
      <w:r>
        <w:t xml:space="preserve">“</w:t>
      </w:r>
      <w:r>
        <w:t xml:space="preserve">A banking organization’s board of directors should be provided with information from senior management on stress testing developments (including the process to design tests and develop scenarios) and on stress testing results.</w:t>
      </w:r>
      <w:r>
        <w:t xml:space="preserve">”</w:t>
      </w:r>
      <w:r>
        <w:t xml:space="preserve"> </w:t>
      </w:r>
      <w:r>
        <w:t xml:space="preserve">The guidance clarifies that</w:t>
      </w:r>
      <w:r>
        <w:t xml:space="preserve"> </w:t>
      </w:r>
      <w:r>
        <w:t xml:space="preserve">“</w:t>
      </w:r>
      <w:r>
        <w:t xml:space="preserve">senior management, not the board of directors, should have the primary responsibility for stress testing implementation and technical design.</w:t>
      </w:r>
      <w:r>
        <w:t xml:space="preserve">”</w:t>
      </w:r>
      <w:r>
        <w:t xml:space="preserve"> </w:t>
      </w:r>
      <w:r>
        <w:t xml:space="preserve">(</w:t>
      </w:r>
      <w:hyperlink r:id="rId55">
        <w:r>
          <w:rPr>
            <w:rStyle w:val="Hyperlink"/>
            <w:color w:val="0645AD"/>
            <w:u w:val="single"/>
          </w:rPr>
          <w:t xml:space="preserve">77 FR 29458, Supervisory Guidance on Stress Testing</w:t>
        </w:r>
      </w:hyperlink>
      <w:r>
        <w:t xml:space="preserve">)</w:t>
      </w:r>
    </w:p>
    <w:p>
      <w:pPr>
        <w:pStyle w:val="BlockText"/>
      </w:pPr>
      <w:r>
        <w:rPr>
          <w:b/>
          <w:bCs/>
        </w:rPr>
        <w:t xml:space="preserve">⚠ Overlap/Inconsistency:</w:t>
      </w:r>
      <w:r>
        <w:t xml:space="preserve"> </w:t>
      </w:r>
      <w:r>
        <w:t xml:space="preserve">The board’s capital planning obligation is addressed in 12 CFR 225.8 (binding regulation using</w:t>
      </w:r>
      <w:r>
        <w:t xml:space="preserve"> </w:t>
      </w:r>
      <w:r>
        <w:t xml:space="preserve">“</w:t>
      </w:r>
      <w:r>
        <w:t xml:space="preserve">ensure</w:t>
      </w:r>
      <w:r>
        <w:t xml:space="preserve">”</w:t>
      </w:r>
      <w:r>
        <w:t xml:space="preserve"> </w:t>
      </w:r>
      <w:r>
        <w:t xml:space="preserve">language), SR 21-3 (principles-based oversight language), and SR 12-17 (retained without change, also using</w:t>
      </w:r>
      <w:r>
        <w:t xml:space="preserve"> </w:t>
      </w:r>
      <w:r>
        <w:t xml:space="preserve">“</w:t>
      </w:r>
      <w:r>
        <w:t xml:space="preserve">ensure</w:t>
      </w:r>
      <w:r>
        <w:t xml:space="preserve">”</w:t>
      </w:r>
      <w:r>
        <w:t xml:space="preserve"> </w:t>
      </w:r>
      <w:r>
        <w:t xml:space="preserve">language). The</w:t>
      </w:r>
      <w:r>
        <w:t xml:space="preserve"> </w:t>
      </w:r>
      <w:r>
        <w:t xml:space="preserve">“</w:t>
      </w:r>
      <w:r>
        <w:t xml:space="preserve">ensure</w:t>
      </w:r>
      <w:r>
        <w:t xml:space="preserve">”</w:t>
      </w:r>
      <w:r>
        <w:t xml:space="preserve"> </w:t>
      </w:r>
      <w:r>
        <w:t xml:space="preserve">language in the regulation and SR 12-17 creates a tension with SR 21-3’s oversight model that the Federal Reserve has not formally resolved.</w:t>
      </w:r>
    </w:p>
    <w:bookmarkEnd w:id="56"/>
    <w:bookmarkStart w:id="57" w:name="idi-subsidiary-level"/>
    <w:p>
      <w:pPr>
        <w:pStyle w:val="Heading3"/>
      </w:pPr>
      <w:r>
        <w:t xml:space="preserve">2. IDI Subsidiary Level</w:t>
      </w:r>
    </w:p>
    <w:p>
      <w:pPr>
        <w:pStyle w:val="FirstParagraph"/>
      </w:pPr>
      <w:r>
        <w:t xml:space="preserve">The OCC’s heightened standards require the board or risk committee of covered national banks to oversee the risk governance framework, which encompasses capital planning. The interagency capital rules (12 CFR Parts 3, 217, and 324) impose ICAAP-related obligations on IDI subsidiary boards, creating a multi-level set of board-level capital planning governance obligations across the organizational structure. (</w:t>
      </w:r>
      <w:hyperlink r:id="rId47">
        <w:r>
          <w:rPr>
            <w:rStyle w:val="Hyperlink"/>
            <w:color w:val="0645AD"/>
            <w:u w:val="single"/>
          </w:rPr>
          <w:t xml:space="preserve">79 FR 54517, OCC Final Heightened Standards</w:t>
        </w:r>
      </w:hyperlink>
      <w:r>
        <w:t xml:space="preserve">)</w:t>
      </w:r>
    </w:p>
    <w:bookmarkEnd w:id="57"/>
    <w:bookmarkEnd w:id="58"/>
    <w:bookmarkStart w:id="62" w:name="b.-liquidity-risk-management"/>
    <w:p>
      <w:pPr>
        <w:pStyle w:val="Heading2"/>
      </w:pPr>
      <w:r>
        <w:t xml:space="preserve">B. Liquidity Risk Management</w:t>
      </w:r>
    </w:p>
    <w:bookmarkStart w:id="61" w:name="holding-company-level-1"/>
    <w:p>
      <w:pPr>
        <w:pStyle w:val="Heading3"/>
      </w:pPr>
      <w:r>
        <w:t xml:space="preserve">1. Holding Company Level</w:t>
      </w:r>
    </w:p>
    <w:p>
      <w:pPr>
        <w:pStyle w:val="FirstParagraph"/>
      </w:pPr>
      <w:r>
        <w:rPr>
          <w:b/>
          <w:bCs/>
        </w:rPr>
        <w:t xml:space="preserve">Regulation YY, 12 CFR 252.34 (Full Board and Risk Committee).</w:t>
      </w:r>
      <w:r>
        <w:t xml:space="preserve"> </w:t>
      </w:r>
      <w:r>
        <w:t xml:space="preserve">The full board of directors must:</w:t>
      </w:r>
    </w:p>
    <w:p>
      <w:pPr>
        <w:pStyle w:val="Compact"/>
        <w:numPr>
          <w:ilvl w:val="0"/>
          <w:numId w:val="1004"/>
        </w:numPr>
      </w:pPr>
      <w:r>
        <w:t xml:space="preserve">Approve the acceptable level of liquidity risk (liquidity risk tolerance) at least annually;</w:t>
      </w:r>
    </w:p>
    <w:p>
      <w:pPr>
        <w:pStyle w:val="Compact"/>
        <w:numPr>
          <w:ilvl w:val="0"/>
          <w:numId w:val="1004"/>
        </w:numPr>
      </w:pPr>
      <w:r>
        <w:t xml:space="preserve">Receive and review, at least semi-annually, information to determine whether the company is operating within its established liquidity risk tolerance; and</w:t>
      </w:r>
    </w:p>
    <w:p>
      <w:pPr>
        <w:pStyle w:val="Compact"/>
        <w:numPr>
          <w:ilvl w:val="0"/>
          <w:numId w:val="1004"/>
        </w:numPr>
      </w:pPr>
      <w:r>
        <w:t xml:space="preserve">Approve and periodically review liquidity risk management strategies, policies, and procedures.</w:t>
      </w:r>
    </w:p>
    <w:p>
      <w:pPr>
        <w:pStyle w:val="FirstParagraph"/>
      </w:pPr>
      <w:r>
        <w:t xml:space="preserve">(</w:t>
      </w:r>
      <w:hyperlink r:id="rId59">
        <w:r>
          <w:rPr>
            <w:rStyle w:val="Hyperlink"/>
            <w:color w:val="0645AD"/>
            <w:u w:val="single"/>
          </w:rPr>
          <w:t xml:space="preserve">12 CFR 252.34, Liquidity Risk-Management Requirements</w:t>
        </w:r>
      </w:hyperlink>
      <w:r>
        <w:t xml:space="preserve">)</w:t>
      </w:r>
    </w:p>
    <w:p>
      <w:pPr>
        <w:pStyle w:val="BodyText"/>
      </w:pPr>
      <w:r>
        <w:t xml:space="preserve">The risk committee (or a designated subcommittee composed of board members) must:</w:t>
      </w:r>
    </w:p>
    <w:p>
      <w:pPr>
        <w:pStyle w:val="Compact"/>
        <w:numPr>
          <w:ilvl w:val="0"/>
          <w:numId w:val="1005"/>
        </w:numPr>
      </w:pPr>
      <w:r>
        <w:t xml:space="preserve">Approve the contingency funding plan at least annually and approve any material revisions prior to implementation.</w:t>
      </w:r>
    </w:p>
    <w:p>
      <w:pPr>
        <w:pStyle w:val="FirstParagraph"/>
      </w:pPr>
      <w:r>
        <w:t xml:space="preserve">(</w:t>
      </w:r>
      <w:hyperlink r:id="rId59">
        <w:r>
          <w:rPr>
            <w:rStyle w:val="Hyperlink"/>
            <w:color w:val="0645AD"/>
            <w:u w:val="single"/>
          </w:rPr>
          <w:t xml:space="preserve">12 CFR 252.34</w:t>
        </w:r>
      </w:hyperlink>
      <w:r>
        <w:t xml:space="preserve">)</w:t>
      </w:r>
    </w:p>
    <w:p>
      <w:pPr>
        <w:pStyle w:val="BodyText"/>
      </w:pPr>
      <w:r>
        <w:t xml:space="preserve">Senior management must report to the board or risk committee on the firm’s liquidity risk profile and liquidity risk tolerance at least quarterly. The independent review function must report material liquidity risk management issues to the board or risk committee in writing. The bank holding company must also submit documentation of its cash flow projection methodology and assumptions to the risk committee. (</w:t>
      </w:r>
      <w:hyperlink r:id="rId59">
        <w:r>
          <w:rPr>
            <w:rStyle w:val="Hyperlink"/>
            <w:color w:val="0645AD"/>
            <w:u w:val="single"/>
          </w:rPr>
          <w:t xml:space="preserve">12 CFR 252.34</w:t>
        </w:r>
      </w:hyperlink>
      <w:r>
        <w:t xml:space="preserve">); (</w:t>
      </w:r>
      <w:hyperlink r:id="rId60">
        <w:r>
          <w:rPr>
            <w:rStyle w:val="Hyperlink"/>
            <w:color w:val="0645AD"/>
            <w:u w:val="single"/>
          </w:rPr>
          <w:t xml:space="preserve">12 CFR 252.35, Liquidity Stress Testing and Buffer Requirements</w:t>
        </w:r>
      </w:hyperlink>
      <w:r>
        <w:t xml:space="preserve">)</w:t>
      </w:r>
    </w:p>
    <w:p>
      <w:pPr>
        <w:pStyle w:val="BodyText"/>
      </w:pPr>
      <w:r>
        <w:rPr>
          <w:b/>
          <w:bCs/>
        </w:rPr>
        <w:t xml:space="preserve">SR 21-3/CA 21-1 (Full Board).</w:t>
      </w:r>
      <w:r>
        <w:t xml:space="preserve"> </w:t>
      </w:r>
      <w:r>
        <w:t xml:space="preserve">Liquidity risk management policies are identified as one of the significant policies the board must review and approve under Attribute 1, citing 12 CFR 252.34(a). (</w:t>
      </w:r>
      <w:hyperlink r:id="rId31">
        <w:r>
          <w:rPr>
            <w:rStyle w:val="Hyperlink"/>
            <w:color w:val="0645AD"/>
            <w:u w:val="single"/>
          </w:rPr>
          <w:t xml:space="preserve">SR 21-3/CA 21-1 Attachment</w:t>
        </w:r>
      </w:hyperlink>
      <w:r>
        <w:t xml:space="preserve">)</w:t>
      </w:r>
    </w:p>
    <w:p>
      <w:pPr>
        <w:pStyle w:val="BlockText"/>
      </w:pPr>
      <w:r>
        <w:rPr>
          <w:b/>
          <w:bCs/>
        </w:rPr>
        <w:t xml:space="preserve">⚠ Overlap:</w:t>
      </w:r>
      <w:r>
        <w:t xml:space="preserve"> </w:t>
      </w:r>
      <w:r>
        <w:t xml:space="preserve">Board-level liquidity risk governance expectations appear in SR 21-3, SR 12-17, Regulation YY (12 CFR 252.34-35), and the interagency liquidity guidance (SR 10-6). The coexistence of these sources creates potential overlap, particularly between the principles-based approach of SR 21-3 and the prescriptive, codified requirements of Regulation YY.</w:t>
      </w:r>
    </w:p>
    <w:bookmarkEnd w:id="61"/>
    <w:bookmarkEnd w:id="62"/>
    <w:bookmarkStart w:id="69" w:name="c.-resolution-planning"/>
    <w:p>
      <w:pPr>
        <w:pStyle w:val="Heading2"/>
      </w:pPr>
      <w:r>
        <w:t xml:space="preserve">C. Resolution Planning</w:t>
      </w:r>
    </w:p>
    <w:bookmarkStart w:id="65" w:name="statutory-and-regulatory-framework"/>
    <w:p>
      <w:pPr>
        <w:pStyle w:val="Heading3"/>
      </w:pPr>
      <w:r>
        <w:t xml:space="preserve">1. Statutory and Regulatory Framework</w:t>
      </w:r>
    </w:p>
    <w:p>
      <w:pPr>
        <w:pStyle w:val="FirstParagraph"/>
      </w:pPr>
      <w:r>
        <w:t xml:space="preserve">Section 165(d) of the Dodd-Frank Act requires Category I GSIBs to report periodically a plan for rapid and orderly resolution. If the Board and FDIC jointly determine that a plan is not credible, they must require resubmission, and if the company fails to resubmit a credible plan, the agencies may impose more stringent requirements or direct divestiture. (</w:t>
      </w:r>
      <w:hyperlink r:id="rId63">
        <w:r>
          <w:rPr>
            <w:rStyle w:val="Hyperlink"/>
            <w:color w:val="0645AD"/>
            <w:u w:val="single"/>
          </w:rPr>
          <w:t xml:space="preserve">12 U.S.C. § 5365</w:t>
        </w:r>
      </w:hyperlink>
      <w:r>
        <w:t xml:space="preserve">); (</w:t>
      </w:r>
      <w:hyperlink r:id="rId64">
        <w:r>
          <w:rPr>
            <w:rStyle w:val="Hyperlink"/>
            <w:color w:val="0645AD"/>
            <w:u w:val="single"/>
          </w:rPr>
          <w:t xml:space="preserve">Dodd-Frank Act, Sec. 165</w:t>
        </w:r>
      </w:hyperlink>
      <w:r>
        <w:t xml:space="preserve">)</w:t>
      </w:r>
    </w:p>
    <w:bookmarkEnd w:id="65"/>
    <w:bookmarkStart w:id="68" w:name="federal-reserve-supervisory-expectations"/>
    <w:p>
      <w:pPr>
        <w:pStyle w:val="Heading3"/>
      </w:pPr>
      <w:r>
        <w:t xml:space="preserve">2. Federal Reserve Supervisory Expectations</w:t>
      </w:r>
    </w:p>
    <w:p>
      <w:pPr>
        <w:pStyle w:val="FirstParagraph"/>
      </w:pPr>
      <w:r>
        <w:rPr>
          <w:b/>
          <w:bCs/>
        </w:rPr>
        <w:t xml:space="preserve">SR 21-3/CA 21-1 (Full Board).</w:t>
      </w:r>
      <w:r>
        <w:t xml:space="preserve"> </w:t>
      </w:r>
      <w:r>
        <w:t xml:space="preserve">Recovery and resolution plans are identified as significant policies the board must review and approve. (</w:t>
      </w:r>
      <w:hyperlink r:id="rId31">
        <w:r>
          <w:rPr>
            <w:rStyle w:val="Hyperlink"/>
            <w:color w:val="0645AD"/>
            <w:u w:val="single"/>
          </w:rPr>
          <w:t xml:space="preserve">SR 21-3/CA 21-1 Attachment</w:t>
        </w:r>
      </w:hyperlink>
      <w:r>
        <w:t xml:space="preserve">)</w:t>
      </w:r>
    </w:p>
    <w:p>
      <w:pPr>
        <w:pStyle w:val="BodyText"/>
      </w:pPr>
      <w:r>
        <w:rPr>
          <w:b/>
          <w:bCs/>
        </w:rPr>
        <w:t xml:space="preserve">SR 12-17/CA 12-14 (Full Board and Committees).</w:t>
      </w:r>
      <w:r>
        <w:t xml:space="preserve"> </w:t>
      </w:r>
      <w:r>
        <w:t xml:space="preserve">Resolution planning must be</w:t>
      </w:r>
      <w:r>
        <w:t xml:space="preserve"> </w:t>
      </w:r>
      <w:r>
        <w:t xml:space="preserve">“</w:t>
      </w:r>
      <w:r>
        <w:t xml:space="preserve">sufficiently integrated into corporate governance structures and processes, subject to independent validation, and effectively supported by related MIS reporting to the board of directors and its committees.</w:t>
      </w:r>
      <w:r>
        <w:t xml:space="preserve">”</w:t>
      </w:r>
      <w:r>
        <w:t xml:space="preserve"> </w:t>
      </w:r>
      <w:r>
        <w:t xml:space="preserve">(</w:t>
      </w:r>
      <w:hyperlink r:id="rId22">
        <w:r>
          <w:rPr>
            <w:rStyle w:val="Hyperlink"/>
            <w:color w:val="0645AD"/>
            <w:u w:val="single"/>
          </w:rPr>
          <w:t xml:space="preserve">SR 12-17: Consolidated Supervision Framework</w:t>
        </w:r>
      </w:hyperlink>
      <w:r>
        <w:t xml:space="preserve">)</w:t>
      </w:r>
    </w:p>
    <w:p>
      <w:pPr>
        <w:pStyle w:val="BodyText"/>
      </w:pPr>
      <w:r>
        <w:rPr>
          <w:b/>
          <w:bCs/>
        </w:rPr>
        <w:t xml:space="preserve">SR 14-1 (Holding Company Level).</w:t>
      </w:r>
      <w:r>
        <w:t xml:space="preserve"> </w:t>
      </w:r>
      <w:r>
        <w:t xml:space="preserve">Establishes heightened resolution preparedness expectations for the eight domestic Category I GSIBs, including effective processes for collateral management, payment/clearing/settlement understanding, material entity funding analysis, MIS capabilities on a legal entity basis, and robust arrangements for shared/outsourced services continuity. (</w:t>
      </w:r>
      <w:hyperlink r:id="rId66">
        <w:r>
          <w:rPr>
            <w:rStyle w:val="Hyperlink"/>
            <w:color w:val="0645AD"/>
            <w:u w:val="single"/>
          </w:rPr>
          <w:t xml:space="preserve">SR 14-1, Heightened Supervisory Expectations for Recovery and Resolution Preparedness</w:t>
        </w:r>
      </w:hyperlink>
      <w:r>
        <w:t xml:space="preserve">)</w:t>
      </w:r>
    </w:p>
    <w:p>
      <w:pPr>
        <w:pStyle w:val="BodyText"/>
      </w:pPr>
      <w:r>
        <w:rPr>
          <w:b/>
          <w:bCs/>
        </w:rPr>
        <w:t xml:space="preserve">2024 Triennial Full Filer Resolution Plan Guidance (89 FR 66388).</w:t>
      </w:r>
      <w:r>
        <w:t xml:space="preserve"> </w:t>
      </w:r>
      <w:r>
        <w:t xml:space="preserve">Although directly applicable to domestic Category II and III firms, this guidance expresses current agency thinking on resolution plan governance and articulates expectations for governance mechanisms including playbooks, trigger frameworks, and board-level decision-making protocols during resolution. (</w:t>
      </w:r>
      <w:hyperlink r:id="rId67">
        <w:r>
          <w:rPr>
            <w:rStyle w:val="Hyperlink"/>
            <w:color w:val="0645AD"/>
            <w:u w:val="single"/>
          </w:rPr>
          <w:t xml:space="preserve">89 FR 66388, Guidance for Resolution Plan Submissions of Domestic Triennial Full Filers</w:t>
        </w:r>
      </w:hyperlink>
      <w:r>
        <w:t xml:space="preserve">)</w:t>
      </w:r>
    </w:p>
    <w:p>
      <w:pPr>
        <w:pStyle w:val="BlockText"/>
      </w:pPr>
      <w:r>
        <w:rPr>
          <w:b/>
          <w:bCs/>
        </w:rPr>
        <w:t xml:space="preserve">⚠ Overlap:</w:t>
      </w:r>
      <w:r>
        <w:t xml:space="preserve"> </w:t>
      </w:r>
      <w:r>
        <w:t xml:space="preserve">Board-level resolution planning expectations appear in SR 21-3, SR 14-8 (retained without change), SR 14-1, SR 12-17, and Regulation QQ (12 CFR Part 243). The FDIC also has separate IDI resolution planning requirements under 12 CFR Part 360.</w:t>
      </w:r>
    </w:p>
    <w:bookmarkEnd w:id="68"/>
    <w:bookmarkEnd w:id="69"/>
    <w:bookmarkStart w:id="70" w:name="d.-recovery-planning"/>
    <w:p>
      <w:pPr>
        <w:pStyle w:val="Heading2"/>
      </w:pPr>
      <w:r>
        <w:t xml:space="preserve">D. Recovery Planning</w:t>
      </w:r>
    </w:p>
    <w:p>
      <w:pPr>
        <w:pStyle w:val="FirstParagraph"/>
      </w:pPr>
      <w:r>
        <w:rPr>
          <w:b/>
          <w:bCs/>
        </w:rPr>
        <w:t xml:space="preserve">SR 12-17/CA 12-14 (Full Board and Risk Committee).</w:t>
      </w:r>
      <w:r>
        <w:t xml:space="preserve"> </w:t>
      </w:r>
      <w:r>
        <w:t xml:space="preserve">“</w:t>
      </w:r>
      <w:r>
        <w:t xml:space="preserve">Robust recovery planning is central to ensuring the ongoing resiliency of a firm’s consolidated operations.</w:t>
      </w:r>
      <w:r>
        <w:t xml:space="preserve">”</w:t>
      </w:r>
      <w:r>
        <w:t xml:space="preserve"> </w:t>
      </w:r>
      <w:r>
        <w:t xml:space="preserve">Each firm should plan for potential financial or operational weaknesses and identify actions to correct those weaknesses. Recovery planning must be integrated into corporate governance structures and processes, subject to independent validation, and supported by MIS reporting to the board and its committees. The board’s role includes approving trigger frameworks, overseeing integration with capital and liquidity planning, and receiving MIS reporting on recovery planning. (</w:t>
      </w:r>
      <w:hyperlink r:id="rId22">
        <w:r>
          <w:rPr>
            <w:rStyle w:val="Hyperlink"/>
            <w:color w:val="0645AD"/>
            <w:u w:val="single"/>
          </w:rPr>
          <w:t xml:space="preserve">SR 12-17: Consolidated Supervision Framework</w:t>
        </w:r>
      </w:hyperlink>
      <w:r>
        <w:t xml:space="preserve">)</w:t>
      </w:r>
    </w:p>
    <w:p>
      <w:pPr>
        <w:pStyle w:val="BodyText"/>
      </w:pPr>
      <w:r>
        <w:rPr>
          <w:b/>
          <w:bCs/>
        </w:rPr>
        <w:t xml:space="preserve">SR 14-8 (Retained Without Change by SR 21-4).</w:t>
      </w:r>
      <w:r>
        <w:t xml:space="preserve"> </w:t>
      </w:r>
      <w:r>
        <w:t xml:space="preserve">Applies to the eight domestic Category I GSIBs. Recovery planning is included as a sub-component of the Governance and Controls rating under the LFI rating system for domestic LISCC firms only. (</w:t>
      </w:r>
      <w:hyperlink r:id="rId39">
        <w:r>
          <w:rPr>
            <w:rStyle w:val="Hyperlink"/>
            <w:color w:val="0645AD"/>
            <w:u w:val="single"/>
          </w:rPr>
          <w:t xml:space="preserve">SR 21-4/CA 21-2 Attachment</w:t>
        </w:r>
      </w:hyperlink>
      <w:r>
        <w:t xml:space="preserve">)</w:t>
      </w:r>
    </w:p>
    <w:p>
      <w:pPr>
        <w:pStyle w:val="BodyText"/>
      </w:pPr>
      <w:r>
        <w:rPr>
          <w:b/>
          <w:bCs/>
        </w:rPr>
        <w:t xml:space="preserve">12 CFR 252.56(c)(3) (Full Board).</w:t>
      </w:r>
      <w:r>
        <w:t xml:space="preserve"> </w:t>
      </w:r>
      <w:r>
        <w:t xml:space="preserve">The board and senior management must consider stress test results in</w:t>
      </w:r>
      <w:r>
        <w:t xml:space="preserve"> </w:t>
      </w:r>
      <w:r>
        <w:t xml:space="preserve">“</w:t>
      </w:r>
      <w:r>
        <w:t xml:space="preserve">the development or implementation of any plans of the covered company for recovery or resolution.</w:t>
      </w:r>
      <w:r>
        <w:t xml:space="preserve">”</w:t>
      </w:r>
      <w:r>
        <w:t xml:space="preserve"> </w:t>
      </w:r>
      <w:r>
        <w:t xml:space="preserve">(</w:t>
      </w:r>
      <w:hyperlink r:id="rId54">
        <w:r>
          <w:rPr>
            <w:rStyle w:val="Hyperlink"/>
            <w:color w:val="0645AD"/>
            <w:u w:val="single"/>
          </w:rPr>
          <w:t xml:space="preserve">12 CFR 252.56</w:t>
        </w:r>
      </w:hyperlink>
      <w:r>
        <w:t xml:space="preserve">)</w:t>
      </w:r>
    </w:p>
    <w:bookmarkEnd w:id="70"/>
    <w:bookmarkStart w:id="72" w:name="e.-operational-resilience"/>
    <w:p>
      <w:pPr>
        <w:pStyle w:val="Heading2"/>
      </w:pPr>
      <w:r>
        <w:t xml:space="preserve">E. Operational Resilience</w:t>
      </w:r>
    </w:p>
    <w:p>
      <w:pPr>
        <w:pStyle w:val="FirstParagraph"/>
      </w:pPr>
      <w:r>
        <w:rPr>
          <w:b/>
          <w:bCs/>
        </w:rPr>
        <w:t xml:space="preserve">SR 12-17/CA 12-14 (Full Board).</w:t>
      </w:r>
      <w:r>
        <w:t xml:space="preserve"> </w:t>
      </w:r>
      <w:r>
        <w:t xml:space="preserve">Each firm is expected to ensure that the consolidated organization can survive under a broad range of stresses, requiring</w:t>
      </w:r>
      <w:r>
        <w:t xml:space="preserve"> </w:t>
      </w:r>
      <w:r>
        <w:t xml:space="preserve">“</w:t>
      </w:r>
      <w:r>
        <w:t xml:space="preserve">operational resilience by maintaining effective corporate governance, risk management, and recovery planning.</w:t>
      </w:r>
      <w:r>
        <w:t xml:space="preserve">”</w:t>
      </w:r>
      <w:r>
        <w:t xml:space="preserve"> </w:t>
      </w:r>
      <w:r>
        <w:t xml:space="preserve">The board’s role is addressed through the corporate governance expectations in Section A.2. (</w:t>
      </w:r>
      <w:hyperlink r:id="rId22">
        <w:r>
          <w:rPr>
            <w:rStyle w:val="Hyperlink"/>
            <w:color w:val="0645AD"/>
            <w:u w:val="single"/>
          </w:rPr>
          <w:t xml:space="preserve">SR 12-17: Consolidated Supervision Framework</w:t>
        </w:r>
      </w:hyperlink>
      <w:r>
        <w:t xml:space="preserve">)</w:t>
      </w:r>
    </w:p>
    <w:p>
      <w:pPr>
        <w:pStyle w:val="BodyText"/>
      </w:pPr>
      <w:r>
        <w:rPr>
          <w:b/>
          <w:bCs/>
        </w:rPr>
        <w:t xml:space="preserve">LFI Rating System/SR 22-8 (Full Board).</w:t>
      </w:r>
      <w:r>
        <w:t xml:space="preserve"> </w:t>
      </w:r>
      <w:r>
        <w:t xml:space="preserve">The Governance and Controls component explicitly assesses operational resilience capabilities, including cybersecurity/IT and third-party risk, as components of operational risk. A firm rated Broadly Meets Expectations must demonstrate governance and controls sufficient to</w:t>
      </w:r>
      <w:r>
        <w:t xml:space="preserve"> </w:t>
      </w:r>
      <w:r>
        <w:t xml:space="preserve">“</w:t>
      </w:r>
      <w:r>
        <w:t xml:space="preserve">provide for the firm’s ongoing financial and operational resiliency through a range of conditions.</w:t>
      </w:r>
      <w:r>
        <w:t xml:space="preserve">”</w:t>
      </w:r>
      <w:r>
        <w:t xml:space="preserve"> </w:t>
      </w:r>
      <w:r>
        <w:t xml:space="preserve">Examiners assess</w:t>
      </w:r>
      <w:r>
        <w:t xml:space="preserve"> </w:t>
      </w:r>
      <w:r>
        <w:t xml:space="preserve">“</w:t>
      </w:r>
      <w:r>
        <w:t xml:space="preserve">effective oversight and support of IT management</w:t>
      </w:r>
      <w:r>
        <w:t xml:space="preserve">”</w:t>
      </w:r>
      <w:r>
        <w:t xml:space="preserve"> </w:t>
      </w:r>
      <w:r>
        <w:t xml:space="preserve">and</w:t>
      </w:r>
      <w:r>
        <w:t xml:space="preserve"> </w:t>
      </w:r>
      <w:r>
        <w:t xml:space="preserve">“</w:t>
      </w:r>
      <w:r>
        <w:t xml:space="preserve">strong board and senior management support</w:t>
      </w:r>
      <w:r>
        <w:t xml:space="preserve">”</w:t>
      </w:r>
      <w:r>
        <w:t xml:space="preserve"> </w:t>
      </w:r>
      <w:r>
        <w:t xml:space="preserve">for cybersecurity programs. (</w:t>
      </w:r>
      <w:hyperlink r:id="rId71">
        <w:r>
          <w:rPr>
            <w:rStyle w:val="Hyperlink"/>
            <w:color w:val="0645AD"/>
            <w:u w:val="single"/>
          </w:rPr>
          <w:t xml:space="preserve">SR 22-8: Framework for the Supervision of Insurance Organizations</w:t>
        </w:r>
      </w:hyperlink>
      <w:r>
        <w:t xml:space="preserve">); (</w:t>
      </w:r>
      <w:hyperlink r:id="rId25">
        <w:r>
          <w:rPr>
            <w:rStyle w:val="Hyperlink"/>
            <w:color w:val="0645AD"/>
            <w:u w:val="single"/>
          </w:rPr>
          <w:t xml:space="preserve">90 FR 51329, Revisions to the LFI Rating System</w:t>
        </w:r>
      </w:hyperlink>
      <w:r>
        <w:t xml:space="preserve">)</w:t>
      </w:r>
    </w:p>
    <w:p>
      <w:pPr>
        <w:pStyle w:val="BlockText"/>
      </w:pPr>
      <w:r>
        <w:rPr>
          <w:b/>
          <w:bCs/>
        </w:rPr>
        <w:t xml:space="preserve">⚠ Overlap:</w:t>
      </w:r>
      <w:r>
        <w:t xml:space="preserve"> </w:t>
      </w:r>
      <w:r>
        <w:t xml:space="preserve">Operational resilience expectations for boards arise simultaneously from SR 12-17 (corporate governance), the LFI rating system (Governance and Controls component), the 2023 interagency TPRM guidance (third-party operational resilience), and cybersecurity-specific guidance, creating multiple overlapping sources for substantially similar expectations.</w:t>
      </w:r>
    </w:p>
    <w:bookmarkEnd w:id="72"/>
    <w:bookmarkStart w:id="73" w:name="f.-model-risk-governance"/>
    <w:p>
      <w:pPr>
        <w:pStyle w:val="Heading2"/>
      </w:pPr>
      <w:r>
        <w:t xml:space="preserve">F. Model Risk Governance</w:t>
      </w:r>
    </w:p>
    <w:p>
      <w:pPr>
        <w:pStyle w:val="FirstParagraph"/>
      </w:pPr>
      <w:r>
        <w:rPr>
          <w:b/>
          <w:bCs/>
        </w:rPr>
        <w:t xml:space="preserve">SR 21-3/CA 21-1 (Full Board and Risk Committee).</w:t>
      </w:r>
      <w:r>
        <w:t xml:space="preserve"> </w:t>
      </w:r>
      <w:r>
        <w:t xml:space="preserve">Model risk governance is addressed indirectly through Attribute 1 (board approval of enterprise-wide risk management policies, which include model risk management) and Attribute 4 (risk committee oversight of independent risk management, which encompasses model validation). (</w:t>
      </w:r>
      <w:hyperlink r:id="rId31">
        <w:r>
          <w:rPr>
            <w:rStyle w:val="Hyperlink"/>
            <w:color w:val="0645AD"/>
            <w:u w:val="single"/>
          </w:rPr>
          <w:t xml:space="preserve">SR 21-3/CA 21-1 Attachment</w:t>
        </w:r>
      </w:hyperlink>
      <w:r>
        <w:t xml:space="preserve">)</w:t>
      </w:r>
    </w:p>
    <w:p>
      <w:pPr>
        <w:pStyle w:val="BodyText"/>
      </w:pPr>
      <w:r>
        <w:rPr>
          <w:b/>
          <w:bCs/>
        </w:rPr>
        <w:t xml:space="preserve">OCC Heightened Standards, 12 CFR Part 30, Appendix D (Risk Committee and Audit Committee).</w:t>
      </w:r>
      <w:r>
        <w:t xml:space="preserve"> </w:t>
      </w:r>
      <w:r>
        <w:t xml:space="preserve">For covered national banks, the heightened standards require the risk committee to oversee the risk governance framework, which encompasses model risk management. The audit committee must receive annual written reports on model risk governance from internal audit. (</w:t>
      </w:r>
      <w:hyperlink r:id="rId47">
        <w:r>
          <w:rPr>
            <w:rStyle w:val="Hyperlink"/>
            <w:color w:val="0645AD"/>
            <w:u w:val="single"/>
          </w:rPr>
          <w:t xml:space="preserve">79 FR 54517, OCC Final Heightened Standards</w:t>
        </w:r>
      </w:hyperlink>
      <w:r>
        <w:t xml:space="preserve">)</w:t>
      </w:r>
    </w:p>
    <w:p>
      <w:pPr>
        <w:pStyle w:val="BlockText"/>
      </w:pPr>
      <w:r>
        <w:rPr>
          <w:b/>
          <w:bCs/>
        </w:rPr>
        <w:t xml:space="preserve">⚠ Potential Conflict:</w:t>
      </w:r>
      <w:r>
        <w:t xml:space="preserve"> </w:t>
      </w:r>
      <w:r>
        <w:t xml:space="preserve">The OCC’s heightened standards impose specific structural model risk governance requirements (CRE approval of model risk policies, formal training programs, annual self-assessment, written audit committee reporting) that do not have expressly required analogs in the Federal Reserve’s holding company framework, creating an asymmetry between holding company and IDI subsidiary expectations.</w:t>
      </w:r>
    </w:p>
    <w:bookmarkEnd w:id="73"/>
    <w:bookmarkStart w:id="77" w:name="g.-third-party-risk-management"/>
    <w:p>
      <w:pPr>
        <w:pStyle w:val="Heading2"/>
      </w:pPr>
      <w:r>
        <w:t xml:space="preserve">G. Third-Party Risk Management</w:t>
      </w:r>
    </w:p>
    <w:bookmarkStart w:id="76" w:name="the-2023-interagency-framework"/>
    <w:p>
      <w:pPr>
        <w:pStyle w:val="Heading3"/>
      </w:pPr>
      <w:r>
        <w:t xml:space="preserve">1. The 2023 Interagency Framework</w:t>
      </w:r>
    </w:p>
    <w:p>
      <w:pPr>
        <w:pStyle w:val="FirstParagraph"/>
      </w:pPr>
      <w:r>
        <w:t xml:space="preserve">The Interagency Guidance on Third-Party Relationships: Risk Management (88 Fed. Reg. 37920, June 6, 2023), issued jointly as SR 23-4 (Federal Reserve), FIL-29-2023 (FDIC), and OCC Bulletin 2023-17 (OCC), establishes the primary framework. It states:</w:t>
      </w:r>
    </w:p>
    <w:p>
      <w:pPr>
        <w:pStyle w:val="BlockText"/>
      </w:pPr>
      <w:r>
        <w:t xml:space="preserve">“</w:t>
      </w:r>
      <w:r>
        <w:t xml:space="preserve">A banking organization’s board of directors has ultimate responsibility for providing oversight for third-party risk management and holding management accountable. The board also provides clear guidance regarding acceptable risk appetite, approves appropriate policies, and ensures that appropriate procedures and practices have been established.</w:t>
      </w:r>
      <w:r>
        <w:t xml:space="preserve">”</w:t>
      </w:r>
    </w:p>
    <w:p>
      <w:pPr>
        <w:pStyle w:val="FirstParagraph"/>
      </w:pPr>
      <w:r>
        <w:t xml:space="preserve">(</w:t>
      </w:r>
      <w:hyperlink r:id="rId74">
        <w:r>
          <w:rPr>
            <w:rStyle w:val="Hyperlink"/>
            <w:color w:val="0645AD"/>
            <w:u w:val="single"/>
          </w:rPr>
          <w:t xml:space="preserve">88 FR 37920, Interagency Guidance on Third-Party Relationships: Risk Management</w:t>
        </w:r>
      </w:hyperlink>
      <w:r>
        <w:t xml:space="preserve">)</w:t>
      </w:r>
    </w:p>
    <w:p>
      <w:pPr>
        <w:pStyle w:val="BodyText"/>
      </w:pPr>
      <w:r>
        <w:rPr>
          <w:b/>
          <w:bCs/>
        </w:rPr>
        <w:t xml:space="preserve">Board and Committee Responsibilities (Full Board or Designated Committee).</w:t>
      </w:r>
      <w:r>
        <w:t xml:space="preserve"> </w:t>
      </w:r>
      <w:r>
        <w:t xml:space="preserve">The board typically considers: (1) reviewing and approving TPRM policies and risk appetite; (2) reviewing and approving contracts involving higher-risk activities, including critical activities; (3) reviewing management’s reports on TPRM; and (4) holding management accountable. When critical activities are involved, plans may be presented to and approved by the board or a designated committee. (</w:t>
      </w:r>
      <w:hyperlink r:id="rId74">
        <w:r>
          <w:rPr>
            <w:rStyle w:val="Hyperlink"/>
            <w:color w:val="0645AD"/>
            <w:u w:val="single"/>
          </w:rPr>
          <w:t xml:space="preserve">88 FR 37920</w:t>
        </w:r>
      </w:hyperlink>
      <w:r>
        <w:t xml:space="preserve">)</w:t>
      </w:r>
    </w:p>
    <w:p>
      <w:pPr>
        <w:pStyle w:val="BodyText"/>
      </w:pPr>
      <w:r>
        <w:rPr>
          <w:b/>
          <w:bCs/>
        </w:rPr>
        <w:t xml:space="preserve">Evolution of Contract Approval Standard.</w:t>
      </w:r>
      <w:r>
        <w:t xml:space="preserve"> </w:t>
      </w:r>
      <w:r>
        <w:t xml:space="preserve">The 2021 proposed guidance stated the board</w:t>
      </w:r>
      <w:r>
        <w:t xml:space="preserve"> </w:t>
      </w:r>
      <w:r>
        <w:t xml:space="preserve">“</w:t>
      </w:r>
      <w:r>
        <w:t xml:space="preserve">should approve contracts involving critical activities before their execution.</w:t>
      </w:r>
      <w:r>
        <w:t xml:space="preserve">”</w:t>
      </w:r>
      <w:r>
        <w:t xml:space="preserve"> </w:t>
      </w:r>
      <w:r>
        <w:t xml:space="preserve">The final 2023 guidance softened this to</w:t>
      </w:r>
      <w:r>
        <w:t xml:space="preserve"> </w:t>
      </w:r>
      <w:r>
        <w:t xml:space="preserve">“</w:t>
      </w:r>
      <w:r>
        <w:t xml:space="preserve">the board should be aware of and, as appropriate, may approve or delegate approval of contracts involving higher-risk activities,</w:t>
      </w:r>
      <w:r>
        <w:t xml:space="preserve">”</w:t>
      </w:r>
      <w:r>
        <w:t xml:space="preserve"> </w:t>
      </w:r>
      <w:r>
        <w:t xml:space="preserve">reflecting the agencies’ response to comments that the proposed standard implied</w:t>
      </w:r>
      <w:r>
        <w:t xml:space="preserve"> </w:t>
      </w:r>
      <w:r>
        <w:t xml:space="preserve">“</w:t>
      </w:r>
      <w:r>
        <w:t xml:space="preserve">excessive board involvement in day-to-day management activity.</w:t>
      </w:r>
      <w:r>
        <w:t xml:space="preserve">”</w:t>
      </w:r>
      <w:r>
        <w:t xml:space="preserve"> </w:t>
      </w:r>
      <w:r>
        <w:t xml:space="preserve">(</w:t>
      </w:r>
      <w:hyperlink r:id="rId74">
        <w:r>
          <w:rPr>
            <w:rStyle w:val="Hyperlink"/>
            <w:color w:val="0645AD"/>
            <w:u w:val="single"/>
          </w:rPr>
          <w:t xml:space="preserve">88 FR 37920</w:t>
        </w:r>
      </w:hyperlink>
      <w:r>
        <w:t xml:space="preserve">); (</w:t>
      </w:r>
      <w:hyperlink r:id="rId75">
        <w:r>
          <w:rPr>
            <w:rStyle w:val="Hyperlink"/>
            <w:color w:val="0645AD"/>
            <w:u w:val="single"/>
          </w:rPr>
          <w:t xml:space="preserve">86 FR 38182, Proposed Interagency Guidance on Third-Party Relationships</w:t>
        </w:r>
      </w:hyperlink>
      <w:r>
        <w:t xml:space="preserve">)</w:t>
      </w:r>
    </w:p>
    <w:p>
      <w:pPr>
        <w:pStyle w:val="BodyText"/>
      </w:pPr>
      <w:r>
        <w:t xml:space="preserve">The guidance applies to all banking organizations supervised by the agencies, creating consistent board-level expectations across holding companies and IDI subsidiaries.</w:t>
      </w:r>
    </w:p>
    <w:p>
      <w:pPr>
        <w:pStyle w:val="BlockText"/>
      </w:pPr>
      <w:r>
        <w:rPr>
          <w:b/>
          <w:bCs/>
        </w:rPr>
        <w:t xml:space="preserve">⚠ Overlap:</w:t>
      </w:r>
      <w:r>
        <w:t xml:space="preserve"> </w:t>
      </w:r>
      <w:r>
        <w:t xml:space="preserve">SR 13-19/CA 13-21 (as revised by SR 21-4) remains formally active alongside the 2023 interagency guidance, creating concurrent but not identical TPRM governance expectations at the Federal Reserve level.</w:t>
      </w:r>
    </w:p>
    <w:bookmarkEnd w:id="76"/>
    <w:bookmarkEnd w:id="77"/>
    <w:bookmarkStart w:id="82" w:name="h.-incentive-compensation"/>
    <w:p>
      <w:pPr>
        <w:pStyle w:val="Heading2"/>
      </w:pPr>
      <w:r>
        <w:t xml:space="preserve">H. Incentive Compensation</w:t>
      </w:r>
    </w:p>
    <w:bookmarkStart w:id="78" w:name="holding-company-level-2"/>
    <w:p>
      <w:pPr>
        <w:pStyle w:val="Heading3"/>
      </w:pPr>
      <w:r>
        <w:t xml:space="preserve">1. Holding Company Level</w:t>
      </w:r>
    </w:p>
    <w:p>
      <w:pPr>
        <w:pStyle w:val="FirstParagraph"/>
      </w:pPr>
      <w:r>
        <w:rPr>
          <w:b/>
          <w:bCs/>
        </w:rPr>
        <w:t xml:space="preserve">SR 21-3/CA 21-1 (Full Board).</w:t>
      </w:r>
      <w:r>
        <w:t xml:space="preserve"> </w:t>
      </w:r>
      <w:r>
        <w:t xml:space="preserve">Under Attribute 1, performance management and compensation programs are among the significant policies the board must review and approve. Under Attribute 3, the board must oversee and evaluate the development and implementation of compensation programs, approve financial and nonfinancial performance objectives for the CEO and business line executives, and approve nonfinancial performance objectives for the CRO and chief audit executive. (</w:t>
      </w:r>
      <w:hyperlink r:id="rId31">
        <w:r>
          <w:rPr>
            <w:rStyle w:val="Hyperlink"/>
            <w:color w:val="0645AD"/>
            <w:u w:val="single"/>
          </w:rPr>
          <w:t xml:space="preserve">SR 21-3/CA 21-1 Attachment</w:t>
        </w:r>
      </w:hyperlink>
      <w:r>
        <w:t xml:space="preserve">)</w:t>
      </w:r>
    </w:p>
    <w:p>
      <w:pPr>
        <w:pStyle w:val="BodyText"/>
      </w:pPr>
      <w:r>
        <w:rPr>
          <w:b/>
          <w:bCs/>
        </w:rPr>
        <w:t xml:space="preserve">SR 12-17/CA 12-14 (Full Board).</w:t>
      </w:r>
      <w:r>
        <w:t xml:space="preserve"> </w:t>
      </w:r>
      <w:r>
        <w:t xml:space="preserve">The board should</w:t>
      </w:r>
      <w:r>
        <w:t xml:space="preserve"> </w:t>
      </w:r>
      <w:r>
        <w:t xml:space="preserve">“</w:t>
      </w:r>
      <w:r>
        <w:t xml:space="preserve">assign senior managers with the responsibility for ensuring that compensation arrangements and other incentives are consistent with the corporate culture and institutional risk appetite.</w:t>
      </w:r>
      <w:r>
        <w:t xml:space="preserve">”</w:t>
      </w:r>
      <w:r>
        <w:t xml:space="preserve"> </w:t>
      </w:r>
      <w:r>
        <w:t xml:space="preserve">(</w:t>
      </w:r>
      <w:hyperlink r:id="rId22">
        <w:r>
          <w:rPr>
            <w:rStyle w:val="Hyperlink"/>
            <w:color w:val="0645AD"/>
            <w:u w:val="single"/>
          </w:rPr>
          <w:t xml:space="preserve">SR 12-17: Consolidated Supervision Framework</w:t>
        </w:r>
      </w:hyperlink>
      <w:r>
        <w:t xml:space="preserve">)</w:t>
      </w:r>
    </w:p>
    <w:bookmarkEnd w:id="78"/>
    <w:bookmarkStart w:id="80" w:name="idi-subsidiary-level-1"/>
    <w:p>
      <w:pPr>
        <w:pStyle w:val="Heading3"/>
      </w:pPr>
      <w:r>
        <w:t xml:space="preserve">2. IDI Subsidiary Level</w:t>
      </w:r>
    </w:p>
    <w:p>
      <w:pPr>
        <w:pStyle w:val="FirstParagraph"/>
      </w:pPr>
      <w:r>
        <w:rPr>
          <w:b/>
          <w:bCs/>
        </w:rPr>
        <w:t xml:space="preserve">Interagency Guidelines Establishing Standards for Safety and Soundness (Full Board).</w:t>
      </w:r>
      <w:r>
        <w:t xml:space="preserve"> </w:t>
      </w:r>
      <w:r>
        <w:t xml:space="preserve">The guidelines prohibit excessive compensation as an unsafe and unsound practice and require institutions to</w:t>
      </w:r>
      <w:r>
        <w:t xml:space="preserve"> </w:t>
      </w:r>
      <w:r>
        <w:t xml:space="preserve">“</w:t>
      </w:r>
      <w:r>
        <w:t xml:space="preserve">maintain safeguards to prevent the payment of compensation, fees, and benefits that are excessive or that could lead to material financial loss to the institution.</w:t>
      </w:r>
      <w:r>
        <w:t xml:space="preserve">”</w:t>
      </w:r>
      <w:r>
        <w:t xml:space="preserve"> </w:t>
      </w:r>
      <w:r>
        <w:t xml:space="preserve">(</w:t>
      </w:r>
      <w:hyperlink r:id="rId79">
        <w:r>
          <w:rPr>
            <w:rStyle w:val="Hyperlink"/>
            <w:color w:val="0645AD"/>
            <w:u w:val="single"/>
          </w:rPr>
          <w:t xml:space="preserve">OCC Rules, Part 30, Appendix A</w:t>
        </w:r>
      </w:hyperlink>
      <w:r>
        <w:t xml:space="preserve">)</w:t>
      </w:r>
    </w:p>
    <w:p>
      <w:pPr>
        <w:pStyle w:val="BodyText"/>
      </w:pPr>
      <w:r>
        <w:rPr>
          <w:b/>
          <w:bCs/>
        </w:rPr>
        <w:t xml:space="preserve">OCC Heightened Standards (Risk Committee and Audit Committee).</w:t>
      </w:r>
      <w:r>
        <w:t xml:space="preserve"> </w:t>
      </w:r>
      <w:r>
        <w:t xml:space="preserve">The risk committee must approve the appointment, removal, and annual compensation of the CRE. The audit committee must approve the appointment, removal, and annual compensation of the CAE. Compensation programs must be consistent with the risk governance framework. (</w:t>
      </w:r>
      <w:hyperlink r:id="rId47">
        <w:r>
          <w:rPr>
            <w:rStyle w:val="Hyperlink"/>
            <w:color w:val="0645AD"/>
            <w:u w:val="single"/>
          </w:rPr>
          <w:t xml:space="preserve">79 FR 54517, OCC Final Heightened Standards</w:t>
        </w:r>
      </w:hyperlink>
      <w:r>
        <w:t xml:space="preserve">)</w:t>
      </w:r>
    </w:p>
    <w:bookmarkEnd w:id="80"/>
    <w:bookmarkStart w:id="81" w:name="unfinalized-section-956-rulemaking"/>
    <w:p>
      <w:pPr>
        <w:pStyle w:val="Heading3"/>
      </w:pPr>
      <w:r>
        <w:t xml:space="preserve">3. Unfinalized Section 956 Rulemaking</w:t>
      </w:r>
    </w:p>
    <w:p>
      <w:pPr>
        <w:pStyle w:val="FirstParagraph"/>
      </w:pPr>
      <w:r>
        <w:t xml:space="preserve">Section 956 of the Dodd-Frank Act required the federal financial regulatory agencies to adopt regulations or guidance prohibiting incentive-based compensation arrangements that could lead to material financial loss. A proposed rule was reproposed in 2016 but never finalized. The FDIC formally withdrew its portion of the reproposed rule as part of its March 2025 withdrawal. (</w:t>
      </w:r>
      <w:hyperlink r:id="rId44">
        <w:r>
          <w:rPr>
            <w:rStyle w:val="Hyperlink"/>
            <w:color w:val="0645AD"/>
            <w:u w:val="single"/>
          </w:rPr>
          <w:t xml:space="preserve">FDIC Withdraws Proposed Banking Rules</w:t>
        </w:r>
      </w:hyperlink>
      <w:r>
        <w:t xml:space="preserve">)</w:t>
      </w:r>
    </w:p>
    <w:p>
      <w:pPr>
        <w:pStyle w:val="BlockText"/>
      </w:pPr>
      <w:r>
        <w:rPr>
          <w:b/>
          <w:bCs/>
        </w:rPr>
        <w:t xml:space="preserve">⚠ Overlap/Inconsistency:</w:t>
      </w:r>
      <w:r>
        <w:t xml:space="preserve"> </w:t>
      </w:r>
      <w:r>
        <w:t xml:space="preserve">Incentive compensation governance expectations appear in SR 21-3, SR 12-17, the 2010 interagency incentive compensation guidance, the Interagency Safety and Soundness Guidelines, and the OCC’s heightened standards. The</w:t>
      </w:r>
      <w:r>
        <w:t xml:space="preserve"> </w:t>
      </w:r>
      <w:r>
        <w:t xml:space="preserve">“</w:t>
      </w:r>
      <w:r>
        <w:t xml:space="preserve">ensure</w:t>
      </w:r>
      <w:r>
        <w:t xml:space="preserve">”</w:t>
      </w:r>
      <w:r>
        <w:t xml:space="preserve"> </w:t>
      </w:r>
      <w:r>
        <w:t xml:space="preserve">language in SR 12-17 and the outcome-oriented language in the safety and soundness guidelines create tensions with SR 21-3’s oversight model. The OCC’s specific committee-level allocation of CRE and CAE compensation approval is more prescriptive than the Federal Reserve’s holding company-level approach.</w:t>
      </w:r>
    </w:p>
    <w:bookmarkEnd w:id="81"/>
    <w:bookmarkEnd w:id="82"/>
    <w:bookmarkStart w:id="90" w:name="i.-cybersecurity-governance"/>
    <w:p>
      <w:pPr>
        <w:pStyle w:val="Heading2"/>
      </w:pPr>
      <w:r>
        <w:t xml:space="preserve">I. Cybersecurity Governance</w:t>
      </w:r>
    </w:p>
    <w:bookmarkStart w:id="85" w:name="X358f4b874b33120df986f43f50ed075f5899ee1"/>
    <w:p>
      <w:pPr>
        <w:pStyle w:val="Heading3"/>
      </w:pPr>
      <w:r>
        <w:t xml:space="preserve">1. The Interagency Information Security Guidelines</w:t>
      </w:r>
    </w:p>
    <w:p>
      <w:pPr>
        <w:pStyle w:val="FirstParagraph"/>
      </w:pPr>
      <w:r>
        <w:t xml:space="preserve">The Interagency Guidelines Establishing Information Security Standards, codified at 12 CFR Part 225, Appendix F (Federal Reserve, bank holding companies), 12 CFR Part 208, Appendix D-2 (Federal Reserve, state member banks), 12 CFR Part 30, Appendix B (OCC), and 12 CFR Part 364, Appendix B (FDIC), impose three core board-level obligations:</w:t>
      </w:r>
    </w:p>
    <w:p>
      <w:pPr>
        <w:pStyle w:val="Compact"/>
        <w:numPr>
          <w:ilvl w:val="0"/>
          <w:numId w:val="1006"/>
        </w:numPr>
      </w:pPr>
      <w:r>
        <w:t xml:space="preserve">The board or an appropriate committee must</w:t>
      </w:r>
      <w:r>
        <w:t xml:space="preserve"> </w:t>
      </w:r>
      <w:r>
        <w:rPr>
          <w:b/>
          <w:bCs/>
        </w:rPr>
        <w:t xml:space="preserve">approve</w:t>
      </w:r>
      <w:r>
        <w:t xml:space="preserve"> </w:t>
      </w:r>
      <w:r>
        <w:t xml:space="preserve">the institution’s written information security program;</w:t>
      </w:r>
    </w:p>
    <w:p>
      <w:pPr>
        <w:pStyle w:val="Compact"/>
        <w:numPr>
          <w:ilvl w:val="0"/>
          <w:numId w:val="1006"/>
        </w:numPr>
      </w:pPr>
      <w:r>
        <w:t xml:space="preserve">The board must</w:t>
      </w:r>
      <w:r>
        <w:t xml:space="preserve"> </w:t>
      </w:r>
      <w:r>
        <w:rPr>
          <w:b/>
          <w:bCs/>
        </w:rPr>
        <w:t xml:space="preserve">oversee</w:t>
      </w:r>
      <w:r>
        <w:t xml:space="preserve"> </w:t>
      </w:r>
      <w:r>
        <w:t xml:space="preserve">the development, implementation, and maintenance of the program; and</w:t>
      </w:r>
    </w:p>
    <w:p>
      <w:pPr>
        <w:pStyle w:val="Compact"/>
        <w:numPr>
          <w:ilvl w:val="0"/>
          <w:numId w:val="1006"/>
        </w:numPr>
      </w:pPr>
      <w:r>
        <w:t xml:space="preserve">Management must</w:t>
      </w:r>
      <w:r>
        <w:t xml:space="preserve"> </w:t>
      </w:r>
      <w:r>
        <w:rPr>
          <w:b/>
          <w:bCs/>
        </w:rPr>
        <w:t xml:space="preserve">report to the board at least annually</w:t>
      </w:r>
      <w:r>
        <w:t xml:space="preserve"> </w:t>
      </w:r>
      <w:r>
        <w:t xml:space="preserve">on the overall status of the program, discussing material matters including risk assessment, risk management decisions, service provider arrangements, testing results, security breaches, and recommendations for changes.</w:t>
      </w:r>
    </w:p>
    <w:p>
      <w:pPr>
        <w:pStyle w:val="FirstParagraph"/>
      </w:pPr>
      <w:r>
        <w:t xml:space="preserve">(</w:t>
      </w:r>
      <w:hyperlink r:id="rId83">
        <w:r>
          <w:rPr>
            <w:rStyle w:val="Hyperlink"/>
            <w:color w:val="0645AD"/>
            <w:u w:val="single"/>
          </w:rPr>
          <w:t xml:space="preserve">FRS Rules, Part 225, Appendix F</w:t>
        </w:r>
      </w:hyperlink>
      <w:r>
        <w:t xml:space="preserve">); (</w:t>
      </w:r>
      <w:hyperlink r:id="rId84">
        <w:r>
          <w:rPr>
            <w:rStyle w:val="Hyperlink"/>
            <w:color w:val="0645AD"/>
            <w:u w:val="single"/>
          </w:rPr>
          <w:t xml:space="preserve">66 FR 8616, Interagency Guidelines Establishing Standards for Safeguarding Customer Information</w:t>
        </w:r>
      </w:hyperlink>
      <w:r>
        <w:t xml:space="preserve">)</w:t>
      </w:r>
    </w:p>
    <w:p>
      <w:pPr>
        <w:pStyle w:val="BodyText"/>
      </w:pPr>
      <w:r>
        <w:t xml:space="preserve">For holding company subsidiary institutions that adopt an enterprise-wide security program developed at the holding company level,</w:t>
      </w:r>
      <w:r>
        <w:t xml:space="preserve"> </w:t>
      </w:r>
      <w:r>
        <w:t xml:space="preserve">“</w:t>
      </w:r>
      <w:r>
        <w:t xml:space="preserve">the board of directors or an appropriate committee at each subsidiary institution must conduct an independent review to ensure that the program is suitable and complies with the requirements prescribed by the subsidiary’s primary regulator.</w:t>
      </w:r>
      <w:r>
        <w:t xml:space="preserve">”</w:t>
      </w:r>
      <w:r>
        <w:t xml:space="preserve"> </w:t>
      </w:r>
      <w:r>
        <w:t xml:space="preserve">(</w:t>
      </w:r>
      <w:hyperlink r:id="rId84">
        <w:r>
          <w:rPr>
            <w:rStyle w:val="Hyperlink"/>
            <w:color w:val="0645AD"/>
            <w:u w:val="single"/>
          </w:rPr>
          <w:t xml:space="preserve">66 FR 8616</w:t>
        </w:r>
      </w:hyperlink>
      <w:r>
        <w:t xml:space="preserve">)</w:t>
      </w:r>
    </w:p>
    <w:p>
      <w:pPr>
        <w:pStyle w:val="BlockText"/>
      </w:pPr>
      <w:r>
        <w:rPr>
          <w:b/>
          <w:bCs/>
        </w:rPr>
        <w:t xml:space="preserve">⚠ Duplicative:</w:t>
      </w:r>
      <w:r>
        <w:t xml:space="preserve"> </w:t>
      </w:r>
      <w:r>
        <w:t xml:space="preserve">The information security program board approval and annual reporting obligations are substantively identical across the OCC, Federal Reserve, and FDIC codifications, creating structurally duplicative compliance requirements for a Category I GSIB whose board must separately approve the program at both the holding company level and each IDI subsidiary level.</w:t>
      </w:r>
    </w:p>
    <w:bookmarkEnd w:id="85"/>
    <w:bookmarkStart w:id="87" w:name="Xe135ae04dc9e11ed5ff8a3527dec8adc99bf827"/>
    <w:p>
      <w:pPr>
        <w:pStyle w:val="Heading3"/>
      </w:pPr>
      <w:r>
        <w:t xml:space="preserve">2. Computer-Security Incident Notification Rule</w:t>
      </w:r>
    </w:p>
    <w:p>
      <w:pPr>
        <w:pStyle w:val="FirstParagraph"/>
      </w:pPr>
      <w:r>
        <w:t xml:space="preserve">The interagency Computer Security Incident Notification Rule (12 CFR Part 53 (OCC); 12 CFR 225, Subpart N (Board); 12 CFR 304, Subpart C (FDIC)) requires notification to the primary federal regulator within 36 hours of a computer-security incident that rises to the level of a notification incident. While the rule imposes obligations primarily on management, it has implications for board-level cybersecurity governance and oversight. (</w:t>
      </w:r>
      <w:hyperlink r:id="rId86">
        <w:r>
          <w:rPr>
            <w:rStyle w:val="Hyperlink"/>
            <w:color w:val="0645AD"/>
            <w:u w:val="single"/>
          </w:rPr>
          <w:t xml:space="preserve">CA 22-3/SR 22-4, Computer-Security Incident Notification Requirements</w:t>
        </w:r>
      </w:hyperlink>
      <w:r>
        <w:t xml:space="preserve">)</w:t>
      </w:r>
    </w:p>
    <w:bookmarkEnd w:id="87"/>
    <w:bookmarkStart w:id="89" w:name="cat-sunset"/>
    <w:p>
      <w:pPr>
        <w:pStyle w:val="Heading3"/>
      </w:pPr>
      <w:r>
        <w:t xml:space="preserve">3. CAT Sunset</w:t>
      </w:r>
    </w:p>
    <w:p>
      <w:pPr>
        <w:pStyle w:val="FirstParagraph"/>
      </w:pPr>
      <w:r>
        <w:t xml:space="preserve">SR 24-7 (November 2024) superseded SR 15-9, which had established board-level expectations regarding the FFIEC Cybersecurity Assessment Tool. The CAT sunset, effective August 2025, eliminated a specific tool-based supervisory expectation without replacing it with a new board-level cybersecurity governance standard. The Federal Reserve</w:t>
      </w:r>
      <w:r>
        <w:t xml:space="preserve"> </w:t>
      </w:r>
      <w:r>
        <w:t xml:space="preserve">“</w:t>
      </w:r>
      <w:r>
        <w:t xml:space="preserve">does not endorse any particular cybersecurity self-assessment tool</w:t>
      </w:r>
      <w:r>
        <w:t xml:space="preserve">”</w:t>
      </w:r>
      <w:r>
        <w:t xml:space="preserve"> </w:t>
      </w:r>
      <w:r>
        <w:t xml:space="preserve">and takes a</w:t>
      </w:r>
      <w:r>
        <w:t xml:space="preserve"> </w:t>
      </w:r>
      <w:r>
        <w:t xml:space="preserve">“</w:t>
      </w:r>
      <w:r>
        <w:t xml:space="preserve">risk-focused examination approach.</w:t>
      </w:r>
      <w:r>
        <w:t xml:space="preserve">”</w:t>
      </w:r>
      <w:r>
        <w:t xml:space="preserve"> </w:t>
      </w:r>
      <w:r>
        <w:t xml:space="preserve">(</w:t>
      </w:r>
      <w:hyperlink r:id="rId88">
        <w:r>
          <w:rPr>
            <w:rStyle w:val="Hyperlink"/>
            <w:color w:val="0645AD"/>
            <w:u w:val="single"/>
          </w:rPr>
          <w:t xml:space="preserve">SR 24-7: FFIEC Cybersecurity Assessment Tool Sunset Statement</w:t>
        </w:r>
      </w:hyperlink>
      <w:r>
        <w:t xml:space="preserve">)</w:t>
      </w:r>
    </w:p>
    <w:bookmarkEnd w:id="89"/>
    <w:bookmarkEnd w:id="90"/>
    <w:bookmarkStart w:id="92" w:name="j.-bsaaml-program-oversight"/>
    <w:p>
      <w:pPr>
        <w:pStyle w:val="Heading2"/>
      </w:pPr>
      <w:r>
        <w:t xml:space="preserve">J. BSA/AML Program Oversight</w:t>
      </w:r>
    </w:p>
    <w:p>
      <w:pPr>
        <w:pStyle w:val="FirstParagraph"/>
      </w:pPr>
      <w:r>
        <w:rPr>
          <w:b/>
          <w:bCs/>
        </w:rPr>
        <w:t xml:space="preserve">SR 21-3/CA 21-1 (Full Board).</w:t>
      </w:r>
      <w:r>
        <w:t xml:space="preserve"> </w:t>
      </w:r>
      <w:r>
        <w:t xml:space="preserve">The compliance risk management program, which includes BSA/AML compliance, is among the significant policies the board must review and approve under Attribute 1. The guidance notes that U.S. laws include, without limitation, the Bank Secrecy Act and the Foreign Corrupt Practices Act. (</w:t>
      </w:r>
      <w:hyperlink r:id="rId31">
        <w:r>
          <w:rPr>
            <w:rStyle w:val="Hyperlink"/>
            <w:color w:val="0645AD"/>
            <w:u w:val="single"/>
          </w:rPr>
          <w:t xml:space="preserve">SR 21-3/CA 21-1 Attachment</w:t>
        </w:r>
      </w:hyperlink>
      <w:r>
        <w:t xml:space="preserve">)</w:t>
      </w:r>
    </w:p>
    <w:p>
      <w:pPr>
        <w:pStyle w:val="BodyText"/>
      </w:pPr>
      <w:r>
        <w:rPr>
          <w:b/>
          <w:bCs/>
        </w:rPr>
        <w:t xml:space="preserve">Customer Identification Program Rule, 68 FR 25090 (Full Board).</w:t>
      </w:r>
      <w:r>
        <w:t xml:space="preserve"> </w:t>
      </w:r>
      <w:r>
        <w:t xml:space="preserve">The board of each bank must approve the bank’s CIP, which must be appropriate for the bank’s size, location, and type of business. Board approval must be noted in the minutes. While the</w:t>
      </w:r>
      <w:r>
        <w:t xml:space="preserve"> </w:t>
      </w:r>
      <w:r>
        <w:t xml:space="preserve">“</w:t>
      </w:r>
      <w:r>
        <w:t xml:space="preserve">responsibility for the development, implementation, and day-to-day administration of the CIP may be delegated to bank management,</w:t>
      </w:r>
      <w:r>
        <w:t xml:space="preserve">”</w:t>
      </w:r>
      <w:r>
        <w:t xml:space="preserve"> </w:t>
      </w:r>
      <w:r>
        <w:t xml:space="preserve">the board’s oversight responsibility cannot be delegated. (</w:t>
      </w:r>
      <w:hyperlink r:id="rId91">
        <w:r>
          <w:rPr>
            <w:rStyle w:val="Hyperlink"/>
            <w:color w:val="0645AD"/>
            <w:u w:val="single"/>
          </w:rPr>
          <w:t xml:space="preserve">68 FR 25090, Customer Identification Programs for Banks</w:t>
        </w:r>
      </w:hyperlink>
      <w:r>
        <w:t xml:space="preserve">)</w:t>
      </w:r>
    </w:p>
    <w:bookmarkEnd w:id="92"/>
    <w:bookmarkStart w:id="93" w:name="k.-consumer-compliance-oversight"/>
    <w:p>
      <w:pPr>
        <w:pStyle w:val="Heading2"/>
      </w:pPr>
      <w:r>
        <w:t xml:space="preserve">K. Consumer Compliance Oversight</w:t>
      </w:r>
    </w:p>
    <w:p>
      <w:pPr>
        <w:pStyle w:val="FirstParagraph"/>
      </w:pPr>
      <w:r>
        <w:rPr>
          <w:b/>
          <w:bCs/>
        </w:rPr>
        <w:t xml:space="preserve">SR 08-8/CA 08-11 (As Revised by SR 21-4) (Full Board).</w:t>
      </w:r>
      <w:r>
        <w:t xml:space="preserve"> </w:t>
      </w:r>
      <w:r>
        <w:t xml:space="preserve">The revision clarified that senior management, rather than the board, is responsible for implementing and enforcing compliance policies and standards. The board, in contrast, should develop, review, approve, and monitor compliance strategy, and should hold management accountable. (</w:t>
      </w:r>
      <w:hyperlink r:id="rId39">
        <w:r>
          <w:rPr>
            <w:rStyle w:val="Hyperlink"/>
            <w:color w:val="0645AD"/>
            <w:u w:val="single"/>
          </w:rPr>
          <w:t xml:space="preserve">SR 21-4/CA 21-2 Attachment</w:t>
        </w:r>
      </w:hyperlink>
      <w:r>
        <w:t xml:space="preserve">)</w:t>
      </w:r>
    </w:p>
    <w:p>
      <w:pPr>
        <w:pStyle w:val="BodyText"/>
      </w:pPr>
      <w:r>
        <w:rPr>
          <w:b/>
          <w:bCs/>
        </w:rPr>
        <w:t xml:space="preserve">SR 21-3/CA 21-1 (Full Board).</w:t>
      </w:r>
      <w:r>
        <w:t xml:space="preserve"> </w:t>
      </w:r>
      <w:r>
        <w:t xml:space="preserve">The compliance risk management program is among the significant policies the board must review and approve. An effective board executes its responsibilities</w:t>
      </w:r>
      <w:r>
        <w:t xml:space="preserve"> </w:t>
      </w:r>
      <w:r>
        <w:t xml:space="preserve">“</w:t>
      </w:r>
      <w:r>
        <w:t xml:space="preserve">consistent with safety and soundness and in compliance with laws and regulations, including those related to consumer protection.</w:t>
      </w:r>
      <w:r>
        <w:t xml:space="preserve">”</w:t>
      </w:r>
      <w:r>
        <w:t xml:space="preserve"> </w:t>
      </w:r>
      <w:r>
        <w:t xml:space="preserve">(</w:t>
      </w:r>
      <w:hyperlink r:id="rId31">
        <w:r>
          <w:rPr>
            <w:rStyle w:val="Hyperlink"/>
            <w:color w:val="0645AD"/>
            <w:u w:val="single"/>
          </w:rPr>
          <w:t xml:space="preserve">SR 21-3/CA 21-1 Attachment</w:t>
        </w:r>
      </w:hyperlink>
      <w:r>
        <w:t xml:space="preserve">)</w:t>
      </w:r>
    </w:p>
    <w:p>
      <w:pPr>
        <w:pStyle w:val="BodyText"/>
      </w:pPr>
      <w:r>
        <w:rPr>
          <w:b/>
          <w:bCs/>
        </w:rPr>
        <w:t xml:space="preserve">SR 12-17/CA 12-14 (Full Board).</w:t>
      </w:r>
      <w:r>
        <w:t xml:space="preserve"> </w:t>
      </w:r>
      <w:r>
        <w:t xml:space="preserve">The board is expected to</w:t>
      </w:r>
      <w:r>
        <w:t xml:space="preserve"> </w:t>
      </w:r>
      <w:r>
        <w:t xml:space="preserve">“</w:t>
      </w:r>
      <w:r>
        <w:t xml:space="preserve">maintain a corporate culture that emphasizes the importance of compliance with laws and regulations and consumer protection.</w:t>
      </w:r>
      <w:r>
        <w:t xml:space="preserve">”</w:t>
      </w:r>
      <w:r>
        <w:t xml:space="preserve"> </w:t>
      </w:r>
      <w:r>
        <w:t xml:space="preserve">This</w:t>
      </w:r>
      <w:r>
        <w:t xml:space="preserve"> </w:t>
      </w:r>
      <w:r>
        <w:t xml:space="preserve">“</w:t>
      </w:r>
      <w:r>
        <w:t xml:space="preserve">maintain</w:t>
      </w:r>
      <w:r>
        <w:t xml:space="preserve">”</w:t>
      </w:r>
      <w:r>
        <w:t xml:space="preserve"> </w:t>
      </w:r>
      <w:r>
        <w:t xml:space="preserve">language may be inconsistent with SR 21-3’s oversight approach. (</w:t>
      </w:r>
      <w:hyperlink r:id="rId22">
        <w:r>
          <w:rPr>
            <w:rStyle w:val="Hyperlink"/>
            <w:color w:val="0645AD"/>
            <w:u w:val="single"/>
          </w:rPr>
          <w:t xml:space="preserve">SR 12-17: Consolidated Supervision Framework</w:t>
        </w:r>
      </w:hyperlink>
      <w:r>
        <w:t xml:space="preserve">)</w:t>
      </w:r>
    </w:p>
    <w:bookmarkEnd w:id="93"/>
    <w:bookmarkStart w:id="97" w:name="l.-internal-audit-governance"/>
    <w:p>
      <w:pPr>
        <w:pStyle w:val="Heading2"/>
      </w:pPr>
      <w:r>
        <w:t xml:space="preserve">L. Internal Audit Governance</w:t>
      </w:r>
    </w:p>
    <w:p>
      <w:pPr>
        <w:pStyle w:val="FirstParagraph"/>
      </w:pPr>
      <w:r>
        <w:rPr>
          <w:b/>
          <w:bCs/>
        </w:rPr>
        <w:t xml:space="preserve">SR 21-3/CA 21-1 (Audit Committee).</w:t>
      </w:r>
      <w:r>
        <w:t xml:space="preserve"> </w:t>
      </w:r>
      <w:r>
        <w:t xml:space="preserve">An effective audit committee must: meet directly with the chief audit executive; support internal audit’s budget, staffing, and systems of internal controls; and review the status of actions recommended by internal and external auditors to remediate material or persistent deficiencies. (</w:t>
      </w:r>
      <w:hyperlink r:id="rId31">
        <w:r>
          <w:rPr>
            <w:rStyle w:val="Hyperlink"/>
            <w:color w:val="0645AD"/>
            <w:u w:val="single"/>
          </w:rPr>
          <w:t xml:space="preserve">SR 21-3/CA 21-1 Attachment</w:t>
        </w:r>
      </w:hyperlink>
      <w:r>
        <w:t xml:space="preserve">)</w:t>
      </w:r>
    </w:p>
    <w:p>
      <w:pPr>
        <w:pStyle w:val="BodyText"/>
      </w:pPr>
      <w:r>
        <w:rPr>
          <w:b/>
          <w:bCs/>
        </w:rPr>
        <w:t xml:space="preserve">12 CFR Part 363 (Audit Committee, IDI Level).</w:t>
      </w:r>
      <w:r>
        <w:t xml:space="preserve"> </w:t>
      </w:r>
      <w:r>
        <w:t xml:space="preserve">Each IDI with $500 million or more in total assets must establish an audit committee. For banks with $1 billion or more in total assets, all audit committee members must be outside directors independent of management. An</w:t>
      </w:r>
      <w:r>
        <w:t xml:space="preserve"> </w:t>
      </w:r>
      <w:r>
        <w:t xml:space="preserve">“</w:t>
      </w:r>
      <w:r>
        <w:t xml:space="preserve">outside director</w:t>
      </w:r>
      <w:r>
        <w:t xml:space="preserve">”</w:t>
      </w:r>
      <w:r>
        <w:t xml:space="preserve"> </w:t>
      </w:r>
      <w:r>
        <w:t xml:space="preserve">is defined as one who is not, and within the preceding fiscal year was not, an officer or employee of the bank or any of its affiliates. (</w:t>
      </w:r>
      <w:hyperlink r:id="rId94">
        <w:r>
          <w:rPr>
            <w:rStyle w:val="Hyperlink"/>
            <w:color w:val="0645AD"/>
            <w:u w:val="single"/>
          </w:rPr>
          <w:t xml:space="preserve">FDIC Proposes Corporate Governance and Risk Management Guidelines, Goodwin Law (November 2023)</w:t>
        </w:r>
      </w:hyperlink>
      <w:r>
        <w:t xml:space="preserve">)</w:t>
      </w:r>
    </w:p>
    <w:p>
      <w:pPr>
        <w:pStyle w:val="BodyText"/>
      </w:pPr>
      <w:r>
        <w:rPr>
          <w:b/>
          <w:bCs/>
        </w:rPr>
        <w:t xml:space="preserve">OCC Heightened Standards (Audit Committee, IDI Level).</w:t>
      </w:r>
      <w:r>
        <w:t xml:space="preserve"> </w:t>
      </w:r>
      <w:r>
        <w:t xml:space="preserve">The audit committee must approve the CAE’s appointment, removal, and annual compensation; the CAE must have unrestricted access to the board’s audit committee independent of the CEO. (</w:t>
      </w:r>
      <w:hyperlink r:id="rId47">
        <w:r>
          <w:rPr>
            <w:rStyle w:val="Hyperlink"/>
            <w:color w:val="0645AD"/>
            <w:u w:val="single"/>
          </w:rPr>
          <w:t xml:space="preserve">79 FR 54517, OCC Final Heightened Standards</w:t>
        </w:r>
      </w:hyperlink>
      <w:r>
        <w:t xml:space="preserve">)</w:t>
      </w:r>
    </w:p>
    <w:p>
      <w:pPr>
        <w:pStyle w:val="BodyText"/>
      </w:pPr>
      <w:r>
        <w:rPr>
          <w:b/>
          <w:bCs/>
        </w:rPr>
        <w:t xml:space="preserve">Interagency Safety and Soundness Guidelines (Full Board or Audit Committee).</w:t>
      </w:r>
      <w:r>
        <w:t xml:space="preserve"> </w:t>
      </w:r>
      <w:r>
        <w:t xml:space="preserve">Each IDI’s audit committee or board of directors must review the effectiveness of the internal audit systems. (</w:t>
      </w:r>
      <w:hyperlink r:id="rId79">
        <w:r>
          <w:rPr>
            <w:rStyle w:val="Hyperlink"/>
            <w:color w:val="0645AD"/>
            <w:u w:val="single"/>
          </w:rPr>
          <w:t xml:space="preserve">OCC Rules, Part 30, Appendix A</w:t>
        </w:r>
      </w:hyperlink>
      <w:r>
        <w:t xml:space="preserve">); (</w:t>
      </w:r>
      <w:hyperlink r:id="rId95">
        <w:r>
          <w:rPr>
            <w:rStyle w:val="Hyperlink"/>
            <w:color w:val="0645AD"/>
            <w:u w:val="single"/>
          </w:rPr>
          <w:t xml:space="preserve">FRS Rules, Part 208, Appendix D-1</w:t>
        </w:r>
      </w:hyperlink>
      <w:r>
        <w:t xml:space="preserve">); (</w:t>
      </w:r>
      <w:hyperlink r:id="rId96">
        <w:r>
          <w:rPr>
            <w:rStyle w:val="Hyperlink"/>
            <w:color w:val="0645AD"/>
            <w:u w:val="single"/>
          </w:rPr>
          <w:t xml:space="preserve">FDIC Rules, Part 364, Appendix A</w:t>
        </w:r>
      </w:hyperlink>
      <w:r>
        <w:t xml:space="preserve">)</w:t>
      </w:r>
    </w:p>
    <w:p>
      <w:pPr>
        <w:pStyle w:val="BlockText"/>
      </w:pPr>
      <w:r>
        <w:rPr>
          <w:b/>
          <w:bCs/>
        </w:rPr>
        <w:t xml:space="preserve">⚠ Duplicative:</w:t>
      </w:r>
      <w:r>
        <w:t xml:space="preserve"> </w:t>
      </w:r>
      <w:r>
        <w:t xml:space="preserve">The foundational audit oversight obligation (review effectiveness of internal audit systems) appears identically across three separate regulatory codifications. CAE hiring and compensation approval obligations appear in both Federal Reserve guidance (SR 13-1/CA 13-1) and the OCC heightened standards, creating parallel requirements from two agencies applicable simultaneously to IDI subsidiaries of Category I GSIBs.</w:t>
      </w:r>
    </w:p>
    <w:bookmarkEnd w:id="97"/>
    <w:bookmarkEnd w:id="98"/>
    <w:bookmarkStart w:id="105" w:name="vii.-risk-committee-requirements"/>
    <w:p>
      <w:pPr>
        <w:pStyle w:val="Heading1"/>
      </w:pPr>
      <w:r>
        <w:t xml:space="preserve">VII. Risk Committee Requirements</w:t>
      </w:r>
    </w:p>
    <w:bookmarkStart w:id="99" w:name="a.-statutory-foundation"/>
    <w:p>
      <w:pPr>
        <w:pStyle w:val="Heading2"/>
      </w:pPr>
      <w:r>
        <w:t xml:space="preserve">A. Statutory Foundation</w:t>
      </w:r>
    </w:p>
    <w:p>
      <w:pPr>
        <w:pStyle w:val="FirstParagraph"/>
      </w:pPr>
      <w:r>
        <w:t xml:space="preserve">Section 165(h) of the Dodd-Frank Act requires the Board to issue regulations mandating that each publicly traded bank holding company with total consolidated assets of not less than $10 billion establish a risk committee responsible for the oversight of enterprise-wide risk management practices, including such number of independent directors as the Board determines appropriate and at least one risk management expert. (</w:t>
      </w:r>
      <w:hyperlink r:id="rId63">
        <w:r>
          <w:rPr>
            <w:rStyle w:val="Hyperlink"/>
            <w:color w:val="0645AD"/>
            <w:u w:val="single"/>
          </w:rPr>
          <w:t xml:space="preserve">12 U.S.C. § 5365</w:t>
        </w:r>
      </w:hyperlink>
      <w:r>
        <w:t xml:space="preserve">)</w:t>
      </w:r>
    </w:p>
    <w:bookmarkEnd w:id="99"/>
    <w:bookmarkStart w:id="103" w:name="X9c26cab8a5ffac88c689e52b1d64a8ea48b1f5b"/>
    <w:p>
      <w:pPr>
        <w:pStyle w:val="Heading2"/>
      </w:pPr>
      <w:r>
        <w:t xml:space="preserve">B. Regulation YY Requirements (Holding Company Level)</w:t>
      </w:r>
    </w:p>
    <w:bookmarkStart w:id="101" w:name="subpart-c-bhcs-with-50-billion-or-more"/>
    <w:p>
      <w:pPr>
        <w:pStyle w:val="Heading3"/>
      </w:pPr>
      <w:r>
        <w:t xml:space="preserve">Subpart C: BHCs with $50 Billion or More</w:t>
      </w:r>
    </w:p>
    <w:p>
      <w:pPr>
        <w:pStyle w:val="FirstParagraph"/>
      </w:pPr>
      <w:r>
        <w:t xml:space="preserve">Under 12 CFR 252.22, the risk committee must: (1) approve and periodically review risk management policies of global operations; (2) oversee the operation of the global risk management framework; (3) have a formal, written charter approved by the board; (4) be an independent committee with sole and exclusive function responsibility for risk management; (5) report directly to the board; (6) receive and review regular reports from the CRO on not less than a quarterly basis; and (7) meet at least quarterly. (</w:t>
      </w:r>
      <w:hyperlink r:id="rId100">
        <w:r>
          <w:rPr>
            <w:rStyle w:val="Hyperlink"/>
            <w:color w:val="0645AD"/>
            <w:u w:val="single"/>
          </w:rPr>
          <w:t xml:space="preserve">12 CFR 252.22, Risk Committee Requirement</w:t>
        </w:r>
      </w:hyperlink>
      <w:r>
        <w:t xml:space="preserve">)</w:t>
      </w:r>
    </w:p>
    <w:p>
      <w:pPr>
        <w:pStyle w:val="BodyText"/>
      </w:pPr>
      <w:r>
        <w:t xml:space="preserve">The risk committee must include at least one member with experience in identifying, assessing, and managing risk exposures of large, complex financial firms and must be chaired by an independent director. At least one member must not be an officer or employee of the bank holding company and must not have been an officer or employee during the previous three years. (</w:t>
      </w:r>
      <w:hyperlink r:id="rId100">
        <w:r>
          <w:rPr>
            <w:rStyle w:val="Hyperlink"/>
            <w:color w:val="0645AD"/>
            <w:u w:val="single"/>
          </w:rPr>
          <w:t xml:space="preserve">12 CFR 252.22</w:t>
        </w:r>
      </w:hyperlink>
      <w:r>
        <w:t xml:space="preserve">)</w:t>
      </w:r>
    </w:p>
    <w:bookmarkEnd w:id="101"/>
    <w:bookmarkStart w:id="102" w:name="subpart-d-bhcs-with-100-billion-or-more"/>
    <w:p>
      <w:pPr>
        <w:pStyle w:val="Heading3"/>
      </w:pPr>
      <w:r>
        <w:t xml:space="preserve">Subpart D: BHCs with $100 Billion or More</w:t>
      </w:r>
    </w:p>
    <w:p>
      <w:pPr>
        <w:pStyle w:val="FirstParagraph"/>
      </w:pPr>
      <w:r>
        <w:t xml:space="preserve">12 CFR 252.33(a) requires that the risk committee be responsible for the oversight of the enterprise-wide risk management policies of the bank holding company’s global operations and oversee the operation of the company’s global risk management framework. This section establishes the regulatory floor for risk committee functions that SR 21-3 elaborates upon in Attribute 4. (</w:t>
      </w:r>
      <w:hyperlink r:id="rId31">
        <w:r>
          <w:rPr>
            <w:rStyle w:val="Hyperlink"/>
            <w:color w:val="0645AD"/>
            <w:u w:val="single"/>
          </w:rPr>
          <w:t xml:space="preserve">SR 21-3/CA 21-1 Attachment</w:t>
        </w:r>
      </w:hyperlink>
      <w:r>
        <w:t xml:space="preserve">)</w:t>
      </w:r>
    </w:p>
    <w:bookmarkEnd w:id="102"/>
    <w:bookmarkEnd w:id="103"/>
    <w:bookmarkStart w:id="104" w:name="c.-idi-subsidiary-level"/>
    <w:p>
      <w:pPr>
        <w:pStyle w:val="Heading2"/>
      </w:pPr>
      <w:r>
        <w:t xml:space="preserve">C. IDI Subsidiary Level</w:t>
      </w:r>
    </w:p>
    <w:p>
      <w:pPr>
        <w:pStyle w:val="FirstParagraph"/>
      </w:pPr>
      <w:r>
        <w:t xml:space="preserve">The OCC’s heightened standards require covered banks to maintain a risk committee responsible for overseeing the risk governance framework. The risk committee must approve the CRE’s appointment, removal, and compensation, and must receive at least quarterly reports on the bank’s risk profile relative to its risk appetite. (</w:t>
      </w:r>
      <w:hyperlink r:id="rId47">
        <w:r>
          <w:rPr>
            <w:rStyle w:val="Hyperlink"/>
            <w:color w:val="0645AD"/>
            <w:u w:val="single"/>
          </w:rPr>
          <w:t xml:space="preserve">79 FR 54517, OCC Final Heightened Standards</w:t>
        </w:r>
      </w:hyperlink>
      <w:r>
        <w:t xml:space="preserve">)</w:t>
      </w:r>
    </w:p>
    <w:bookmarkEnd w:id="104"/>
    <w:bookmarkEnd w:id="105"/>
    <w:bookmarkStart w:id="111" w:name="X8175bcdbffaf884c8d251bab703554ed7b29dc6"/>
    <w:p>
      <w:pPr>
        <w:pStyle w:val="Heading1"/>
      </w:pPr>
      <w:r>
        <w:t xml:space="preserve">VIII. Board Composition, Independence, and Director Qualifications</w:t>
      </w:r>
    </w:p>
    <w:bookmarkStart w:id="107" w:name="a.-federal-reserve-expectations"/>
    <w:p>
      <w:pPr>
        <w:pStyle w:val="Heading2"/>
      </w:pPr>
      <w:r>
        <w:t xml:space="preserve">A. Federal Reserve Expectations</w:t>
      </w:r>
    </w:p>
    <w:p>
      <w:pPr>
        <w:pStyle w:val="FirstParagraph"/>
      </w:pPr>
      <w:r>
        <w:rPr>
          <w:b/>
          <w:bCs/>
        </w:rPr>
        <w:t xml:space="preserve">SR 21-3/CA 21-1 (Full Board).</w:t>
      </w:r>
      <w:r>
        <w:t xml:space="preserve"> </w:t>
      </w:r>
      <w:r>
        <w:t xml:space="preserve">Under Attribute 5, an effective board establishes a process to identify and select nominees with a</w:t>
      </w:r>
      <w:r>
        <w:t xml:space="preserve"> </w:t>
      </w:r>
      <w:r>
        <w:t xml:space="preserve">“</w:t>
      </w:r>
      <w:r>
        <w:t xml:space="preserve">mix of skills, knowledge, experience, and perspectives,</w:t>
      </w:r>
      <w:r>
        <w:t xml:space="preserve">”</w:t>
      </w:r>
      <w:r>
        <w:t xml:space="preserve"> </w:t>
      </w:r>
      <w:r>
        <w:t xml:space="preserve">considers a diverse pool, evaluates its own strengths and weaknesses on an ongoing basis, and maintains capacity for third-party advisors. Under Attribute 3, independent directors must be</w:t>
      </w:r>
      <w:r>
        <w:t xml:space="preserve"> </w:t>
      </w:r>
      <w:r>
        <w:t xml:space="preserve">“</w:t>
      </w:r>
      <w:r>
        <w:t xml:space="preserve">sufficiently empowered to serve as an effective check</w:t>
      </w:r>
      <w:r>
        <w:t xml:space="preserve">”</w:t>
      </w:r>
      <w:r>
        <w:t xml:space="preserve"> </w:t>
      </w:r>
      <w:r>
        <w:t xml:space="preserve">against executive directors and senior management. The guidance does not specify a minimum number of independent directors. (</w:t>
      </w:r>
      <w:hyperlink r:id="rId31">
        <w:r>
          <w:rPr>
            <w:rStyle w:val="Hyperlink"/>
            <w:color w:val="0645AD"/>
            <w:u w:val="single"/>
          </w:rPr>
          <w:t xml:space="preserve">SR 21-3/CA 21-1 Attachment</w:t>
        </w:r>
      </w:hyperlink>
      <w:r>
        <w:t xml:space="preserve">)</w:t>
      </w:r>
    </w:p>
    <w:p>
      <w:pPr>
        <w:pStyle w:val="BodyText"/>
      </w:pPr>
      <w:r>
        <w:rPr>
          <w:b/>
          <w:bCs/>
        </w:rPr>
        <w:t xml:space="preserve">CBEM Section 4000.1.</w:t>
      </w:r>
      <w:r>
        <w:t xml:space="preserve"> </w:t>
      </w:r>
      <w:r>
        <w:t xml:space="preserve">Directors should have</w:t>
      </w:r>
      <w:r>
        <w:t xml:space="preserve"> </w:t>
      </w:r>
      <w:r>
        <w:t xml:space="preserve">“</w:t>
      </w:r>
      <w:r>
        <w:t xml:space="preserve">a clear understanding of the types of risks to which their institutions are exposed.</w:t>
      </w:r>
      <w:r>
        <w:t xml:space="preserve">”</w:t>
      </w:r>
      <w:r>
        <w:t xml:space="preserve"> </w:t>
      </w:r>
      <w:r>
        <w:t xml:space="preserve">The audit committee should consist only of outside directors. The board should not be</w:t>
      </w:r>
      <w:r>
        <w:t xml:space="preserve"> </w:t>
      </w:r>
      <w:r>
        <w:t xml:space="preserve">“</w:t>
      </w:r>
      <w:r>
        <w:t xml:space="preserve">excessively influenced by management, a single director, or a shareholder.</w:t>
      </w:r>
      <w:r>
        <w:t xml:space="preserve">”</w:t>
      </w:r>
      <w:r>
        <w:t xml:space="preserve"> </w:t>
      </w:r>
      <w:r>
        <w:t xml:space="preserve">(</w:t>
      </w:r>
      <w:hyperlink r:id="rId106">
        <w:r>
          <w:rPr>
            <w:rStyle w:val="Hyperlink"/>
            <w:color w:val="0645AD"/>
            <w:u w:val="single"/>
          </w:rPr>
          <w:t xml:space="preserve">Federal Reserve Commercial Bank Examination Manual, Section 4000</w:t>
        </w:r>
      </w:hyperlink>
      <w:r>
        <w:t xml:space="preserve">)</w:t>
      </w:r>
    </w:p>
    <w:bookmarkEnd w:id="107"/>
    <w:bookmarkStart w:id="108" w:name="X44364c9c0d2e9ffd39edd35979dec76ad8780ef"/>
    <w:p>
      <w:pPr>
        <w:pStyle w:val="Heading2"/>
      </w:pPr>
      <w:r>
        <w:t xml:space="preserve">B. OCC and FDIC Expectations at the IDI Level</w:t>
      </w:r>
    </w:p>
    <w:p>
      <w:pPr>
        <w:pStyle w:val="FirstParagraph"/>
      </w:pPr>
      <w:r>
        <w:rPr>
          <w:b/>
          <w:bCs/>
        </w:rPr>
        <w:t xml:space="preserve">OCC Heightened Standards:</w:t>
      </w:r>
      <w:r>
        <w:t xml:space="preserve"> </w:t>
      </w:r>
      <w:r>
        <w:t xml:space="preserve">At least two independent directors are required. The board must establish a formal ongoing training program for directors and must conduct an annual self-assessment. (</w:t>
      </w:r>
      <w:hyperlink r:id="rId47">
        <w:r>
          <w:rPr>
            <w:rStyle w:val="Hyperlink"/>
            <w:color w:val="0645AD"/>
            <w:u w:val="single"/>
          </w:rPr>
          <w:t xml:space="preserve">79 FR 54517, OCC Final Heightened Standards</w:t>
        </w:r>
      </w:hyperlink>
      <w:r>
        <w:t xml:space="preserve">)</w:t>
      </w:r>
    </w:p>
    <w:p>
      <w:pPr>
        <w:pStyle w:val="BodyText"/>
      </w:pPr>
      <w:r>
        <w:rPr>
          <w:b/>
          <w:bCs/>
        </w:rPr>
        <w:t xml:space="preserve">12 CFR Part 363:</w:t>
      </w:r>
      <w:r>
        <w:t xml:space="preserve"> </w:t>
      </w:r>
      <w:r>
        <w:t xml:space="preserve">Audit committee independence requirements are tiered by asset size. For banks with $1 billion or more in total assets, all audit committee members must be outside directors independent of management. (</w:t>
      </w:r>
      <w:hyperlink r:id="rId94">
        <w:r>
          <w:rPr>
            <w:rStyle w:val="Hyperlink"/>
            <w:color w:val="0645AD"/>
            <w:u w:val="single"/>
          </w:rPr>
          <w:t xml:space="preserve">FDIC Proposes Corporate Governance and Risk Management Guidelines, Goodwin Law (November 2023)</w:t>
        </w:r>
      </w:hyperlink>
      <w:r>
        <w:t xml:space="preserve">)</w:t>
      </w:r>
    </w:p>
    <w:p>
      <w:pPr>
        <w:pStyle w:val="BlockText"/>
      </w:pPr>
      <w:r>
        <w:rPr>
          <w:b/>
          <w:bCs/>
        </w:rPr>
        <w:t xml:space="preserve">⚠ Cross-Agency Divergence:</w:t>
      </w:r>
      <w:r>
        <w:t xml:space="preserve"> </w:t>
      </w:r>
      <w:r>
        <w:t xml:space="preserve">Independence requirements range from zero specified minimum (Federal Reserve SR 21-3), to two independent directors (OCC heightened standards), to majority independence (FDIC’s now-withdrawn proposal). These divergent standards apply to different entities within the same corporate family, creating structural inconsistency.</w:t>
      </w:r>
    </w:p>
    <w:bookmarkEnd w:id="108"/>
    <w:bookmarkStart w:id="110" w:name="c.-director-prior-approval-requirements"/>
    <w:p>
      <w:pPr>
        <w:pStyle w:val="Heading2"/>
      </w:pPr>
      <w:r>
        <w:t xml:space="preserve">C. Director Prior-Approval Requirements</w:t>
      </w:r>
    </w:p>
    <w:p>
      <w:pPr>
        <w:pStyle w:val="FirstParagraph"/>
      </w:pPr>
      <w:r>
        <w:t xml:space="preserve">Section 32 of the FDIA (12 U.S.C. 1831i) establishes a statutory prior-notice requirement for director additions at IDIs in troubled condition. The appropriate federal banking agency may disapprove a proposed director if the agency finds that the competence, experience, character, or integrity of the individual indicates that it would not be in the best interests of the depositors or the public for the individual to serve. (</w:t>
      </w:r>
      <w:hyperlink r:id="rId109">
        <w:r>
          <w:rPr>
            <w:rStyle w:val="Hyperlink"/>
            <w:color w:val="0645AD"/>
            <w:u w:val="single"/>
          </w:rPr>
          <w:t xml:space="preserve">FDIA Section 32</w:t>
        </w:r>
      </w:hyperlink>
      <w:r>
        <w:t xml:space="preserve">)</w:t>
      </w:r>
    </w:p>
    <w:bookmarkEnd w:id="110"/>
    <w:bookmarkEnd w:id="111"/>
    <w:bookmarkStart w:id="119" w:name="ix.-safety-and-soundness-generally"/>
    <w:p>
      <w:pPr>
        <w:pStyle w:val="Heading1"/>
      </w:pPr>
      <w:r>
        <w:t xml:space="preserve">IX. Safety and Soundness Generally</w:t>
      </w:r>
    </w:p>
    <w:bookmarkStart w:id="115" w:name="a.-statutory-foundations"/>
    <w:p>
      <w:pPr>
        <w:pStyle w:val="Heading2"/>
      </w:pPr>
      <w:r>
        <w:t xml:space="preserve">A. Statutory Foundations</w:t>
      </w:r>
    </w:p>
    <w:p>
      <w:pPr>
        <w:pStyle w:val="FirstParagraph"/>
      </w:pPr>
      <w:r>
        <w:rPr>
          <w:b/>
          <w:bCs/>
        </w:rPr>
        <w:t xml:space="preserve">FDIA Section 39 (12 U.S.C. 1831p-1).</w:t>
      </w:r>
      <w:r>
        <w:t xml:space="preserve"> </w:t>
      </w:r>
      <w:r>
        <w:t xml:space="preserve">Requires each federal banking agency to prescribe standards relating to internal controls, information systems, internal audit systems, loan documentation, credit underwriting, interest rate exposure, asset growth, and compensation. Prohibits excessive compensation and compensation that could lead to material financial loss as unsafe and unsound practices. Expressly constrains agencies from prescribing specific compensation levels. Establishes a compliance plan and correction order enforcement mechanism. (</w:t>
      </w:r>
      <w:hyperlink r:id="rId112">
        <w:r>
          <w:rPr>
            <w:rStyle w:val="Hyperlink"/>
            <w:color w:val="0645AD"/>
            <w:u w:val="single"/>
          </w:rPr>
          <w:t xml:space="preserve">FDIA Section 39</w:t>
        </w:r>
      </w:hyperlink>
      <w:r>
        <w:t xml:space="preserve">)</w:t>
      </w:r>
    </w:p>
    <w:p>
      <w:pPr>
        <w:pStyle w:val="BodyText"/>
      </w:pPr>
      <w:r>
        <w:rPr>
          <w:b/>
          <w:bCs/>
        </w:rPr>
        <w:t xml:space="preserve">FDIA Section 7 (12 U.S.C. 1817(a)(3)).</w:t>
      </w:r>
      <w:r>
        <w:t xml:space="preserve"> </w:t>
      </w:r>
      <w:r>
        <w:t xml:space="preserve">Requires quarterly reports of condition to be attested by at least two directors, with a declaration that the report has been examined and is true and correct. (</w:t>
      </w:r>
      <w:hyperlink r:id="rId113">
        <w:r>
          <w:rPr>
            <w:rStyle w:val="Hyperlink"/>
            <w:color w:val="0645AD"/>
            <w:u w:val="single"/>
          </w:rPr>
          <w:t xml:space="preserve">FDIA Section 7</w:t>
        </w:r>
      </w:hyperlink>
      <w:r>
        <w:t xml:space="preserve">)</w:t>
      </w:r>
    </w:p>
    <w:p>
      <w:pPr>
        <w:pStyle w:val="BodyText"/>
      </w:pPr>
      <w:r>
        <w:rPr>
          <w:b/>
          <w:bCs/>
        </w:rPr>
        <w:t xml:space="preserve">FDIA Section 38 (12 U.S.C. 1831o).</w:t>
      </w:r>
      <w:r>
        <w:t xml:space="preserve"> </w:t>
      </w:r>
      <w:r>
        <w:t xml:space="preserve">Establishes prompt corrective action authority, including the power to order a new election for the board of directors, dismiss directors who presided over capital deterioration, and require holding company guarantees of capital restoration plans. (</w:t>
      </w:r>
      <w:hyperlink r:id="rId114">
        <w:r>
          <w:rPr>
            <w:rStyle w:val="Hyperlink"/>
            <w:color w:val="0645AD"/>
            <w:u w:val="single"/>
          </w:rPr>
          <w:t xml:space="preserve">FDIA Section 38</w:t>
        </w:r>
      </w:hyperlink>
      <w:r>
        <w:t xml:space="preserve">)</w:t>
      </w:r>
    </w:p>
    <w:bookmarkEnd w:id="115"/>
    <w:bookmarkStart w:id="116" w:name="Xbe5de45d206e3836914723bf9d929e6e94dd6a5"/>
    <w:p>
      <w:pPr>
        <w:pStyle w:val="Heading2"/>
      </w:pPr>
      <w:r>
        <w:t xml:space="preserve">B. Interagency Safety and Soundness Guidelines</w:t>
      </w:r>
    </w:p>
    <w:p>
      <w:pPr>
        <w:pStyle w:val="FirstParagraph"/>
      </w:pPr>
      <w:r>
        <w:t xml:space="preserve">Codified at 12 CFR Part 30, Appendix A (OCC); 12 CFR Part 208, Appendix D-1 (Federal Reserve); and 12 CFR Part 364, Appendix A (FDIC), these guidelines establish five categories of mandatory board-level reporting: (1) internal audit effectiveness review; (2) credit review communication; (3) interest rate risk reporting; (4) asset quality reporting; and (5) earnings performance reporting. They also prohibit excessive compensation and compensatory arrangements that could lead to material financial loss. (</w:t>
      </w:r>
      <w:hyperlink r:id="rId79">
        <w:r>
          <w:rPr>
            <w:rStyle w:val="Hyperlink"/>
            <w:color w:val="0645AD"/>
            <w:u w:val="single"/>
          </w:rPr>
          <w:t xml:space="preserve">OCC Rules, Part 30, Appendix A</w:t>
        </w:r>
      </w:hyperlink>
      <w:r>
        <w:t xml:space="preserve">); (</w:t>
      </w:r>
      <w:hyperlink r:id="rId95">
        <w:r>
          <w:rPr>
            <w:rStyle w:val="Hyperlink"/>
            <w:color w:val="0645AD"/>
            <w:u w:val="single"/>
          </w:rPr>
          <w:t xml:space="preserve">FRS Rules, Part 208, Appendix D-1</w:t>
        </w:r>
      </w:hyperlink>
      <w:r>
        <w:t xml:space="preserve">); (</w:t>
      </w:r>
      <w:hyperlink r:id="rId96">
        <w:r>
          <w:rPr>
            <w:rStyle w:val="Hyperlink"/>
            <w:color w:val="0645AD"/>
            <w:u w:val="single"/>
          </w:rPr>
          <w:t xml:space="preserve">FDIC Rules, Part 364, Appendix A</w:t>
        </w:r>
      </w:hyperlink>
      <w:r>
        <w:t xml:space="preserve">)</w:t>
      </w:r>
    </w:p>
    <w:bookmarkEnd w:id="116"/>
    <w:bookmarkStart w:id="118" w:name="c.-federal-reserve-examination-manual"/>
    <w:p>
      <w:pPr>
        <w:pStyle w:val="Heading2"/>
      </w:pPr>
      <w:r>
        <w:t xml:space="preserve">C. Federal Reserve Examination Manual</w:t>
      </w:r>
    </w:p>
    <w:p>
      <w:pPr>
        <w:pStyle w:val="FirstParagraph"/>
      </w:pPr>
      <w:r>
        <w:rPr>
          <w:b/>
          <w:bCs/>
        </w:rPr>
        <w:t xml:space="preserve">CBEM Section 4000.1.</w:t>
      </w:r>
      <w:r>
        <w:t xml:space="preserve"> </w:t>
      </w:r>
      <w:r>
        <w:t xml:space="preserve">“</w:t>
      </w:r>
      <w:r>
        <w:t xml:space="preserve">The board of directors of a bank should delegate the day-to-day routine of conducting the bank’s business to its officers and employees, but the board cannot delegate its responsibility for the consequences of unsound or imprudent policies and practices.</w:t>
      </w:r>
      <w:r>
        <w:t xml:space="preserve">”</w:t>
      </w:r>
      <w:r>
        <w:t xml:space="preserve"> </w:t>
      </w:r>
      <w:r>
        <w:t xml:space="preserve">Directors must at each regular meeting review: financial condition statements, the investment portfolio, loan activity, all policies (annually), audit and examination reports, correspondence with regulatory agencies, pending litigation, and major prospective undertakings. (</w:t>
      </w:r>
      <w:hyperlink r:id="rId106">
        <w:r>
          <w:rPr>
            <w:rStyle w:val="Hyperlink"/>
            <w:color w:val="0645AD"/>
            <w:u w:val="single"/>
          </w:rPr>
          <w:t xml:space="preserve">Federal Reserve Commercial Bank Examination Manual, Section 4000</w:t>
        </w:r>
      </w:hyperlink>
      <w:r>
        <w:t xml:space="preserve">)</w:t>
      </w:r>
    </w:p>
    <w:p>
      <w:pPr>
        <w:pStyle w:val="BodyText"/>
      </w:pPr>
      <w:r>
        <w:rPr>
          <w:b/>
          <w:bCs/>
        </w:rPr>
        <w:t xml:space="preserve">CBEM Section 4012.1 (Institutions over $100 billion).</w:t>
      </w:r>
      <w:r>
        <w:t xml:space="preserve"> </w:t>
      </w:r>
      <w:r>
        <w:t xml:space="preserve">“</w:t>
      </w:r>
      <w:r>
        <w:t xml:space="preserve">Boards of directors have ultimate responsibility for the level of risk taken by their institutions</w:t>
      </w:r>
      <w:r>
        <w:t xml:space="preserve">”</w:t>
      </w:r>
      <w:r>
        <w:t xml:space="preserve"> </w:t>
      </w:r>
      <w:r>
        <w:t xml:space="preserve">and</w:t>
      </w:r>
      <w:r>
        <w:t xml:space="preserve"> </w:t>
      </w:r>
      <w:r>
        <w:t xml:space="preserve">“</w:t>
      </w:r>
      <w:r>
        <w:t xml:space="preserve">should approve the overall business strategies and significant policies of their organizations.</w:t>
      </w:r>
      <w:r>
        <w:t xml:space="preserve">”</w:t>
      </w:r>
      <w:r>
        <w:t xml:space="preserve"> </w:t>
      </w:r>
      <w:r>
        <w:t xml:space="preserve">This section was revised in October 2023 and February 2026 to reflect SR 21-3/CA 21-1. Reputational risk references were removed in February 2026. (</w:t>
      </w:r>
      <w:hyperlink r:id="rId117">
        <w:r>
          <w:rPr>
            <w:rStyle w:val="Hyperlink"/>
            <w:color w:val="0645AD"/>
            <w:u w:val="single"/>
          </w:rPr>
          <w:t xml:space="preserve">Federal Reserve Commercial Bank Examination Manual Supplements</w:t>
        </w:r>
      </w:hyperlink>
      <w:r>
        <w:t xml:space="preserve">)</w:t>
      </w:r>
    </w:p>
    <w:bookmarkEnd w:id="118"/>
    <w:bookmarkEnd w:id="119"/>
    <w:bookmarkStart w:id="123" w:name="x.-examination-manuals-current-status"/>
    <w:p>
      <w:pPr>
        <w:pStyle w:val="Heading1"/>
      </w:pPr>
      <w:r>
        <w:t xml:space="preserve">X. Examination Manuals: Current Status</w:t>
      </w:r>
    </w:p>
    <w:bookmarkStart w:id="120" w:name="a.-the-governing-instruction"/>
    <w:p>
      <w:pPr>
        <w:pStyle w:val="Heading2"/>
      </w:pPr>
      <w:r>
        <w:t xml:space="preserve">A. The Governing Instruction</w:t>
      </w:r>
    </w:p>
    <w:p>
      <w:pPr>
        <w:pStyle w:val="FirstParagraph"/>
      </w:pPr>
      <w:r>
        <w:t xml:space="preserve">SR 21-4’s instruction that firms should not rely on the manuals for board expectations, and that examiners should not refer to them in governance assessments, creates a unique situation in which formally published supervisory documents contain expectations that the Federal Reserve itself has disclaimed for supervisory purposes without formally withdrawing them. (</w:t>
      </w:r>
      <w:hyperlink r:id="rId40">
        <w:r>
          <w:rPr>
            <w:rStyle w:val="Hyperlink"/>
            <w:color w:val="0645AD"/>
            <w:u w:val="single"/>
          </w:rPr>
          <w:t xml:space="preserve">SR 21-4/CA 21-2</w:t>
        </w:r>
      </w:hyperlink>
      <w:r>
        <w:t xml:space="preserve">)</w:t>
      </w:r>
    </w:p>
    <w:bookmarkEnd w:id="120"/>
    <w:bookmarkStart w:id="121" w:name="b.-cbem-revision-progress"/>
    <w:p>
      <w:pPr>
        <w:pStyle w:val="Heading2"/>
      </w:pPr>
      <w:r>
        <w:t xml:space="preserve">B. CBEM Revision Progress</w:t>
      </w:r>
    </w:p>
    <w:p>
      <w:pPr>
        <w:pStyle w:val="FirstParagraph"/>
      </w:pPr>
      <w:r>
        <w:rPr>
          <w:b/>
          <w:bCs/>
        </w:rPr>
        <w:t xml:space="preserve">Supplement 53 (May 2021):</w:t>
      </w:r>
      <w:r>
        <w:t xml:space="preserve"> </w:t>
      </w:r>
      <w:r>
        <w:t xml:space="preserve">Reorganized the CBEM to align with CAMELS components. Removed sections on</w:t>
      </w:r>
      <w:r>
        <w:t xml:space="preserve"> </w:t>
      </w:r>
      <w:r>
        <w:t xml:space="preserve">“</w:t>
      </w:r>
      <w:r>
        <w:t xml:space="preserve">Complex Wholesale Borrowings</w:t>
      </w:r>
      <w:r>
        <w:t xml:space="preserve">”</w:t>
      </w:r>
      <w:r>
        <w:t xml:space="preserve"> </w:t>
      </w:r>
      <w:r>
        <w:t xml:space="preserve">based on the inactivation of SR 01-8. (</w:t>
      </w:r>
      <w:hyperlink r:id="rId117">
        <w:r>
          <w:rPr>
            <w:rStyle w:val="Hyperlink"/>
            <w:color w:val="0645AD"/>
            <w:u w:val="single"/>
          </w:rPr>
          <w:t xml:space="preserve">Federal Reserve Commercial Bank Examination Manual Supplements</w:t>
        </w:r>
      </w:hyperlink>
      <w:r>
        <w:t xml:space="preserve">)</w:t>
      </w:r>
    </w:p>
    <w:p>
      <w:pPr>
        <w:pStyle w:val="BodyText"/>
      </w:pPr>
      <w:r>
        <w:rPr>
          <w:b/>
          <w:bCs/>
        </w:rPr>
        <w:t xml:space="preserve">Supplement 54 (May 2022):</w:t>
      </w:r>
      <w:r>
        <w:t xml:space="preserve"> </w:t>
      </w:r>
      <w:r>
        <w:t xml:space="preserve">Eliminated numerous examination procedure sections and migrated them to non-public Examination Documentation modules. (</w:t>
      </w:r>
      <w:hyperlink r:id="rId117">
        <w:r>
          <w:rPr>
            <w:rStyle w:val="Hyperlink"/>
            <w:color w:val="0645AD"/>
            <w:u w:val="single"/>
          </w:rPr>
          <w:t xml:space="preserve">Federal Reserve Commercial Bank Examination Manual Supplements</w:t>
        </w:r>
      </w:hyperlink>
      <w:r>
        <w:t xml:space="preserve">)</w:t>
      </w:r>
    </w:p>
    <w:p>
      <w:pPr>
        <w:pStyle w:val="BodyText"/>
      </w:pPr>
      <w:r>
        <w:rPr>
          <w:b/>
          <w:bCs/>
        </w:rPr>
        <w:t xml:space="preserve">Supplement 55 (October 2023):</w:t>
      </w:r>
      <w:r>
        <w:t xml:space="preserve"> </w:t>
      </w:r>
      <w:r>
        <w:t xml:space="preserve">Revised multiple sections to</w:t>
      </w:r>
      <w:r>
        <w:t xml:space="preserve"> </w:t>
      </w:r>
      <w:r>
        <w:t xml:space="preserve">“</w:t>
      </w:r>
      <w:r>
        <w:t xml:space="preserve">better reflect the roles and responsibilities of a supervised institution’s board of directors and senior management,</w:t>
      </w:r>
      <w:r>
        <w:t xml:space="preserve">”</w:t>
      </w:r>
      <w:r>
        <w:t xml:space="preserve"> </w:t>
      </w:r>
      <w:r>
        <w:t xml:space="preserve">including Sections 1200.1 (CAMELS/Risk Management Rating), 4012.1 (Risk-Management Processes for firms over $100 billion), and 5300.1 (Information Technology). (</w:t>
      </w:r>
      <w:hyperlink r:id="rId117">
        <w:r>
          <w:rPr>
            <w:rStyle w:val="Hyperlink"/>
            <w:color w:val="0645AD"/>
            <w:u w:val="single"/>
          </w:rPr>
          <w:t xml:space="preserve">Federal Reserve Commercial Bank Examination Manual Supplements</w:t>
        </w:r>
      </w:hyperlink>
      <w:r>
        <w:t xml:space="preserve">)</w:t>
      </w:r>
    </w:p>
    <w:p>
      <w:pPr>
        <w:pStyle w:val="BodyText"/>
      </w:pPr>
      <w:r>
        <w:rPr>
          <w:b/>
          <w:bCs/>
        </w:rPr>
        <w:t xml:space="preserve">Supplement 56 (February 2026):</w:t>
      </w:r>
      <w:r>
        <w:t xml:space="preserve"> </w:t>
      </w:r>
      <w:r>
        <w:t xml:space="preserve">Removed reputational risk from examination programs. Further aligned content with SR 21-3/CA 21-1 across capital adequacy, liquidity risk, credit risk review, third-party relationships, IT, and payment systems. Confirmed that</w:t>
      </w:r>
      <w:r>
        <w:t xml:space="preserve"> </w:t>
      </w:r>
      <w:r>
        <w:t xml:space="preserve">“</w:t>
      </w:r>
      <w:r>
        <w:t xml:space="preserve">institutions should expect examiners to rely on ED modules, portfolio-specific guidance, and current interagency statements.</w:t>
      </w:r>
      <w:r>
        <w:t xml:space="preserve">”</w:t>
      </w:r>
      <w:r>
        <w:t xml:space="preserve"> </w:t>
      </w:r>
      <w:r>
        <w:t xml:space="preserve">(</w:t>
      </w:r>
      <w:hyperlink r:id="rId117">
        <w:r>
          <w:rPr>
            <w:rStyle w:val="Hyperlink"/>
            <w:color w:val="0645AD"/>
            <w:u w:val="single"/>
          </w:rPr>
          <w:t xml:space="preserve">Federal Reserve Commercial Bank Examination Manual Supplements</w:t>
        </w:r>
      </w:hyperlink>
      <w:r>
        <w:t xml:space="preserve">)</w:t>
      </w:r>
    </w:p>
    <w:bookmarkEnd w:id="121"/>
    <w:bookmarkStart w:id="122" w:name="c.-sections-not-yet-revised"/>
    <w:p>
      <w:pPr>
        <w:pStyle w:val="Heading2"/>
      </w:pPr>
      <w:r>
        <w:t xml:space="preserve">C. Sections Not Yet Revised</w:t>
      </w:r>
    </w:p>
    <w:p>
      <w:pPr>
        <w:pStyle w:val="FirstParagraph"/>
      </w:pPr>
      <w:r>
        <w:t xml:space="preserve">CBEM Sections 4000.2 (Examination Objectives, last updated November 1995) and 4000.3 (Examination Procedures, last updated November 2003) have not been updated to reflect SR 21-3. CBEM Section 4000.1 (last updated April 2020) predates SR 21-3 and has not been revised. The Bank Holding Company Supervision Manual has not received comparable published revision information. These sections remain published but, per SR 21-4, should not be relied upon for board expectations. (</w:t>
      </w:r>
      <w:hyperlink r:id="rId106">
        <w:r>
          <w:rPr>
            <w:rStyle w:val="Hyperlink"/>
            <w:color w:val="0645AD"/>
            <w:u w:val="single"/>
          </w:rPr>
          <w:t xml:space="preserve">Federal Reserve Commercial Bank Examination Manual, Section 4000</w:t>
        </w:r>
      </w:hyperlink>
      <w:r>
        <w:t xml:space="preserve">)</w:t>
      </w:r>
    </w:p>
    <w:bookmarkEnd w:id="122"/>
    <w:bookmarkEnd w:id="123"/>
    <w:bookmarkStart w:id="136" w:name="X708e84151d38e0702887296c28a4ca827f69fb7"/>
    <w:p>
      <w:pPr>
        <w:pStyle w:val="Heading1"/>
      </w:pPr>
      <w:r>
        <w:t xml:space="preserve">XI. Identification of Duplicative, Overlapping, and Inconsistent Expectations</w:t>
      </w:r>
    </w:p>
    <w:bookmarkStart w:id="124" w:name="a.-duplicative-expectations"/>
    <w:p>
      <w:pPr>
        <w:pStyle w:val="Heading2"/>
      </w:pPr>
      <w:r>
        <w:t xml:space="preserve">A. Duplicative Expectations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Expectation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Sources</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Nature of Duplication</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oversight of risk management framework</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21-3, SR 12-17, 12 CFR 252.33, OCC 12 CFR Part 30 App. 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Identical obligation articulated in four concurrent frameworks with different legal character</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approval of information security program; annual reporting</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225 App. F, 12 CFR 208 App. D-2, 12 CFR 30 App. B, 12 CFR 364 App. B</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Substantively identical requirements codified across four agency-specific regulatory instruments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review of internal audit effectiveness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30 App. A, 12 CFR 208 App. D-1, 12 CFR 364 App. A</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Identical obligation across three interagency safety and soundness codifications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oversight of third-party risk management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2023 Interagency TPRM Guidance; SR 13-19 (as revised); OCC Heightened Standards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Concurrent guidance and enforceable standard addressing substantially similar board function</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CAE appointment/compensation approval</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13-1/CA 13-1; OCC Heightened Standards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Parallel requirements from two agencies applicable simultaneously to IDI subsidiaries</w:t>
            </w:r>
          </w:p>
        </w:tc>
      </w:tr>
    </w:tbl>
    <w:bookmarkEnd w:id="124"/>
    <w:bookmarkStart w:id="129" w:name="Xb1b9c89c03eeb1ddfb72b02971490bb36e04bde"/>
    <w:p>
      <w:pPr>
        <w:pStyle w:val="Heading2"/>
      </w:pPr>
      <w:r>
        <w:t xml:space="preserve">B. Internal Inconsistencies Within the Federal Reserve’s Guidance Corpus</w:t>
      </w:r>
    </w:p>
    <w:bookmarkStart w:id="125" w:name="Xd8c9bfe0f11d7a58060cf6fbbcd658538ca2c1a"/>
    <w:p>
      <w:pPr>
        <w:pStyle w:val="Heading3"/>
      </w:pPr>
      <w:r>
        <w:t xml:space="preserve">1. SR 12-17</w:t>
      </w:r>
      <w:r>
        <w:t xml:space="preserve"> </w:t>
      </w:r>
      <w:r>
        <w:t xml:space="preserve">“</w:t>
      </w:r>
      <w:r>
        <w:t xml:space="preserve">Ensure</w:t>
      </w:r>
      <w:r>
        <w:t xml:space="preserve">”</w:t>
      </w:r>
      <w:r>
        <w:t xml:space="preserve"> </w:t>
      </w:r>
      <w:r>
        <w:t xml:space="preserve">Language vs. SR 21-3</w:t>
      </w:r>
      <w:r>
        <w:t xml:space="preserve"> </w:t>
      </w:r>
      <w:r>
        <w:t xml:space="preserve">“</w:t>
      </w:r>
      <w:r>
        <w:t xml:space="preserve">Oversee</w:t>
      </w:r>
      <w:r>
        <w:t xml:space="preserve">”</w:t>
      </w:r>
      <w:r>
        <w:t xml:space="preserve"> </w:t>
      </w:r>
      <w:r>
        <w:t xml:space="preserve">Language</w:t>
      </w:r>
    </w:p>
    <w:p>
      <w:pPr>
        <w:pStyle w:val="FirstParagraph"/>
      </w:pPr>
      <w:r>
        <w:t xml:space="preserve">SR 12-17 uses</w:t>
      </w:r>
      <w:r>
        <w:t xml:space="preserve"> </w:t>
      </w:r>
      <w:r>
        <w:t xml:space="preserve">“</w:t>
      </w:r>
      <w:r>
        <w:t xml:space="preserve">ensure</w:t>
      </w:r>
      <w:r>
        <w:t xml:space="preserve">”</w:t>
      </w:r>
      <w:r>
        <w:t xml:space="preserve"> </w:t>
      </w:r>
      <w:r>
        <w:t xml:space="preserve">to describe board obligations (e.g.,</w:t>
      </w:r>
      <w:r>
        <w:t xml:space="preserve"> </w:t>
      </w:r>
      <w:r>
        <w:t xml:space="preserve">“</w:t>
      </w:r>
      <w:r>
        <w:t xml:space="preserve">ensure that the firm’s senior management has the expertise and level of involvement required</w:t>
      </w:r>
      <w:r>
        <w:t xml:space="preserve">”</w:t>
      </w:r>
      <w:r>
        <w:t xml:space="preserve">), implying a result-oriented standard. SR 21-3 deliberately reframes the board’s role in oversight terms: the board</w:t>
      </w:r>
      <w:r>
        <w:t xml:space="preserve"> </w:t>
      </w:r>
      <w:r>
        <w:t xml:space="preserve">“</w:t>
      </w:r>
      <w:r>
        <w:t xml:space="preserve">oversees,</w:t>
      </w:r>
      <w:r>
        <w:t xml:space="preserve">”</w:t>
      </w:r>
      <w:r>
        <w:t xml:space="preserve"> </w:t>
      </w:r>
      <w:r>
        <w:t xml:space="preserve">“</w:t>
      </w:r>
      <w:r>
        <w:t xml:space="preserve">sets direction,</w:t>
      </w:r>
      <w:r>
        <w:t xml:space="preserve">”</w:t>
      </w:r>
      <w:r>
        <w:t xml:space="preserve"> </w:t>
      </w:r>
      <w:r>
        <w:t xml:space="preserve">and</w:t>
      </w:r>
      <w:r>
        <w:t xml:space="preserve"> </w:t>
      </w:r>
      <w:r>
        <w:t xml:space="preserve">“</w:t>
      </w:r>
      <w:r>
        <w:t xml:space="preserve">holds senior management accountable.</w:t>
      </w:r>
      <w:r>
        <w:t xml:space="preserve">”</w:t>
      </w:r>
      <w:r>
        <w:t xml:space="preserve"> </w:t>
      </w:r>
      <w:r>
        <w:t xml:space="preserve">SR 21-4 retained SR 12-17 without revision. This creates an unresolved ambiguity: is it sufficient to establish robust oversight processes (SR 21-3), or must the board guarantee outcomes (SR 12-17)? According to Debevoise &amp; Plimpton’s secondary analysis,</w:t>
      </w:r>
      <w:r>
        <w:t xml:space="preserve"> </w:t>
      </w:r>
      <w:r>
        <w:t xml:space="preserve">“</w:t>
      </w:r>
      <w:r>
        <w:t xml:space="preserve">it remains to be seen how much the FRB and its supervisory staff will expect banking organizations to adhere to outdated expectations in supervisory letters that remain active.</w:t>
      </w:r>
      <w:r>
        <w:t xml:space="preserve">”</w:t>
      </w:r>
      <w:r>
        <w:t xml:space="preserve"> </w:t>
      </w:r>
      <w:r>
        <w:t xml:space="preserve">(</w:t>
      </w:r>
      <w:hyperlink r:id="rId23">
        <w:r>
          <w:rPr>
            <w:rStyle w:val="Hyperlink"/>
            <w:color w:val="0645AD"/>
            <w:u w:val="single"/>
          </w:rPr>
          <w:t xml:space="preserve">Federal Reserve Board Finalizes Board Effectiveness Guidance, Debevoise &amp; Plimpton</w:t>
        </w:r>
      </w:hyperlink>
      <w:r>
        <w:t xml:space="preserve">)</w:t>
      </w:r>
    </w:p>
    <w:bookmarkEnd w:id="125"/>
    <w:bookmarkStart w:id="126" w:name="X800c98b80482a837e3d7d1f161f7186be386cb5"/>
    <w:p>
      <w:pPr>
        <w:pStyle w:val="Heading3"/>
      </w:pPr>
      <w:r>
        <w:t xml:space="preserve">2. Partially Displaced Examination Manual Content</w:t>
      </w:r>
    </w:p>
    <w:p>
      <w:pPr>
        <w:pStyle w:val="FirstParagraph"/>
      </w:pPr>
      <w:r>
        <w:t xml:space="preserve">The Federal Reserve has committed to revising examination manual content but has not completed the process. CBEM sections not yet revised contain pre-SR 21-3 board expectations that are formally displaced for supervisory purposes but remain in the published text, creating an asymmetric information problem. (</w:t>
      </w:r>
      <w:hyperlink r:id="rId40">
        <w:r>
          <w:rPr>
            <w:rStyle w:val="Hyperlink"/>
            <w:color w:val="0645AD"/>
            <w:u w:val="single"/>
          </w:rPr>
          <w:t xml:space="preserve">SR 21-4/CA 21-2</w:t>
        </w:r>
      </w:hyperlink>
      <w:r>
        <w:t xml:space="preserve">)</w:t>
      </w:r>
    </w:p>
    <w:bookmarkEnd w:id="126"/>
    <w:bookmarkStart w:id="128" w:name="absent-senior-management-guidance"/>
    <w:p>
      <w:pPr>
        <w:pStyle w:val="Heading3"/>
      </w:pPr>
      <w:r>
        <w:t xml:space="preserve">3. Absent Senior Management Guidance</w:t>
      </w:r>
    </w:p>
    <w:p>
      <w:pPr>
        <w:pStyle w:val="FirstParagraph"/>
      </w:pPr>
      <w:r>
        <w:t xml:space="preserve">The Federal Reserve proposed but has not finalized companion guidance on senior management responsibilities. This leaves the boundary between board and management responsibilities incompletely defined, contrary to SR 21-3’s design intent. As Mayer Brown notes (secondary), the proposed guidance</w:t>
      </w:r>
      <w:r>
        <w:t xml:space="preserve"> </w:t>
      </w:r>
      <w:r>
        <w:t xml:space="preserve">“</w:t>
      </w:r>
      <w:r>
        <w:t xml:space="preserve">has not been finalized</w:t>
      </w:r>
      <w:r>
        <w:t xml:space="preserve">”</w:t>
      </w:r>
      <w:r>
        <w:t xml:space="preserve"> </w:t>
      </w:r>
      <w:r>
        <w:t xml:space="preserve">and the Federal Reserve</w:t>
      </w:r>
      <w:r>
        <w:t xml:space="preserve"> </w:t>
      </w:r>
      <w:r>
        <w:t xml:space="preserve">“</w:t>
      </w:r>
      <w:r>
        <w:t xml:space="preserve">continues to consider changes to the process for communicating supervisory findings.</w:t>
      </w:r>
      <w:r>
        <w:t xml:space="preserve">”</w:t>
      </w:r>
      <w:r>
        <w:t xml:space="preserve"> </w:t>
      </w:r>
      <w:r>
        <w:t xml:space="preserve">(</w:t>
      </w:r>
      <w:hyperlink r:id="rId127">
        <w:r>
          <w:rPr>
            <w:rStyle w:val="Hyperlink"/>
            <w:color w:val="0645AD"/>
            <w:u w:val="single"/>
          </w:rPr>
          <w:t xml:space="preserve">US FRB Finalizes Board Effectiveness Guidance, Mayer Brown</w:t>
        </w:r>
      </w:hyperlink>
      <w:r>
        <w:t xml:space="preserve">)</w:t>
      </w:r>
    </w:p>
    <w:bookmarkEnd w:id="128"/>
    <w:bookmarkEnd w:id="129"/>
    <w:bookmarkStart w:id="134" w:name="c.-cross-agency-inconsistencies"/>
    <w:p>
      <w:pPr>
        <w:pStyle w:val="Heading2"/>
      </w:pPr>
      <w:r>
        <w:t xml:space="preserve">C. Cross-Agency Inconsistencies</w:t>
      </w:r>
    </w:p>
    <w:bookmarkStart w:id="130" w:name="director-independence-requirements"/>
    <w:p>
      <w:pPr>
        <w:pStyle w:val="Heading3"/>
      </w:pPr>
      <w:r>
        <w:t xml:space="preserve">1. Director Independence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Agency/Framework</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Minimum Independence Requirement</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Federal Reserve SR 21-3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No numerical minimum; qualitative empowerment standard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Heightened Standards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At least two independent directors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FDIC Proposed Guidelines (Withdrawn)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Majority independent of bank and parent company</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363 (IDI Audit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All members must be outside directors independent of management (≥$1B assets)</w:t>
            </w:r>
          </w:p>
        </w:tc>
      </w:tr>
    </w:tbl>
    <w:bookmarkEnd w:id="130"/>
    <w:bookmarkStart w:id="131" w:name="boards-compliance-oversight-role"/>
    <w:p>
      <w:pPr>
        <w:pStyle w:val="Heading3"/>
      </w:pPr>
      <w:r>
        <w:t xml:space="preserve">2. Board’s Compliance Oversight Role</w:t>
      </w:r>
    </w:p>
    <w:p>
      <w:pPr>
        <w:pStyle w:val="FirstParagraph"/>
      </w:pPr>
      <w:r>
        <w:t xml:space="preserve">SR 21-3 and SR 16-11 place primary compliance responsibility with management, with the board responsible for oversight. The FDIC’s withdrawn proposed guidelines would have required the board to</w:t>
      </w:r>
      <w:r>
        <w:t xml:space="preserve"> </w:t>
      </w:r>
      <w:r>
        <w:t xml:space="preserve">“</w:t>
      </w:r>
      <w:r>
        <w:t xml:space="preserve">confirm</w:t>
      </w:r>
      <w:r>
        <w:t xml:space="preserve">”</w:t>
      </w:r>
      <w:r>
        <w:t xml:space="preserve"> </w:t>
      </w:r>
      <w:r>
        <w:t xml:space="preserve">compliance with all laws and regulations, implying direct board responsibility for compliance outcomes. FDIC Director McKernan cited SR 21-3 and SR 16-11 in his dissent as the appropriate standard. (</w:t>
      </w:r>
      <w:hyperlink r:id="rId49">
        <w:r>
          <w:rPr>
            <w:rStyle w:val="Hyperlink"/>
            <w:color w:val="0645AD"/>
            <w:u w:val="single"/>
          </w:rPr>
          <w:t xml:space="preserve">FDIC Director McKernan Statement (October 3, 2023)</w:t>
        </w:r>
      </w:hyperlink>
      <w:r>
        <w:t xml:space="preserve">)</w:t>
      </w:r>
    </w:p>
    <w:bookmarkEnd w:id="131"/>
    <w:bookmarkStart w:id="133" w:name="the-holding-companyidi-subsidiary-split"/>
    <w:p>
      <w:pPr>
        <w:pStyle w:val="Heading3"/>
      </w:pPr>
      <w:r>
        <w:t xml:space="preserve">3. The Holding Company/IDI Subsidiary Split</w:t>
      </w:r>
    </w:p>
    <w:p>
      <w:pPr>
        <w:pStyle w:val="FirstParagraph"/>
      </w:pPr>
      <w:r>
        <w:t xml:space="preserve">Directors serving on both holding company and IDI subsidiary boards face simultaneous obligations under Federal Reserve guidance (holding company level) and OCC or FDIC standards (IDI level) that differ in committee-level allocation of authority, independence requirements, and the board/management boundary. The OCC’s</w:t>
      </w:r>
      <w:r>
        <w:t xml:space="preserve"> </w:t>
      </w:r>
      <w:r>
        <w:t xml:space="preserve">“</w:t>
      </w:r>
      <w:r>
        <w:t xml:space="preserve">sanctity of the charter</w:t>
      </w:r>
      <w:r>
        <w:t xml:space="preserve">”</w:t>
      </w:r>
      <w:r>
        <w:t xml:space="preserve"> </w:t>
      </w:r>
      <w:r>
        <w:t xml:space="preserve">principle requires that IDI boards independently evaluate whether the holding company’s governance framework serves the bank’s safety and soundness, even when governance infrastructure is shared. (</w:t>
      </w:r>
      <w:hyperlink r:id="rId132">
        <w:r>
          <w:rPr>
            <w:rStyle w:val="Hyperlink"/>
            <w:color w:val="0645AD"/>
            <w:u w:val="single"/>
          </w:rPr>
          <w:t xml:space="preserve">79 FR 4282, OCC Proposed Heightened Standards</w:t>
        </w:r>
      </w:hyperlink>
      <w:r>
        <w:t xml:space="preserve">)</w:t>
      </w:r>
    </w:p>
    <w:bookmarkEnd w:id="133"/>
    <w:bookmarkEnd w:id="134"/>
    <w:bookmarkStart w:id="135" w:name="X60f1d112b3bcb94d0cf3fb0613d40b01c2bed11"/>
    <w:p>
      <w:pPr>
        <w:pStyle w:val="Heading2"/>
      </w:pPr>
      <w:r>
        <w:t xml:space="preserve">D. Summary Matrix of Identified Conflicts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Category</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Sources in Conflict</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Nature of Conflict</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Inconsistent (Intra-Agency)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12-17 (</w:t>
            </w:r>
            <w:r>
              <w:t xml:space="preserve">“</w:t>
            </w:r>
            <w:r>
              <w:t xml:space="preserve">ensure</w:t>
            </w:r>
            <w:r>
              <w:t xml:space="preserve">”</w:t>
            </w:r>
            <w:r>
              <w:t xml:space="preserve">) vs. SR 21-3 (</w:t>
            </w:r>
            <w:r>
              <w:t xml:space="preserve">“</w:t>
            </w:r>
            <w:r>
              <w:t xml:space="preserve">oversee</w:t>
            </w:r>
            <w:r>
              <w:t xml:space="preserve">”</w:t>
            </w: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Different board obligation standard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Unresolved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Partially Displaced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CBEM/BHCSM vs. SR 21-4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Manuals contain superseded expectations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Revision ongoing; incomplete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Unresolved (Intra-Agency)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21-3 vs. absent senior management guidance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Incomplete board/management boundary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Pending finalization</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Overlapping</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13-19 vs. 2023 Interagency TPRM Guidance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Concurrent TPRM governance expectations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No express supersession of SR 13-19</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Inconsistent (Cross-Agency)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(2 directors) vs. Federal Reserve (qualitative)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Independence threshold divergence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Unresolved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Misalignment (Intra-Agency)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Prior LFI Framework</w:t>
            </w:r>
            <w:r>
              <w:t xml:space="preserve"> </w:t>
            </w:r>
            <w:r>
              <w:t xml:space="preserve">“</w:t>
            </w:r>
            <w:r>
              <w:t xml:space="preserve">well managed</w:t>
            </w:r>
            <w:r>
              <w:t xml:space="preserve">”</w:t>
            </w:r>
            <w:r>
              <w:t xml:space="preserve"> </w:t>
            </w:r>
            <w:r>
              <w:t xml:space="preserve">vs. other rating systems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Inconsistent determination methodology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Partially addressed by Jan. 2026 revision</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Duplicative (Cross-Level)</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Holding company LFI Framework vs. IDI CAMELS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Dual-track governance assessments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Structural feature of BHC Act</w:t>
            </w:r>
          </w:p>
        </w:tc>
      </w:tr>
    </w:tbl>
    <w:bookmarkEnd w:id="135"/>
    <w:bookmarkEnd w:id="136"/>
    <w:bookmarkStart w:id="143" w:name="xii.-policy-reform-considerations"/>
    <w:p>
      <w:pPr>
        <w:pStyle w:val="Heading1"/>
      </w:pPr>
      <w:r>
        <w:t xml:space="preserve">XII. Policy Reform Considerations</w:t>
      </w:r>
    </w:p>
    <w:bookmarkStart w:id="137" w:name="a.-priority-reform-actions"/>
    <w:p>
      <w:pPr>
        <w:pStyle w:val="Heading2"/>
      </w:pPr>
      <w:r>
        <w:t xml:space="preserve">A. Priority Reform Actions</w:t>
      </w:r>
    </w:p>
    <w:p>
      <w:pPr>
        <w:pStyle w:val="FirstParagraph"/>
      </w:pPr>
      <w:r>
        <w:t xml:space="preserve">Based on the analysis in this memorandum, the following actions represent the highest-priority opportunities for reducing duplicative, overlapping, and unduly burdensome board-level supervisory expectations:</w:t>
      </w:r>
    </w:p>
    <w:p>
      <w:pPr>
        <w:pStyle w:val="BodyText"/>
      </w:pPr>
      <w:r>
        <w:rPr>
          <w:b/>
          <w:bCs/>
        </w:rPr>
        <w:t xml:space="preserve">1. Finalize Federal Reserve companion guidance on senior management.</w:t>
      </w:r>
      <w:r>
        <w:t xml:space="preserve"> </w:t>
      </w:r>
      <w:r>
        <w:t xml:space="preserve">The absence of this guidance leaves the board/management boundary incompletely defined, undermining SR 21-3’s central design choice.</w:t>
      </w:r>
    </w:p>
    <w:p>
      <w:pPr>
        <w:pStyle w:val="BodyText"/>
      </w:pPr>
      <w:r>
        <w:rPr>
          <w:b/>
          <w:bCs/>
        </w:rPr>
        <w:t xml:space="preserve">2. Revise SR 12-17 to align with SR 21-3.</w:t>
      </w:r>
      <w:r>
        <w:t xml:space="preserve"> </w:t>
      </w:r>
      <w:r>
        <w:t xml:space="preserve">The retention of SR 12-17’s</w:t>
      </w:r>
      <w:r>
        <w:t xml:space="preserve"> </w:t>
      </w:r>
      <w:r>
        <w:t xml:space="preserve">“</w:t>
      </w:r>
      <w:r>
        <w:t xml:space="preserve">ensure</w:t>
      </w:r>
      <w:r>
        <w:t xml:space="preserve">”</w:t>
      </w:r>
      <w:r>
        <w:t xml:space="preserve"> </w:t>
      </w:r>
      <w:r>
        <w:t xml:space="preserve">language alongside SR 21-3’s</w:t>
      </w:r>
      <w:r>
        <w:t xml:space="preserve"> </w:t>
      </w:r>
      <w:r>
        <w:t xml:space="preserve">“</w:t>
      </w:r>
      <w:r>
        <w:t xml:space="preserve">oversee</w:t>
      </w:r>
      <w:r>
        <w:t xml:space="preserve">”</w:t>
      </w:r>
      <w:r>
        <w:t xml:space="preserve"> </w:t>
      </w:r>
      <w:r>
        <w:t xml:space="preserve">framework creates the single most significant unresolved inconsistency in the Federal Reserve’s guidance corpus. Formal revision or inactivation of SR 12-17’s board-level expectations would eliminate this tension.</w:t>
      </w:r>
    </w:p>
    <w:p>
      <w:pPr>
        <w:pStyle w:val="BodyText"/>
      </w:pPr>
      <w:r>
        <w:rPr>
          <w:b/>
          <w:bCs/>
        </w:rPr>
        <w:t xml:space="preserve">3. Complete examination manual updates.</w:t>
      </w:r>
      <w:r>
        <w:t xml:space="preserve"> </w:t>
      </w:r>
      <w:r>
        <w:t xml:space="preserve">More than five years after SR 21-4, the CBEM and BHCSM revision process remains incomplete. Completing these revisions would eliminate the asymmetric information problem created by published manual sections that the Federal Reserve has disclaimed for supervisory purposes but has not formally removed.</w:t>
      </w:r>
    </w:p>
    <w:p>
      <w:pPr>
        <w:pStyle w:val="BodyText"/>
      </w:pPr>
      <w:r>
        <w:rPr>
          <w:b/>
          <w:bCs/>
        </w:rPr>
        <w:t xml:space="preserve">4. Finalize the LFI rating system revisions.</w:t>
      </w:r>
      <w:r>
        <w:t xml:space="preserve"> </w:t>
      </w:r>
      <w:r>
        <w:t xml:space="preserve">The January 2026 revisions (90 FR 51329) addressed the most acute calibration problems, but the proposed revisions to the</w:t>
      </w:r>
      <w:r>
        <w:t xml:space="preserve"> </w:t>
      </w:r>
      <w:r>
        <w:t xml:space="preserve">“</w:t>
      </w:r>
      <w:r>
        <w:t xml:space="preserve">well managed</w:t>
      </w:r>
      <w:r>
        <w:t xml:space="preserve">”</w:t>
      </w:r>
      <w:r>
        <w:t xml:space="preserve"> </w:t>
      </w:r>
      <w:r>
        <w:t xml:space="preserve">standard and the enforcement presumption remain important. The Federal Reserve’s own data showing that 17 of 36 firms were classified as not</w:t>
      </w:r>
      <w:r>
        <w:t xml:space="preserve"> </w:t>
      </w:r>
      <w:r>
        <w:t xml:space="preserve">“</w:t>
      </w:r>
      <w:r>
        <w:t xml:space="preserve">well managed</w:t>
      </w:r>
      <w:r>
        <w:t xml:space="preserve">”</w:t>
      </w:r>
      <w:r>
        <w:t xml:space="preserve"> </w:t>
      </w:r>
      <w:r>
        <w:t xml:space="preserve">despite higher capital ratios than their</w:t>
      </w:r>
      <w:r>
        <w:t xml:space="preserve"> </w:t>
      </w:r>
      <w:r>
        <w:t xml:space="preserve">“</w:t>
      </w:r>
      <w:r>
        <w:t xml:space="preserve">well managed</w:t>
      </w:r>
      <w:r>
        <w:t xml:space="preserve">”</w:t>
      </w:r>
      <w:r>
        <w:t xml:space="preserve"> </w:t>
      </w:r>
      <w:r>
        <w:t xml:space="preserve">peers demonstrates the misalignment that these revisions are designed to correct. (</w:t>
      </w:r>
      <w:hyperlink r:id="rId25">
        <w:r>
          <w:rPr>
            <w:rStyle w:val="Hyperlink"/>
            <w:color w:val="0645AD"/>
            <w:u w:val="single"/>
          </w:rPr>
          <w:t xml:space="preserve">90 FR 51329, Revisions to the LFI Rating System</w:t>
        </w:r>
      </w:hyperlink>
      <w:r>
        <w:t xml:space="preserve">)</w:t>
      </w:r>
    </w:p>
    <w:p>
      <w:pPr>
        <w:pStyle w:val="BodyText"/>
      </w:pPr>
      <w:r>
        <w:rPr>
          <w:b/>
          <w:bCs/>
        </w:rPr>
        <w:t xml:space="preserve">5. Harmonize holding company and IDI subsidiary board expectations across agencies.</w:t>
      </w:r>
      <w:r>
        <w:t xml:space="preserve"> </w:t>
      </w:r>
      <w:r>
        <w:t xml:space="preserve">The divergence in independence requirements, committee mandates, and the board/management boundary across the Federal Reserve, OCC, and FDIC creates compliance friction for directors serving on both holding company and IDI subsidiary boards. A joint interagency initiative to align these expectations would reduce burden without reducing supervisory effectiveness.</w:t>
      </w:r>
    </w:p>
    <w:p>
      <w:pPr>
        <w:pStyle w:val="BodyText"/>
      </w:pPr>
      <w:r>
        <w:rPr>
          <w:b/>
          <w:bCs/>
        </w:rPr>
        <w:t xml:space="preserve">6. Finalize Section 956 incentive compensation rulemaking.</w:t>
      </w:r>
      <w:r>
        <w:t xml:space="preserve"> </w:t>
      </w:r>
      <w:r>
        <w:t xml:space="preserve">The fifteen-year gap between the statutory mandate and finalization creates persistent uncertainty. A final rule, appropriately calibrated to avoid duplicating existing guidance, would provide a stable foundation for board-level compensation governance.</w:t>
      </w:r>
    </w:p>
    <w:bookmarkEnd w:id="137"/>
    <w:bookmarkStart w:id="141" w:name="b.-the-proportionality-principle"/>
    <w:p>
      <w:pPr>
        <w:pStyle w:val="Heading2"/>
      </w:pPr>
      <w:r>
        <w:t xml:space="preserve">B. The Proportionality Principle</w:t>
      </w:r>
    </w:p>
    <w:p>
      <w:pPr>
        <w:pStyle w:val="FirstParagraph"/>
      </w:pPr>
      <w:r>
        <w:t xml:space="preserve">The Federal Reserve’s proposed LFI Framework revisions (90 FR 31641, July 2025) and the FDIC’s proposed Rule 305.1 both embody the proportionality principle, the requirement that supervisory expectations be calibrated to an institution’s specific risk profile, complexity, and activities. Vice Chair Bowman characterized the LFI Framework proposal as</w:t>
      </w:r>
      <w:r>
        <w:t xml:space="preserve"> </w:t>
      </w:r>
      <w:r>
        <w:t xml:space="preserve">“</w:t>
      </w:r>
      <w:r>
        <w:t xml:space="preserve">the first step in pursuing a broader goal, which is to ensure that supervisory activities, and the accompanying ratings, are aligned with a renewed supervisory focus on core, material financial risks.</w:t>
      </w:r>
      <w:r>
        <w:t xml:space="preserve">”</w:t>
      </w:r>
      <w:r>
        <w:t xml:space="preserve"> </w:t>
      </w:r>
      <w:r>
        <w:t xml:space="preserve">(</w:t>
      </w:r>
      <w:hyperlink r:id="rId138">
        <w:r>
          <w:rPr>
            <w:rStyle w:val="Hyperlink"/>
            <w:color w:val="0645AD"/>
            <w:u w:val="single"/>
          </w:rPr>
          <w:t xml:space="preserve">90 FR 31641, Revisions to the Large Financial Institution Rating System (Proposed)</w:t>
        </w:r>
      </w:hyperlink>
      <w:r>
        <w:t xml:space="preserve">); (</w:t>
      </w:r>
      <w:hyperlink r:id="rId139">
        <w:r>
          <w:rPr>
            <w:rStyle w:val="Hyperlink"/>
            <w:color w:val="0645AD"/>
            <w:u w:val="single"/>
          </w:rPr>
          <w:t xml:space="preserve">Revisions to the Large Financial Institution Rating System, Sullivan &amp; Cromwell LLP (July 2025)</w:t>
        </w:r>
      </w:hyperlink>
      <w:r>
        <w:t xml:space="preserve">)</w:t>
      </w:r>
    </w:p>
    <w:p>
      <w:pPr>
        <w:pStyle w:val="BodyText"/>
      </w:pPr>
      <w:r>
        <w:t xml:space="preserve">Proposed FDIC Rule 305.1 would require the FDIC to tailor its supervisory and enforcement actions</w:t>
      </w:r>
      <w:r>
        <w:t xml:space="preserve"> </w:t>
      </w:r>
      <w:r>
        <w:t xml:space="preserve">“</w:t>
      </w:r>
      <w:r>
        <w:t xml:space="preserve">based on the capital structure, riskiness, complexity, activities, asset size and any financial risk-related factor that the FDIC deems appropriate.</w:t>
      </w:r>
      <w:r>
        <w:t xml:space="preserve">”</w:t>
      </w:r>
      <w:r>
        <w:t xml:space="preserve"> </w:t>
      </w:r>
      <w:r>
        <w:t xml:space="preserve">(</w:t>
      </w:r>
      <w:hyperlink r:id="rId140">
        <w:r>
          <w:rPr>
            <w:rStyle w:val="Hyperlink"/>
            <w:color w:val="0645AD"/>
            <w:u w:val="single"/>
          </w:rPr>
          <w:t xml:space="preserve">FDIC Rule 305.1: Enforcement and Supervision Standards (Proposed)</w:t>
        </w:r>
      </w:hyperlink>
      <w:r>
        <w:t xml:space="preserve">)</w:t>
      </w:r>
    </w:p>
    <w:p>
      <w:pPr>
        <w:pStyle w:val="BodyText"/>
      </w:pPr>
      <w:r>
        <w:t xml:space="preserve">The systematic adoption of proportionality as an organizing principle for all board-level supervisory expectations would provide a principled basis for distinguishing between expectations that are calibrated to material safety and soundness risks and those that impose process-oriented burdens without commensurate supervisory benefit.</w:t>
      </w:r>
    </w:p>
    <w:bookmarkEnd w:id="141"/>
    <w:bookmarkStart w:id="142" w:name="c.-industry-perspective"/>
    <w:p>
      <w:pPr>
        <w:pStyle w:val="Heading2"/>
      </w:pPr>
      <w:r>
        <w:t xml:space="preserve">C. Industry Perspective</w:t>
      </w:r>
    </w:p>
    <w:p>
      <w:pPr>
        <w:pStyle w:val="FirstParagraph"/>
      </w:pPr>
      <w:r>
        <w:t xml:space="preserve">The existence of industry letters and commentary on the various proposals discussed in this memorandum indicates areas of active disagreement between the regulated community and regulators regarding the scope and calibration of board-level expectations. For example, the OCC received comments on its proposed heightened standards that the</w:t>
      </w:r>
      <w:r>
        <w:t xml:space="preserve"> </w:t>
      </w:r>
      <w:r>
        <w:t xml:space="preserve">“</w:t>
      </w:r>
      <w:r>
        <w:t xml:space="preserve">ensure</w:t>
      </w:r>
      <w:r>
        <w:t xml:space="preserve">”</w:t>
      </w:r>
      <w:r>
        <w:t xml:space="preserve"> </w:t>
      </w:r>
      <w:r>
        <w:t xml:space="preserve">standard implied a guarantee of results and could require the board to be involved in day-to-day activities, leading the OCC to revise the standard to</w:t>
      </w:r>
      <w:r>
        <w:t xml:space="preserve"> </w:t>
      </w:r>
      <w:r>
        <w:t xml:space="preserve">“</w:t>
      </w:r>
      <w:r>
        <w:t xml:space="preserve">require,</w:t>
      </w:r>
      <w:r>
        <w:t xml:space="preserve">”</w:t>
      </w:r>
      <w:r>
        <w:t xml:space="preserve"> </w:t>
      </w:r>
      <w:r>
        <w:t xml:space="preserve">aligning with the board’s</w:t>
      </w:r>
      <w:r>
        <w:t xml:space="preserve"> </w:t>
      </w:r>
      <w:r>
        <w:t xml:space="preserve">“</w:t>
      </w:r>
      <w:r>
        <w:t xml:space="preserve">traditional strategic and oversight role.</w:t>
      </w:r>
      <w:r>
        <w:t xml:space="preserve">”</w:t>
      </w:r>
      <w:r>
        <w:t xml:space="preserve"> </w:t>
      </w:r>
      <w:r>
        <w:t xml:space="preserve">(</w:t>
      </w:r>
      <w:hyperlink r:id="rId47">
        <w:r>
          <w:rPr>
            <w:rStyle w:val="Hyperlink"/>
            <w:color w:val="0645AD"/>
            <w:u w:val="single"/>
          </w:rPr>
          <w:t xml:space="preserve">79 FR 54517, OCC Final Heightened Standards</w:t>
        </w:r>
      </w:hyperlink>
      <w:r>
        <w:t xml:space="preserve">). Similarly, the agencies received comments on the proposed interagency TPRM guidance that it implied</w:t>
      </w:r>
      <w:r>
        <w:t xml:space="preserve"> </w:t>
      </w:r>
      <w:r>
        <w:t xml:space="preserve">“</w:t>
      </w:r>
      <w:r>
        <w:t xml:space="preserve">excessive board involvement in day-to-day management activity,</w:t>
      </w:r>
      <w:r>
        <w:t xml:space="preserve">”</w:t>
      </w:r>
      <w:r>
        <w:t xml:space="preserve"> </w:t>
      </w:r>
      <w:r>
        <w:t xml:space="preserve">leading to a softening of the contract approval standard in the final guidance. (</w:t>
      </w:r>
      <w:hyperlink r:id="rId74">
        <w:r>
          <w:rPr>
            <w:rStyle w:val="Hyperlink"/>
            <w:color w:val="0645AD"/>
            <w:u w:val="single"/>
          </w:rPr>
          <w:t xml:space="preserve">88 FR 37920, Interagency TPRM Guidance</w:t>
        </w:r>
      </w:hyperlink>
      <w:r>
        <w:t xml:space="preserve">). These examples demonstrate that the calibration of board-level expectations remains an active area of regulatory evolution.</w:t>
      </w:r>
    </w:p>
    <w:bookmarkEnd w:id="142"/>
    <w:bookmarkEnd w:id="143"/>
    <w:bookmarkStart w:id="145" w:name="xiii.-conclusion"/>
    <w:p>
      <w:pPr>
        <w:pStyle w:val="Heading1"/>
      </w:pPr>
      <w:r>
        <w:t xml:space="preserve">XIII. Conclusion</w:t>
      </w:r>
    </w:p>
    <w:p>
      <w:pPr>
        <w:pStyle w:val="FirstParagraph"/>
      </w:pPr>
      <w:r>
        <w:t xml:space="preserve">This memorandum has compiled a citation-specific inventory of the supervisory expectations applicable to boards of directors of Category I GSIBs and their IDI subsidiaries across all major supervisory domains. The principal findings are as follows:</w:t>
      </w:r>
    </w:p>
    <w:p>
      <w:pPr>
        <w:pStyle w:val="BodyText"/>
      </w:pPr>
      <w:r>
        <w:rPr>
          <w:b/>
          <w:bCs/>
        </w:rPr>
        <w:t xml:space="preserve">The framework is extensive and layered.</w:t>
      </w:r>
      <w:r>
        <w:t xml:space="preserve"> </w:t>
      </w:r>
      <w:r>
        <w:t xml:space="preserve">Board-level supervisory expectations derive from statutes, binding regulations, interagency and agency-specific guidelines, SR letters, examination manuals, and rating system documentation. No single authoritative, consolidated statement of board obligations exists.</w:t>
      </w:r>
    </w:p>
    <w:p>
      <w:pPr>
        <w:pStyle w:val="BodyText"/>
      </w:pPr>
      <w:r>
        <w:rPr>
          <w:b/>
          <w:bCs/>
        </w:rPr>
        <w:t xml:space="preserve">SR 21-3/CA 21-1 is the operative framework for board effectiveness at the holding company level,</w:t>
      </w:r>
      <w:r>
        <w:t xml:space="preserve"> </w:t>
      </w:r>
      <w:r>
        <w:t xml:space="preserve">establishing five principles-based attributes that are now embedded in the LFI rating system’s Governance and Controls component. However, SR 21-3 operates alongside, rather than having replaced, the pre-existing SR 12-17 framework, creating an unresolved tension between oversight-focused and outcome-oriented board obligation standards.</w:t>
      </w:r>
    </w:p>
    <w:p>
      <w:pPr>
        <w:pStyle w:val="BodyText"/>
      </w:pPr>
      <w:r>
        <w:rPr>
          <w:b/>
          <w:bCs/>
        </w:rPr>
        <w:t xml:space="preserve">The examination manual revision process is incomplete.</w:t>
      </w:r>
      <w:r>
        <w:t xml:space="preserve"> </w:t>
      </w:r>
      <w:r>
        <w:t xml:space="preserve">SR 21-4 displaced manual-based board expectations for supervisory assessment purposes, but the manuals have not been fully revised, and the migration of examination procedures to non-public ED modules has reduced the transparency of examiner criteria.</w:t>
      </w:r>
    </w:p>
    <w:p>
      <w:pPr>
        <w:pStyle w:val="BodyText"/>
      </w:pPr>
      <w:r>
        <w:rPr>
          <w:b/>
          <w:bCs/>
        </w:rPr>
        <w:t xml:space="preserve">The January 2026 LFI rating system revisions address acknowledged miscalibration</w:t>
      </w:r>
      <w:r>
        <w:t xml:space="preserve"> </w:t>
      </w:r>
      <w:r>
        <w:t xml:space="preserve">by permitting a single Deficient-1 component rating without automatic loss of</w:t>
      </w:r>
      <w:r>
        <w:t xml:space="preserve"> </w:t>
      </w:r>
      <w:r>
        <w:t xml:space="preserve">“</w:t>
      </w:r>
      <w:r>
        <w:t xml:space="preserve">well managed</w:t>
      </w:r>
      <w:r>
        <w:t xml:space="preserve">”</w:t>
      </w:r>
      <w:r>
        <w:t xml:space="preserve"> </w:t>
      </w:r>
      <w:r>
        <w:t xml:space="preserve">status and by replacing the presumptive enforcement action with a facts-and-circumstances standard.</w:t>
      </w:r>
    </w:p>
    <w:p>
      <w:pPr>
        <w:pStyle w:val="BodyText"/>
      </w:pPr>
      <w:r>
        <w:rPr>
          <w:b/>
          <w:bCs/>
        </w:rPr>
        <w:t xml:space="preserve">Duplicative and overlapping expectations are pervasive,</w:t>
      </w:r>
      <w:r>
        <w:t xml:space="preserve"> </w:t>
      </w:r>
      <w:r>
        <w:t xml:space="preserve">particularly in areas where interagency guidance (information security, third-party risk management, safety and soundness) has been separately codified by each agency, and where both holding company-level and IDI subsidiary-level expectations apply simultaneously to institutions within the same corporate family.</w:t>
      </w:r>
    </w:p>
    <w:p>
      <w:pPr>
        <w:pStyle w:val="BodyText"/>
      </w:pPr>
      <w:r>
        <w:rPr>
          <w:b/>
          <w:bCs/>
        </w:rPr>
        <w:t xml:space="preserve">Cross-agency inconsistencies in independence requirements, committee mandates, and the board/management boundary</w:t>
      </w:r>
      <w:r>
        <w:t xml:space="preserve"> </w:t>
      </w:r>
      <w:r>
        <w:t xml:space="preserve">create structural governance complexity for directors serving on both holding company and IDI subsidiary boards.</w:t>
      </w:r>
    </w:p>
    <w:p>
      <w:pPr>
        <w:pStyle w:val="BodyText"/>
      </w:pPr>
      <w:r>
        <w:rPr>
          <w:b/>
          <w:bCs/>
        </w:rPr>
        <w:t xml:space="preserve">Priority reform opportunities</w:t>
      </w:r>
      <w:r>
        <w:t xml:space="preserve"> </w:t>
      </w:r>
      <w:r>
        <w:t xml:space="preserve">include finalizing the Federal Reserve’s companion guidance on senior management; revising or inactivating SR 12-17; completing examination manual updates; harmonizing holding company and IDI subsidiary board expectations through joint interagency initiative; and finalizing the Section 956 incentive compensation rulemaking. The systematic adoption of the proportionality principle across all agencies would provide a principled framework for distinguishing between supervisory expectations calibrated to material risks and those imposing process-oriented burdens without commensurate safety and soundness benefit.</w:t>
      </w:r>
    </w:p>
    <w:bookmarkStart w:id="144" w:name="bibliography"/>
    <w:p>
      <w:pPr>
        <w:pStyle w:val="Heading2"/>
      </w:pPr>
      <w:r>
        <w:t xml:space="preserve">Bibliography</w:t>
      </w:r>
    </w:p>
    <w:p>
      <w:pPr>
        <w:pStyle w:val="Compact"/>
        <w:numPr>
          <w:ilvl w:val="0"/>
          <w:numId w:val="1007"/>
        </w:numPr>
      </w:pPr>
      <w:hyperlink r:id="rId52">
        <w:r>
          <w:rPr>
            <w:rStyle w:val="Hyperlink"/>
            <w:color w:val="0645AD"/>
            <w:u w:val="single"/>
          </w:rPr>
          <w:t xml:space="preserve">12 CFR 225.8, Capital Planning and Stress Capital Buffer Requirement</w:t>
        </w:r>
      </w:hyperlink>
    </w:p>
    <w:p>
      <w:pPr>
        <w:pStyle w:val="Compact"/>
        <w:numPr>
          <w:ilvl w:val="0"/>
          <w:numId w:val="1007"/>
        </w:numPr>
      </w:pPr>
      <w:hyperlink r:id="rId100">
        <w:r>
          <w:rPr>
            <w:rStyle w:val="Hyperlink"/>
            <w:color w:val="0645AD"/>
            <w:u w:val="single"/>
          </w:rPr>
          <w:t xml:space="preserve">12 CFR 252.22, Risk Committee Requirement</w:t>
        </w:r>
      </w:hyperlink>
    </w:p>
    <w:p>
      <w:pPr>
        <w:pStyle w:val="Compact"/>
        <w:numPr>
          <w:ilvl w:val="0"/>
          <w:numId w:val="1007"/>
        </w:numPr>
      </w:pPr>
      <w:hyperlink r:id="rId59">
        <w:r>
          <w:rPr>
            <w:rStyle w:val="Hyperlink"/>
            <w:color w:val="0645AD"/>
            <w:u w:val="single"/>
          </w:rPr>
          <w:t xml:space="preserve">12 CFR 252.34, Liquidity Risk-Management Requirements</w:t>
        </w:r>
      </w:hyperlink>
    </w:p>
    <w:p>
      <w:pPr>
        <w:pStyle w:val="Compact"/>
        <w:numPr>
          <w:ilvl w:val="0"/>
          <w:numId w:val="1007"/>
        </w:numPr>
      </w:pPr>
      <w:hyperlink r:id="rId60">
        <w:r>
          <w:rPr>
            <w:rStyle w:val="Hyperlink"/>
            <w:color w:val="0645AD"/>
            <w:u w:val="single"/>
          </w:rPr>
          <w:t xml:space="preserve">12 CFR 252.35, Liquidity Stress Testing and Buffer Requirements</w:t>
        </w:r>
      </w:hyperlink>
    </w:p>
    <w:p>
      <w:pPr>
        <w:pStyle w:val="Compact"/>
        <w:numPr>
          <w:ilvl w:val="0"/>
          <w:numId w:val="1007"/>
        </w:numPr>
      </w:pPr>
      <w:hyperlink r:id="rId54">
        <w:r>
          <w:rPr>
            <w:rStyle w:val="Hyperlink"/>
            <w:color w:val="0645AD"/>
            <w:u w:val="single"/>
          </w:rPr>
          <w:t xml:space="preserve">12 CFR 252.56, Methodologies and Practices</w:t>
        </w:r>
      </w:hyperlink>
    </w:p>
    <w:p>
      <w:pPr>
        <w:pStyle w:val="Compact"/>
        <w:numPr>
          <w:ilvl w:val="0"/>
          <w:numId w:val="1007"/>
        </w:numPr>
      </w:pPr>
      <w:hyperlink r:id="rId63">
        <w:r>
          <w:rPr>
            <w:rStyle w:val="Hyperlink"/>
            <w:color w:val="0645AD"/>
            <w:u w:val="single"/>
          </w:rPr>
          <w:t xml:space="preserve">12 U.S.C. § 5365</w:t>
        </w:r>
      </w:hyperlink>
    </w:p>
    <w:p>
      <w:pPr>
        <w:pStyle w:val="Compact"/>
        <w:numPr>
          <w:ilvl w:val="0"/>
          <w:numId w:val="1007"/>
        </w:numPr>
      </w:pPr>
      <w:hyperlink r:id="rId84">
        <w:r>
          <w:rPr>
            <w:rStyle w:val="Hyperlink"/>
            <w:color w:val="0645AD"/>
            <w:u w:val="single"/>
          </w:rPr>
          <w:t xml:space="preserve">66 FR 8616, Interagency Guidelines Establishing Standards for Safeguarding Customer Information</w:t>
        </w:r>
      </w:hyperlink>
    </w:p>
    <w:p>
      <w:pPr>
        <w:pStyle w:val="Compact"/>
        <w:numPr>
          <w:ilvl w:val="0"/>
          <w:numId w:val="1007"/>
        </w:numPr>
      </w:pPr>
      <w:hyperlink r:id="rId91">
        <w:r>
          <w:rPr>
            <w:rStyle w:val="Hyperlink"/>
            <w:color w:val="0645AD"/>
            <w:u w:val="single"/>
          </w:rPr>
          <w:t xml:space="preserve">68 FR 25090, Customer Identification Programs for Banks</w:t>
        </w:r>
      </w:hyperlink>
    </w:p>
    <w:p>
      <w:pPr>
        <w:pStyle w:val="Compact"/>
        <w:numPr>
          <w:ilvl w:val="0"/>
          <w:numId w:val="1007"/>
        </w:numPr>
      </w:pPr>
      <w:hyperlink r:id="rId53">
        <w:r>
          <w:rPr>
            <w:rStyle w:val="Hyperlink"/>
            <w:color w:val="0645AD"/>
            <w:u w:val="single"/>
          </w:rPr>
          <w:t xml:space="preserve">76 FR 74631, Capital Plans Final Rule</w:t>
        </w:r>
      </w:hyperlink>
    </w:p>
    <w:p>
      <w:pPr>
        <w:pStyle w:val="Compact"/>
        <w:numPr>
          <w:ilvl w:val="0"/>
          <w:numId w:val="1007"/>
        </w:numPr>
      </w:pPr>
      <w:hyperlink r:id="rId55">
        <w:r>
          <w:rPr>
            <w:rStyle w:val="Hyperlink"/>
            <w:color w:val="0645AD"/>
            <w:u w:val="single"/>
          </w:rPr>
          <w:t xml:space="preserve">77 FR 29458, Supervisory Guidance on Stress Testing</w:t>
        </w:r>
      </w:hyperlink>
    </w:p>
    <w:p>
      <w:pPr>
        <w:pStyle w:val="Compact"/>
        <w:numPr>
          <w:ilvl w:val="0"/>
          <w:numId w:val="1007"/>
        </w:numPr>
      </w:pPr>
      <w:hyperlink r:id="rId132">
        <w:r>
          <w:rPr>
            <w:rStyle w:val="Hyperlink"/>
            <w:color w:val="0645AD"/>
            <w:u w:val="single"/>
          </w:rPr>
          <w:t xml:space="preserve">79 FR 4282, OCC Proposed Heightened Standards</w:t>
        </w:r>
      </w:hyperlink>
    </w:p>
    <w:p>
      <w:pPr>
        <w:pStyle w:val="Compact"/>
        <w:numPr>
          <w:ilvl w:val="0"/>
          <w:numId w:val="1007"/>
        </w:numPr>
      </w:pPr>
      <w:hyperlink r:id="rId47">
        <w:r>
          <w:rPr>
            <w:rStyle w:val="Hyperlink"/>
            <w:color w:val="0645AD"/>
            <w:u w:val="single"/>
          </w:rPr>
          <w:t xml:space="preserve">79 FR 54517, OCC Final Heightened Standards</w:t>
        </w:r>
      </w:hyperlink>
    </w:p>
    <w:p>
      <w:pPr>
        <w:pStyle w:val="Compact"/>
        <w:numPr>
          <w:ilvl w:val="0"/>
          <w:numId w:val="1007"/>
        </w:numPr>
      </w:pPr>
      <w:hyperlink r:id="rId75">
        <w:r>
          <w:rPr>
            <w:rStyle w:val="Hyperlink"/>
            <w:color w:val="0645AD"/>
            <w:u w:val="single"/>
          </w:rPr>
          <w:t xml:space="preserve">86 FR 38182, Proposed Interagency Guidance on Third-Party Relationships</w:t>
        </w:r>
      </w:hyperlink>
    </w:p>
    <w:p>
      <w:pPr>
        <w:pStyle w:val="Compact"/>
        <w:numPr>
          <w:ilvl w:val="0"/>
          <w:numId w:val="1007"/>
        </w:numPr>
      </w:pPr>
      <w:hyperlink r:id="rId74">
        <w:r>
          <w:rPr>
            <w:rStyle w:val="Hyperlink"/>
            <w:color w:val="0645AD"/>
            <w:u w:val="single"/>
          </w:rPr>
          <w:t xml:space="preserve">88 FR 37920, Interagency Guidance on Third-Party Relationships: Risk Management</w:t>
        </w:r>
      </w:hyperlink>
    </w:p>
    <w:p>
      <w:pPr>
        <w:pStyle w:val="Compact"/>
        <w:numPr>
          <w:ilvl w:val="0"/>
          <w:numId w:val="1007"/>
        </w:numPr>
      </w:pPr>
      <w:hyperlink r:id="rId67">
        <w:r>
          <w:rPr>
            <w:rStyle w:val="Hyperlink"/>
            <w:color w:val="0645AD"/>
            <w:u w:val="single"/>
          </w:rPr>
          <w:t xml:space="preserve">89 FR 66388, Guidance for Resolution Plan Submissions of Domestic Triennial Full Filers</w:t>
        </w:r>
      </w:hyperlink>
    </w:p>
    <w:p>
      <w:pPr>
        <w:pStyle w:val="Compact"/>
        <w:numPr>
          <w:ilvl w:val="0"/>
          <w:numId w:val="1007"/>
        </w:numPr>
      </w:pPr>
      <w:hyperlink r:id="rId138">
        <w:r>
          <w:rPr>
            <w:rStyle w:val="Hyperlink"/>
            <w:color w:val="0645AD"/>
            <w:u w:val="single"/>
          </w:rPr>
          <w:t xml:space="preserve">90 FR 31641, Revisions to the Large Financial Institution Rating System (Proposed)</w:t>
        </w:r>
      </w:hyperlink>
    </w:p>
    <w:p>
      <w:pPr>
        <w:pStyle w:val="Compact"/>
        <w:numPr>
          <w:ilvl w:val="0"/>
          <w:numId w:val="1007"/>
        </w:numPr>
      </w:pPr>
      <w:hyperlink r:id="rId25">
        <w:r>
          <w:rPr>
            <w:rStyle w:val="Hyperlink"/>
            <w:color w:val="0645AD"/>
            <w:u w:val="single"/>
          </w:rPr>
          <w:t xml:space="preserve">90 FR 51329, Revisions to the Large Financial Institution Rating System</w:t>
        </w:r>
      </w:hyperlink>
    </w:p>
    <w:p>
      <w:pPr>
        <w:pStyle w:val="Compact"/>
        <w:numPr>
          <w:ilvl w:val="0"/>
          <w:numId w:val="1007"/>
        </w:numPr>
      </w:pPr>
      <w:hyperlink r:id="rId86">
        <w:r>
          <w:rPr>
            <w:rStyle w:val="Hyperlink"/>
            <w:color w:val="0645AD"/>
            <w:u w:val="single"/>
          </w:rPr>
          <w:t xml:space="preserve">CA 22-3/SR 22-4, Computer-Security Incident Notification Requirements</w:t>
        </w:r>
      </w:hyperlink>
    </w:p>
    <w:p>
      <w:pPr>
        <w:pStyle w:val="Compact"/>
        <w:numPr>
          <w:ilvl w:val="0"/>
          <w:numId w:val="1007"/>
        </w:numPr>
      </w:pPr>
      <w:hyperlink r:id="rId64">
        <w:r>
          <w:rPr>
            <w:rStyle w:val="Hyperlink"/>
            <w:color w:val="0645AD"/>
            <w:u w:val="single"/>
          </w:rPr>
          <w:t xml:space="preserve">Dodd-Frank Act, Sec. 165</w:t>
        </w:r>
      </w:hyperlink>
    </w:p>
    <w:p>
      <w:pPr>
        <w:pStyle w:val="Compact"/>
        <w:numPr>
          <w:ilvl w:val="0"/>
          <w:numId w:val="1007"/>
        </w:numPr>
      </w:pPr>
      <w:hyperlink r:id="rId109">
        <w:r>
          <w:rPr>
            <w:rStyle w:val="Hyperlink"/>
            <w:color w:val="0645AD"/>
            <w:u w:val="single"/>
          </w:rPr>
          <w:t xml:space="preserve">FDIA Section 32</w:t>
        </w:r>
      </w:hyperlink>
    </w:p>
    <w:p>
      <w:pPr>
        <w:pStyle w:val="Compact"/>
        <w:numPr>
          <w:ilvl w:val="0"/>
          <w:numId w:val="1007"/>
        </w:numPr>
      </w:pPr>
      <w:hyperlink r:id="rId114">
        <w:r>
          <w:rPr>
            <w:rStyle w:val="Hyperlink"/>
            <w:color w:val="0645AD"/>
            <w:u w:val="single"/>
          </w:rPr>
          <w:t xml:space="preserve">FDIA Section 38</w:t>
        </w:r>
      </w:hyperlink>
    </w:p>
    <w:p>
      <w:pPr>
        <w:pStyle w:val="Compact"/>
        <w:numPr>
          <w:ilvl w:val="0"/>
          <w:numId w:val="1007"/>
        </w:numPr>
      </w:pPr>
      <w:hyperlink r:id="rId112">
        <w:r>
          <w:rPr>
            <w:rStyle w:val="Hyperlink"/>
            <w:color w:val="0645AD"/>
            <w:u w:val="single"/>
          </w:rPr>
          <w:t xml:space="preserve">FDIA Section 39</w:t>
        </w:r>
      </w:hyperlink>
    </w:p>
    <w:p>
      <w:pPr>
        <w:pStyle w:val="Compact"/>
        <w:numPr>
          <w:ilvl w:val="0"/>
          <w:numId w:val="1007"/>
        </w:numPr>
      </w:pPr>
      <w:hyperlink r:id="rId113">
        <w:r>
          <w:rPr>
            <w:rStyle w:val="Hyperlink"/>
            <w:color w:val="0645AD"/>
            <w:u w:val="single"/>
          </w:rPr>
          <w:t xml:space="preserve">FDIA Section 7</w:t>
        </w:r>
      </w:hyperlink>
    </w:p>
    <w:p>
      <w:pPr>
        <w:pStyle w:val="Compact"/>
        <w:numPr>
          <w:ilvl w:val="0"/>
          <w:numId w:val="1007"/>
        </w:numPr>
      </w:pPr>
      <w:hyperlink r:id="rId49">
        <w:r>
          <w:rPr>
            <w:rStyle w:val="Hyperlink"/>
            <w:color w:val="0645AD"/>
            <w:u w:val="single"/>
          </w:rPr>
          <w:t xml:space="preserve">FDIC Director McKernan Statement (October 3, 2023)</w:t>
        </w:r>
      </w:hyperlink>
    </w:p>
    <w:p>
      <w:pPr>
        <w:pStyle w:val="Compact"/>
        <w:numPr>
          <w:ilvl w:val="0"/>
          <w:numId w:val="1007"/>
        </w:numPr>
      </w:pPr>
      <w:hyperlink r:id="rId94">
        <w:r>
          <w:rPr>
            <w:rStyle w:val="Hyperlink"/>
            <w:color w:val="0645AD"/>
            <w:u w:val="single"/>
          </w:rPr>
          <w:t xml:space="preserve">FDIC Proposes Corporate Governance and Risk Management Guidelines, Goodwin Law (November 2023)</w:t>
        </w:r>
      </w:hyperlink>
    </w:p>
    <w:p>
      <w:pPr>
        <w:pStyle w:val="Compact"/>
        <w:numPr>
          <w:ilvl w:val="0"/>
          <w:numId w:val="1007"/>
        </w:numPr>
      </w:pPr>
      <w:hyperlink r:id="rId140">
        <w:r>
          <w:rPr>
            <w:rStyle w:val="Hyperlink"/>
            <w:color w:val="0645AD"/>
            <w:u w:val="single"/>
          </w:rPr>
          <w:t xml:space="preserve">FDIC Rule 305.1: Enforcement and Supervision Standards (Proposed)</w:t>
        </w:r>
      </w:hyperlink>
    </w:p>
    <w:p>
      <w:pPr>
        <w:pStyle w:val="Compact"/>
        <w:numPr>
          <w:ilvl w:val="0"/>
          <w:numId w:val="1007"/>
        </w:numPr>
      </w:pPr>
      <w:hyperlink r:id="rId96">
        <w:r>
          <w:rPr>
            <w:rStyle w:val="Hyperlink"/>
            <w:color w:val="0645AD"/>
            <w:u w:val="single"/>
          </w:rPr>
          <w:t xml:space="preserve">FDIC Rules, Part 364, Appendix A</w:t>
        </w:r>
      </w:hyperlink>
    </w:p>
    <w:p>
      <w:pPr>
        <w:pStyle w:val="Compact"/>
        <w:numPr>
          <w:ilvl w:val="0"/>
          <w:numId w:val="1007"/>
        </w:numPr>
      </w:pPr>
      <w:hyperlink r:id="rId44">
        <w:r>
          <w:rPr>
            <w:rStyle w:val="Hyperlink"/>
            <w:color w:val="0645AD"/>
            <w:u w:val="single"/>
          </w:rPr>
          <w:t xml:space="preserve">FDIC Withdraws Proposed Banking Rules</w:t>
        </w:r>
      </w:hyperlink>
    </w:p>
    <w:p>
      <w:pPr>
        <w:pStyle w:val="Compact"/>
        <w:numPr>
          <w:ilvl w:val="0"/>
          <w:numId w:val="1007"/>
        </w:numPr>
      </w:pPr>
      <w:hyperlink r:id="rId95">
        <w:r>
          <w:rPr>
            <w:rStyle w:val="Hyperlink"/>
            <w:color w:val="0645AD"/>
            <w:u w:val="single"/>
          </w:rPr>
          <w:t xml:space="preserve">FRS Rules, Part 208, Appendix D-1</w:t>
        </w:r>
      </w:hyperlink>
    </w:p>
    <w:p>
      <w:pPr>
        <w:pStyle w:val="Compact"/>
        <w:numPr>
          <w:ilvl w:val="0"/>
          <w:numId w:val="1007"/>
        </w:numPr>
      </w:pPr>
      <w:hyperlink r:id="rId83">
        <w:r>
          <w:rPr>
            <w:rStyle w:val="Hyperlink"/>
            <w:color w:val="0645AD"/>
            <w:u w:val="single"/>
          </w:rPr>
          <w:t xml:space="preserve">FRS Rules, Part 225, Appendix F</w:t>
        </w:r>
      </w:hyperlink>
    </w:p>
    <w:p>
      <w:pPr>
        <w:pStyle w:val="Compact"/>
        <w:numPr>
          <w:ilvl w:val="0"/>
          <w:numId w:val="1007"/>
        </w:numPr>
      </w:pPr>
      <w:hyperlink r:id="rId23">
        <w:r>
          <w:rPr>
            <w:rStyle w:val="Hyperlink"/>
            <w:color w:val="0645AD"/>
            <w:u w:val="single"/>
          </w:rPr>
          <w:t xml:space="preserve">Federal Reserve Board Finalizes Board Effectiveness Guidance, Debevoise &amp; Plimpton (March 10, 2021)</w:t>
        </w:r>
      </w:hyperlink>
    </w:p>
    <w:p>
      <w:pPr>
        <w:pStyle w:val="Compact"/>
        <w:numPr>
          <w:ilvl w:val="0"/>
          <w:numId w:val="1007"/>
        </w:numPr>
      </w:pPr>
      <w:hyperlink r:id="rId117">
        <w:r>
          <w:rPr>
            <w:rStyle w:val="Hyperlink"/>
            <w:color w:val="0645AD"/>
            <w:u w:val="single"/>
          </w:rPr>
          <w:t xml:space="preserve">Federal Reserve Commercial Bank Examination Manual Supplements</w:t>
        </w:r>
      </w:hyperlink>
    </w:p>
    <w:p>
      <w:pPr>
        <w:pStyle w:val="Compact"/>
        <w:numPr>
          <w:ilvl w:val="0"/>
          <w:numId w:val="1007"/>
        </w:numPr>
      </w:pPr>
      <w:hyperlink r:id="rId106">
        <w:r>
          <w:rPr>
            <w:rStyle w:val="Hyperlink"/>
            <w:color w:val="0645AD"/>
            <w:u w:val="single"/>
          </w:rPr>
          <w:t xml:space="preserve">Federal Reserve Commercial Bank Examination Manual, Section 4000</w:t>
        </w:r>
      </w:hyperlink>
    </w:p>
    <w:p>
      <w:pPr>
        <w:pStyle w:val="Compact"/>
        <w:numPr>
          <w:ilvl w:val="0"/>
          <w:numId w:val="1007"/>
        </w:numPr>
      </w:pPr>
      <w:hyperlink r:id="rId27">
        <w:r>
          <w:rPr>
            <w:rStyle w:val="Hyperlink"/>
            <w:color w:val="0645AD"/>
            <w:u w:val="single"/>
          </w:rPr>
          <w:t xml:space="preserve">Large Institution Supervision Coordinating Committee Program Manual</w:t>
        </w:r>
      </w:hyperlink>
    </w:p>
    <w:p>
      <w:pPr>
        <w:pStyle w:val="Compact"/>
        <w:numPr>
          <w:ilvl w:val="0"/>
          <w:numId w:val="1007"/>
        </w:numPr>
      </w:pPr>
      <w:hyperlink r:id="rId43">
        <w:r>
          <w:rPr>
            <w:rStyle w:val="Hyperlink"/>
            <w:color w:val="0645AD"/>
            <w:u w:val="single"/>
          </w:rPr>
          <w:t xml:space="preserve">OCC Bulletin 2014-45: Heightened Standards for Large Banks</w:t>
        </w:r>
      </w:hyperlink>
    </w:p>
    <w:p>
      <w:pPr>
        <w:pStyle w:val="Compact"/>
        <w:numPr>
          <w:ilvl w:val="0"/>
          <w:numId w:val="1007"/>
        </w:numPr>
      </w:pPr>
      <w:hyperlink r:id="rId48">
        <w:r>
          <w:rPr>
            <w:rStyle w:val="Hyperlink"/>
            <w:color w:val="0645AD"/>
            <w:u w:val="single"/>
          </w:rPr>
          <w:t xml:space="preserve">OCC Bulletin 2016-25, Corporate and Risk Governance Booklet</w:t>
        </w:r>
      </w:hyperlink>
    </w:p>
    <w:p>
      <w:pPr>
        <w:pStyle w:val="Compact"/>
        <w:numPr>
          <w:ilvl w:val="0"/>
          <w:numId w:val="1007"/>
        </w:numPr>
      </w:pPr>
      <w:hyperlink r:id="rId79">
        <w:r>
          <w:rPr>
            <w:rStyle w:val="Hyperlink"/>
            <w:color w:val="0645AD"/>
            <w:u w:val="single"/>
          </w:rPr>
          <w:t xml:space="preserve">OCC Rules, Part 30, Appendix A</w:t>
        </w:r>
      </w:hyperlink>
    </w:p>
    <w:p>
      <w:pPr>
        <w:pStyle w:val="Compact"/>
        <w:numPr>
          <w:ilvl w:val="0"/>
          <w:numId w:val="1007"/>
        </w:numPr>
      </w:pPr>
      <w:hyperlink r:id="rId139">
        <w:r>
          <w:rPr>
            <w:rStyle w:val="Hyperlink"/>
            <w:color w:val="0645AD"/>
            <w:u w:val="single"/>
          </w:rPr>
          <w:t xml:space="preserve">Revisions to the Large Financial Institution Rating System, Sullivan &amp; Cromwell LLP (July 2025)</w:t>
        </w:r>
      </w:hyperlink>
    </w:p>
    <w:p>
      <w:pPr>
        <w:pStyle w:val="Compact"/>
        <w:numPr>
          <w:ilvl w:val="0"/>
          <w:numId w:val="1007"/>
        </w:numPr>
      </w:pPr>
      <w:hyperlink r:id="rId22">
        <w:r>
          <w:rPr>
            <w:rStyle w:val="Hyperlink"/>
            <w:color w:val="0645AD"/>
            <w:u w:val="single"/>
          </w:rPr>
          <w:t xml:space="preserve">SR 12-17: Consolidated Supervision Framework for Large Financial Institutions</w:t>
        </w:r>
      </w:hyperlink>
    </w:p>
    <w:p>
      <w:pPr>
        <w:pStyle w:val="Compact"/>
        <w:numPr>
          <w:ilvl w:val="0"/>
          <w:numId w:val="1007"/>
        </w:numPr>
      </w:pPr>
      <w:hyperlink r:id="rId66">
        <w:r>
          <w:rPr>
            <w:rStyle w:val="Hyperlink"/>
            <w:color w:val="0645AD"/>
            <w:u w:val="single"/>
          </w:rPr>
          <w:t xml:space="preserve">SR 14-1, Heightened Supervisory Expectations for Recovery and Resolution Preparedness</w:t>
        </w:r>
      </w:hyperlink>
    </w:p>
    <w:p>
      <w:pPr>
        <w:pStyle w:val="Compact"/>
        <w:numPr>
          <w:ilvl w:val="0"/>
          <w:numId w:val="1007"/>
        </w:numPr>
      </w:pPr>
      <w:hyperlink r:id="rId31">
        <w:r>
          <w:rPr>
            <w:rStyle w:val="Hyperlink"/>
            <w:color w:val="0645AD"/>
            <w:u w:val="single"/>
          </w:rPr>
          <w:t xml:space="preserve">SR 21-3/CA 21-1 Attachment, Supervisory Guidance for Boards of Directors</w:t>
        </w:r>
      </w:hyperlink>
    </w:p>
    <w:p>
      <w:pPr>
        <w:pStyle w:val="Compact"/>
        <w:numPr>
          <w:ilvl w:val="0"/>
          <w:numId w:val="1007"/>
        </w:numPr>
      </w:pPr>
      <w:hyperlink r:id="rId30">
        <w:r>
          <w:rPr>
            <w:rStyle w:val="Hyperlink"/>
            <w:color w:val="0645AD"/>
            <w:u w:val="single"/>
          </w:rPr>
          <w:t xml:space="preserve">SR 21-3/CA 21-1, Supervisory Guidance on Board of Directors’ Effectiveness</w:t>
        </w:r>
      </w:hyperlink>
    </w:p>
    <w:p>
      <w:pPr>
        <w:pStyle w:val="Compact"/>
        <w:numPr>
          <w:ilvl w:val="0"/>
          <w:numId w:val="1007"/>
        </w:numPr>
      </w:pPr>
      <w:hyperlink r:id="rId40">
        <w:r>
          <w:rPr>
            <w:rStyle w:val="Hyperlink"/>
            <w:color w:val="0645AD"/>
            <w:u w:val="single"/>
          </w:rPr>
          <w:t xml:space="preserve">SR 21-4/CA 21-2</w:t>
        </w:r>
      </w:hyperlink>
    </w:p>
    <w:p>
      <w:pPr>
        <w:pStyle w:val="Compact"/>
        <w:numPr>
          <w:ilvl w:val="0"/>
          <w:numId w:val="1007"/>
        </w:numPr>
      </w:pPr>
      <w:hyperlink r:id="rId39">
        <w:r>
          <w:rPr>
            <w:rStyle w:val="Hyperlink"/>
            <w:color w:val="0645AD"/>
            <w:u w:val="single"/>
          </w:rPr>
          <w:t xml:space="preserve">SR 21-4/CA 21-2 Attachment</w:t>
        </w:r>
      </w:hyperlink>
    </w:p>
    <w:p>
      <w:pPr>
        <w:pStyle w:val="Compact"/>
        <w:numPr>
          <w:ilvl w:val="0"/>
          <w:numId w:val="1007"/>
        </w:numPr>
      </w:pPr>
      <w:hyperlink r:id="rId71">
        <w:r>
          <w:rPr>
            <w:rStyle w:val="Hyperlink"/>
            <w:color w:val="0645AD"/>
            <w:u w:val="single"/>
          </w:rPr>
          <w:t xml:space="preserve">SR 22-8: Framework for the Supervision of Insurance Organizations</w:t>
        </w:r>
      </w:hyperlink>
    </w:p>
    <w:p>
      <w:pPr>
        <w:pStyle w:val="Compact"/>
        <w:numPr>
          <w:ilvl w:val="0"/>
          <w:numId w:val="1007"/>
        </w:numPr>
      </w:pPr>
      <w:hyperlink r:id="rId88">
        <w:r>
          <w:rPr>
            <w:rStyle w:val="Hyperlink"/>
            <w:color w:val="0645AD"/>
            <w:u w:val="single"/>
          </w:rPr>
          <w:t xml:space="preserve">SR 24-7: FFIEC Cybersecurity Assessment Tool Sunset Statement</w:t>
        </w:r>
      </w:hyperlink>
    </w:p>
    <w:p>
      <w:pPr>
        <w:pStyle w:val="Compact"/>
        <w:numPr>
          <w:ilvl w:val="0"/>
          <w:numId w:val="1007"/>
        </w:numPr>
      </w:pPr>
      <w:hyperlink r:id="rId127">
        <w:r>
          <w:rPr>
            <w:rStyle w:val="Hyperlink"/>
            <w:color w:val="0645AD"/>
            <w:u w:val="single"/>
          </w:rPr>
          <w:t xml:space="preserve">US FRB Finalizes Board Effectiveness Guidance, Mayer Brown</w:t>
        </w:r>
      </w:hyperlink>
    </w:p>
    <w:bookmarkEnd w:id="144"/>
    <w:bookmarkEnd w:id="145"/>
    <w:p/>
    <w:p>
      <w:r>
        <w:rPr>
          <w:rFonts w:ascii="Pretendard" w:hAnsi="Pretendard"/>
          <w:i/>
          <w:color w:val="666666"/>
          <w:sz w:val="18"/>
        </w:rPr>
        <w:t>This document was generated by AI. Please review all content and verify against primary sources before relying on it.</w:t>
      </w:r>
    </w:p>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560" w:line="240" w:lineRule="auto"/>
      <w:outlineLvl w:val="0"/>
    </w:pPr>
    <w:rPr>
      <w:rFonts w:asciiTheme="majorHAnsi" w:cstheme="majorBidi" w:eastAsiaTheme="majorEastAsia" w:hAnsiTheme="majorHAnsi"/>
      <w:b/>
      <w:bCs/>
      <w:color w:val="1C1C1C"/>
      <w:sz w:val="36"/>
      <w:szCs w:val="28"/>
    </w:rPr>
  </w:style>
  <w:style w:styleId="Heading2" w:type="paragraph">
    <w:name w:val="heading 2"/>
    <w:basedOn w:val="Normal"/>
    <w:next w:val="Normal"/>
    <w:link w:val="Heading2Char"/>
    <w:uiPriority w:val="9"/>
    <w:unhideWhenUsed/>
    <w:qFormat/>
    <w:rsid w:val="00FC693F"/>
    <w:pPr>
      <w:keepNext/>
      <w:keepLines/>
      <w:spacing w:after="60" w:before="360"/>
      <w:outlineLvl w:val="1"/>
    </w:pPr>
    <w:rPr>
      <w:rFonts w:asciiTheme="majorHAnsi" w:cstheme="majorBidi" w:eastAsiaTheme="majorEastAsia" w:hAnsiTheme="majorHAnsi"/>
      <w:b/>
      <w:bCs/>
      <w:color w:val="1C1C1C"/>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b/>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b/>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b/>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b/>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b/>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6" Type="http://schemas.openxmlformats.org/officeDocument/2006/relationships/hyperlink" Target="http://business.cch.com/BANKD/sr141_01242014.pdf" TargetMode="External"/><Relationship Id="rId48" Type="http://schemas.openxmlformats.org/officeDocument/2006/relationships/hyperlink" Target="http://business.cch.com/BFLD/CorporateandRiskGovernance-080116.pdf" TargetMode="External"/><Relationship Id="rId44" Type="http://schemas.openxmlformats.org/officeDocument/2006/relationships/hyperlink" Target="https://caffrey.ai/news/03/05/2025/fdic-withdraws-proposed-banking-rules" TargetMode="External"/><Relationship Id="rId27" Type="http://schemas.openxmlformats.org/officeDocument/2006/relationships/hyperlink" Target="https://caffrey.ai/us-federal/fed.-res.-board/banks/regulatory-guidance/large-institution-supervision-coordinating-committee-program-manual" TargetMode="External"/><Relationship Id="rId106" Type="http://schemas.openxmlformats.org/officeDocument/2006/relationships/hyperlink" Target="https://caffrey.ai/us-federal/us-banking-regulators/guidance/interpretations/federal-reserve-commercial-bank-examination-manual-4000-management-activities-and-internal-controls" TargetMode="External"/><Relationship Id="rId117" Type="http://schemas.openxmlformats.org/officeDocument/2006/relationships/hyperlink" Target="https://caffrey.ai/us-federal/us-banking-regulators/guidance/interpretations/federal-reserve-commercial-bank-examination-manual-supplements" TargetMode="External"/><Relationship Id="rId22" Type="http://schemas.openxmlformats.org/officeDocument/2006/relationships/hyperlink" Target="https://caffrey.ai/us-federal/us-banking-regulators/guidance/interpretations/sr-12-17-consolidated-supervision-framework-large-financial-institutions" TargetMode="External"/><Relationship Id="rId71" Type="http://schemas.openxmlformats.org/officeDocument/2006/relationships/hyperlink" Target="https://caffrey.ai/us-federal/us-banking-regulators/guidance/interpretations/sr-22-8-framework-supervision-insurance-organizations" TargetMode="External"/><Relationship Id="rId88" Type="http://schemas.openxmlformats.org/officeDocument/2006/relationships/hyperlink" Target="https://caffrey.ai/us-federal/us-banking-regulators/guidance/interpretations/sr-24-7-ffiec-cybersecurity-assessment-tool-sunset-statement" TargetMode="External"/><Relationship Id="rId43" Type="http://schemas.openxmlformats.org/officeDocument/2006/relationships/hyperlink" Target="https://caffrey.ai/us-federal/us-banking-regulators/notices/sro-rule-filings/bulletins/occ-bulletin-2014-45-heightened-standards-large-banks-integration-12-cfr-30-and-12-cfr-170-final-rules-and-guidelines" TargetMode="External"/><Relationship Id="rId52" Type="http://schemas.openxmlformats.org/officeDocument/2006/relationships/hyperlink" Target="https://caffrey.ai/us/cfr/12/225.8" TargetMode="External"/><Relationship Id="rId100" Type="http://schemas.openxmlformats.org/officeDocument/2006/relationships/hyperlink" Target="https://caffrey.ai/us/cfr/12/252.22" TargetMode="External"/><Relationship Id="rId59" Type="http://schemas.openxmlformats.org/officeDocument/2006/relationships/hyperlink" Target="https://caffrey.ai/us/cfr/12/252.34" TargetMode="External"/><Relationship Id="rId60" Type="http://schemas.openxmlformats.org/officeDocument/2006/relationships/hyperlink" Target="https://caffrey.ai/us/cfr/12/252.35" TargetMode="External"/><Relationship Id="rId54" Type="http://schemas.openxmlformats.org/officeDocument/2006/relationships/hyperlink" Target="https://caffrey.ai/us/cfr/12/252.56" TargetMode="External"/><Relationship Id="rId140" Type="http://schemas.openxmlformats.org/officeDocument/2006/relationships/hyperlink" Target="https://caffrey.ai/us/cfr/12/305.1" TargetMode="External"/><Relationship Id="rId79" Type="http://schemas.openxmlformats.org/officeDocument/2006/relationships/hyperlink" Target="https://caffrey.ai/us/cfr/12/appendix_a_to_part_30" TargetMode="External"/><Relationship Id="rId96" Type="http://schemas.openxmlformats.org/officeDocument/2006/relationships/hyperlink" Target="https://caffrey.ai/us/cfr/12/appendix_a_to_part_364" TargetMode="External"/><Relationship Id="rId95" Type="http://schemas.openxmlformats.org/officeDocument/2006/relationships/hyperlink" Target="https://caffrey.ai/us/cfr/12/appendix_d-1_to_part_208" TargetMode="External"/><Relationship Id="rId83" Type="http://schemas.openxmlformats.org/officeDocument/2006/relationships/hyperlink" Target="https://caffrey.ai/us/cfr/12/appendix_f_to_part_225" TargetMode="External"/><Relationship Id="rId84" Type="http://schemas.openxmlformats.org/officeDocument/2006/relationships/hyperlink" Target="https://caffrey.ai/us/fr/01-1114" TargetMode="External"/><Relationship Id="rId91" Type="http://schemas.openxmlformats.org/officeDocument/2006/relationships/hyperlink" Target="https://caffrey.ai/us/fr/03-11019" TargetMode="External"/><Relationship Id="rId53" Type="http://schemas.openxmlformats.org/officeDocument/2006/relationships/hyperlink" Target="https://caffrey.ai/us/fr/2011-30665" TargetMode="External"/><Relationship Id="rId55" Type="http://schemas.openxmlformats.org/officeDocument/2006/relationships/hyperlink" Target="https://caffrey.ai/us/fr/2012-11989" TargetMode="External"/><Relationship Id="rId132" Type="http://schemas.openxmlformats.org/officeDocument/2006/relationships/hyperlink" Target="https://caffrey.ai/us/fr/2014-00639" TargetMode="External"/><Relationship Id="rId47" Type="http://schemas.openxmlformats.org/officeDocument/2006/relationships/hyperlink" Target="https://caffrey.ai/us/fr/2014-21224" TargetMode="External"/><Relationship Id="rId75" Type="http://schemas.openxmlformats.org/officeDocument/2006/relationships/hyperlink" Target="https://caffrey.ai/us/fr/2021-15308" TargetMode="External"/><Relationship Id="rId74" Type="http://schemas.openxmlformats.org/officeDocument/2006/relationships/hyperlink" Target="https://caffrey.ai/us/fr/2023-12340" TargetMode="External"/><Relationship Id="rId67" Type="http://schemas.openxmlformats.org/officeDocument/2006/relationships/hyperlink" Target="https://caffrey.ai/us/fr/2024-18191" TargetMode="External"/><Relationship Id="rId138" Type="http://schemas.openxmlformats.org/officeDocument/2006/relationships/hyperlink" Target="https://caffrey.ai/us/fr/2025-13223" TargetMode="External"/><Relationship Id="rId25" Type="http://schemas.openxmlformats.org/officeDocument/2006/relationships/hyperlink" Target="https://caffrey.ai/us/fr/2025-19945" TargetMode="External"/><Relationship Id="rId64" Type="http://schemas.openxmlformats.org/officeDocument/2006/relationships/hyperlink" Target="https://caffrey.ai/us/pl/dodd-frank/t1/s165" TargetMode="External"/><Relationship Id="rId113" Type="http://schemas.openxmlformats.org/officeDocument/2006/relationships/hyperlink" Target="https://caffrey.ai/us/usc/t12/s1817" TargetMode="External"/><Relationship Id="rId109" Type="http://schemas.openxmlformats.org/officeDocument/2006/relationships/hyperlink" Target="https://caffrey.ai/us/usc/t12/s1831i" TargetMode="External"/><Relationship Id="rId114" Type="http://schemas.openxmlformats.org/officeDocument/2006/relationships/hyperlink" Target="https://caffrey.ai/us/usc/t12/s1831o" TargetMode="External"/><Relationship Id="rId112" Type="http://schemas.openxmlformats.org/officeDocument/2006/relationships/hyperlink" Target="https://caffrey.ai/us/usc/t12/s1831p-1" TargetMode="External"/><Relationship Id="rId63" Type="http://schemas.openxmlformats.org/officeDocument/2006/relationships/hyperlink" Target="https://caffrey.ai/us/usc/t12/s5365" TargetMode="External"/><Relationship Id="rId86" Type="http://schemas.openxmlformats.org/officeDocument/2006/relationships/hyperlink" Target="https://www.consumercomplianceoutlook.org/2022/first-issue/federal-reserve-board-consumer-letters-2021-2022" TargetMode="External"/><Relationship Id="rId23" Type="http://schemas.openxmlformats.org/officeDocument/2006/relationships/hyperlink" Target="https://www.debevoise.com/-/media/files/insights/publications/2021/03/20210310-federal-reserve-board-finalizes-board.pdf" TargetMode="External"/><Relationship Id="rId49" Type="http://schemas.openxmlformats.org/officeDocument/2006/relationships/hyperlink" Target="https://www.fdic.gov/news/speeches/2023/spoct0323c.html" TargetMode="External"/><Relationship Id="rId30" Type="http://schemas.openxmlformats.org/officeDocument/2006/relationships/hyperlink" Target="https://www.federalreserve.gov/supervisionreg/srletters/SR2103.htm" TargetMode="External"/><Relationship Id="rId31" Type="http://schemas.openxmlformats.org/officeDocument/2006/relationships/hyperlink" Target="https://www.federalreserve.gov/supervisionreg/srletters/SR2103a1.pdf" TargetMode="External"/><Relationship Id="rId40" Type="http://schemas.openxmlformats.org/officeDocument/2006/relationships/hyperlink" Target="https://www.federalreserve.gov/supervisionreg/srletters/SR2104.htm" TargetMode="External"/><Relationship Id="rId39" Type="http://schemas.openxmlformats.org/officeDocument/2006/relationships/hyperlink" Target="https://www.federalreserve.gov/supervisionreg/srletters/SR2104a1.pdf" TargetMode="External"/><Relationship Id="rId94" Type="http://schemas.openxmlformats.org/officeDocument/2006/relationships/hyperlink" Target="https://www.goodwinlaw.com/en/insights/publications/2023/11/alerts-finance-ftec-fdic-proposes-guidelines-establishing-standards-for-corporate" TargetMode="External"/><Relationship Id="rId127" Type="http://schemas.openxmlformats.org/officeDocument/2006/relationships/hyperlink" Target="https://www.mayerbrown.com/en/insights/publications/2021/03/us-frb-finalizes-board-effectiveness-guidance" TargetMode="External"/><Relationship Id="rId139" Type="http://schemas.openxmlformats.org/officeDocument/2006/relationships/hyperlink" Target="https://www.sullcrom.com/insights/memo/2025/July/Revisions-Large-Financial-Institution-Rating-System" TargetMode="Externa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66" Type="http://schemas.openxmlformats.org/officeDocument/2006/relationships/hyperlink" Target="http://business.cch.com/BANKD/sr141_01242014.pdf" TargetMode="External"/><Relationship Id="rId48" Type="http://schemas.openxmlformats.org/officeDocument/2006/relationships/hyperlink" Target="http://business.cch.com/BFLD/CorporateandRiskGovernance-080116.pdf" TargetMode="External"/><Relationship Id="rId44" Type="http://schemas.openxmlformats.org/officeDocument/2006/relationships/hyperlink" Target="https://caffrey.ai/news/03/05/2025/fdic-withdraws-proposed-banking-rules" TargetMode="External"/><Relationship Id="rId27" Type="http://schemas.openxmlformats.org/officeDocument/2006/relationships/hyperlink" Target="https://caffrey.ai/us-federal/fed.-res.-board/banks/regulatory-guidance/large-institution-supervision-coordinating-committee-program-manual" TargetMode="External"/><Relationship Id="rId106" Type="http://schemas.openxmlformats.org/officeDocument/2006/relationships/hyperlink" Target="https://caffrey.ai/us-federal/us-banking-regulators/guidance/interpretations/federal-reserve-commercial-bank-examination-manual-4000-management-activities-and-internal-controls" TargetMode="External"/><Relationship Id="rId117" Type="http://schemas.openxmlformats.org/officeDocument/2006/relationships/hyperlink" Target="https://caffrey.ai/us-federal/us-banking-regulators/guidance/interpretations/federal-reserve-commercial-bank-examination-manual-supplements" TargetMode="External"/><Relationship Id="rId22" Type="http://schemas.openxmlformats.org/officeDocument/2006/relationships/hyperlink" Target="https://caffrey.ai/us-federal/us-banking-regulators/guidance/interpretations/sr-12-17-consolidated-supervision-framework-large-financial-institutions" TargetMode="External"/><Relationship Id="rId71" Type="http://schemas.openxmlformats.org/officeDocument/2006/relationships/hyperlink" Target="https://caffrey.ai/us-federal/us-banking-regulators/guidance/interpretations/sr-22-8-framework-supervision-insurance-organizations" TargetMode="External"/><Relationship Id="rId88" Type="http://schemas.openxmlformats.org/officeDocument/2006/relationships/hyperlink" Target="https://caffrey.ai/us-federal/us-banking-regulators/guidance/interpretations/sr-24-7-ffiec-cybersecurity-assessment-tool-sunset-statement" TargetMode="External"/><Relationship Id="rId43" Type="http://schemas.openxmlformats.org/officeDocument/2006/relationships/hyperlink" Target="https://caffrey.ai/us-federal/us-banking-regulators/notices/sro-rule-filings/bulletins/occ-bulletin-2014-45-heightened-standards-large-banks-integration-12-cfr-30-and-12-cfr-170-final-rules-and-guidelines" TargetMode="External"/><Relationship Id="rId52" Type="http://schemas.openxmlformats.org/officeDocument/2006/relationships/hyperlink" Target="https://caffrey.ai/us/cfr/12/225.8" TargetMode="External"/><Relationship Id="rId100" Type="http://schemas.openxmlformats.org/officeDocument/2006/relationships/hyperlink" Target="https://caffrey.ai/us/cfr/12/252.22" TargetMode="External"/><Relationship Id="rId59" Type="http://schemas.openxmlformats.org/officeDocument/2006/relationships/hyperlink" Target="https://caffrey.ai/us/cfr/12/252.34" TargetMode="External"/><Relationship Id="rId60" Type="http://schemas.openxmlformats.org/officeDocument/2006/relationships/hyperlink" Target="https://caffrey.ai/us/cfr/12/252.35" TargetMode="External"/><Relationship Id="rId54" Type="http://schemas.openxmlformats.org/officeDocument/2006/relationships/hyperlink" Target="https://caffrey.ai/us/cfr/12/252.56" TargetMode="External"/><Relationship Id="rId140" Type="http://schemas.openxmlformats.org/officeDocument/2006/relationships/hyperlink" Target="https://caffrey.ai/us/cfr/12/305.1" TargetMode="External"/><Relationship Id="rId79" Type="http://schemas.openxmlformats.org/officeDocument/2006/relationships/hyperlink" Target="https://caffrey.ai/us/cfr/12/appendix_a_to_part_30" TargetMode="External"/><Relationship Id="rId96" Type="http://schemas.openxmlformats.org/officeDocument/2006/relationships/hyperlink" Target="https://caffrey.ai/us/cfr/12/appendix_a_to_part_364" TargetMode="External"/><Relationship Id="rId95" Type="http://schemas.openxmlformats.org/officeDocument/2006/relationships/hyperlink" Target="https://caffrey.ai/us/cfr/12/appendix_d-1_to_part_208" TargetMode="External"/><Relationship Id="rId83" Type="http://schemas.openxmlformats.org/officeDocument/2006/relationships/hyperlink" Target="https://caffrey.ai/us/cfr/12/appendix_f_to_part_225" TargetMode="External"/><Relationship Id="rId84" Type="http://schemas.openxmlformats.org/officeDocument/2006/relationships/hyperlink" Target="https://caffrey.ai/us/fr/01-1114" TargetMode="External"/><Relationship Id="rId91" Type="http://schemas.openxmlformats.org/officeDocument/2006/relationships/hyperlink" Target="https://caffrey.ai/us/fr/03-11019" TargetMode="External"/><Relationship Id="rId53" Type="http://schemas.openxmlformats.org/officeDocument/2006/relationships/hyperlink" Target="https://caffrey.ai/us/fr/2011-30665" TargetMode="External"/><Relationship Id="rId55" Type="http://schemas.openxmlformats.org/officeDocument/2006/relationships/hyperlink" Target="https://caffrey.ai/us/fr/2012-11989" TargetMode="External"/><Relationship Id="rId132" Type="http://schemas.openxmlformats.org/officeDocument/2006/relationships/hyperlink" Target="https://caffrey.ai/us/fr/2014-00639" TargetMode="External"/><Relationship Id="rId47" Type="http://schemas.openxmlformats.org/officeDocument/2006/relationships/hyperlink" Target="https://caffrey.ai/us/fr/2014-21224" TargetMode="External"/><Relationship Id="rId75" Type="http://schemas.openxmlformats.org/officeDocument/2006/relationships/hyperlink" Target="https://caffrey.ai/us/fr/2021-15308" TargetMode="External"/><Relationship Id="rId74" Type="http://schemas.openxmlformats.org/officeDocument/2006/relationships/hyperlink" Target="https://caffrey.ai/us/fr/2023-12340" TargetMode="External"/><Relationship Id="rId67" Type="http://schemas.openxmlformats.org/officeDocument/2006/relationships/hyperlink" Target="https://caffrey.ai/us/fr/2024-18191" TargetMode="External"/><Relationship Id="rId138" Type="http://schemas.openxmlformats.org/officeDocument/2006/relationships/hyperlink" Target="https://caffrey.ai/us/fr/2025-13223" TargetMode="External"/><Relationship Id="rId25" Type="http://schemas.openxmlformats.org/officeDocument/2006/relationships/hyperlink" Target="https://caffrey.ai/us/fr/2025-19945" TargetMode="External"/><Relationship Id="rId64" Type="http://schemas.openxmlformats.org/officeDocument/2006/relationships/hyperlink" Target="https://caffrey.ai/us/pl/dodd-frank/t1/s165" TargetMode="External"/><Relationship Id="rId113" Type="http://schemas.openxmlformats.org/officeDocument/2006/relationships/hyperlink" Target="https://caffrey.ai/us/usc/t12/s1817" TargetMode="External"/><Relationship Id="rId109" Type="http://schemas.openxmlformats.org/officeDocument/2006/relationships/hyperlink" Target="https://caffrey.ai/us/usc/t12/s1831i" TargetMode="External"/><Relationship Id="rId114" Type="http://schemas.openxmlformats.org/officeDocument/2006/relationships/hyperlink" Target="https://caffrey.ai/us/usc/t12/s1831o" TargetMode="External"/><Relationship Id="rId112" Type="http://schemas.openxmlformats.org/officeDocument/2006/relationships/hyperlink" Target="https://caffrey.ai/us/usc/t12/s1831p-1" TargetMode="External"/><Relationship Id="rId63" Type="http://schemas.openxmlformats.org/officeDocument/2006/relationships/hyperlink" Target="https://caffrey.ai/us/usc/t12/s5365" TargetMode="External"/><Relationship Id="rId86" Type="http://schemas.openxmlformats.org/officeDocument/2006/relationships/hyperlink" Target="https://www.consumercomplianceoutlook.org/2022/first-issue/federal-reserve-board-consumer-letters-2021-2022" TargetMode="External"/><Relationship Id="rId23" Type="http://schemas.openxmlformats.org/officeDocument/2006/relationships/hyperlink" Target="https://www.debevoise.com/-/media/files/insights/publications/2021/03/20210310-federal-reserve-board-finalizes-board.pdf" TargetMode="External"/><Relationship Id="rId49" Type="http://schemas.openxmlformats.org/officeDocument/2006/relationships/hyperlink" Target="https://www.fdic.gov/news/speeches/2023/spoct0323c.html" TargetMode="External"/><Relationship Id="rId30" Type="http://schemas.openxmlformats.org/officeDocument/2006/relationships/hyperlink" Target="https://www.federalreserve.gov/supervisionreg/srletters/SR2103.htm" TargetMode="External"/><Relationship Id="rId31" Type="http://schemas.openxmlformats.org/officeDocument/2006/relationships/hyperlink" Target="https://www.federalreserve.gov/supervisionreg/srletters/SR2103a1.pdf" TargetMode="External"/><Relationship Id="rId40" Type="http://schemas.openxmlformats.org/officeDocument/2006/relationships/hyperlink" Target="https://www.federalreserve.gov/supervisionreg/srletters/SR2104.htm" TargetMode="External"/><Relationship Id="rId39" Type="http://schemas.openxmlformats.org/officeDocument/2006/relationships/hyperlink" Target="https://www.federalreserve.gov/supervisionreg/srletters/SR2104a1.pdf" TargetMode="External"/><Relationship Id="rId94" Type="http://schemas.openxmlformats.org/officeDocument/2006/relationships/hyperlink" Target="https://www.goodwinlaw.com/en/insights/publications/2023/11/alerts-finance-ftec-fdic-proposes-guidelines-establishing-standards-for-corporate" TargetMode="External"/><Relationship Id="rId127" Type="http://schemas.openxmlformats.org/officeDocument/2006/relationships/hyperlink" Target="https://www.mayerbrown.com/en/insights/publications/2021/03/us-frb-finalizes-board-effectiveness-guidance" TargetMode="External"/><Relationship Id="rId139" Type="http://schemas.openxmlformats.org/officeDocument/2006/relationships/hyperlink" Target="https://www.sullcrom.com/insights/memo/2025/July/Revisions-Large-Financial-Institution-Rat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Instrument Serif"/>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retendard"/>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2026-06-05T02:50:45Z</dcterms:created>
  <dcterms:modified xsi:type="dcterms:W3CDTF">2026-06-05T02:50:45Z</dcterms:modified>
</cp:coreProperties>
</file>

<file path=docProps/custom.xml><?xml version="1.0" encoding="utf-8"?>
<Properties xmlns="http://schemas.openxmlformats.org/officeDocument/2006/custom-properties" xmlns:vt="http://schemas.openxmlformats.org/officeDocument/2006/docPropsVTypes"/>
</file>