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DCA0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Here is a clean markdown draft you can use as the starting document.</w:t>
      </w:r>
    </w:p>
    <w:p w14:paraId="135C6DB3" w14:textId="77777777" w:rsidR="00D3326B" w:rsidRPr="00D3326B" w:rsidRDefault="00D3326B" w:rsidP="00D332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3326B">
        <w:rPr>
          <w:rFonts w:ascii="Times New Roman" w:eastAsia="Times New Roman" w:hAnsi="Times New Roman" w:cs="Times New Roman"/>
          <w:b/>
          <w:bCs/>
          <w:kern w:val="36"/>
          <w:sz w:val="48"/>
          <w:szCs w:val="48"/>
          <w14:ligatures w14:val="none"/>
        </w:rPr>
        <w:t>Inventory of Bank Board Obligations for Policy Sludge Review</w:t>
      </w:r>
    </w:p>
    <w:p w14:paraId="5BE928F1" w14:textId="77777777" w:rsidR="00D3326B" w:rsidRPr="00D3326B" w:rsidRDefault="00D3326B" w:rsidP="00D332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326B">
        <w:rPr>
          <w:rFonts w:ascii="Times New Roman" w:eastAsia="Times New Roman" w:hAnsi="Times New Roman" w:cs="Times New Roman"/>
          <w:b/>
          <w:bCs/>
          <w:kern w:val="0"/>
          <w:sz w:val="36"/>
          <w:szCs w:val="36"/>
          <w14:ligatures w14:val="none"/>
        </w:rPr>
        <w:t>Purpose</w:t>
      </w:r>
    </w:p>
    <w:p w14:paraId="1AD4993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This document provides a working inventory of federal banking-law obligations imposed on bank boards of directors. It is intended to support a policy-sludge review of duplicative, overlapping, and unduly burdensome board requirements that have accumulated across statutes, regulations, supervisory guidance, examination practice, and enforcement-order templates.</w:t>
      </w:r>
    </w:p>
    <w:p w14:paraId="6907A461"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The objective is not simply to identify “too many requirements.” The objective is to identify where requirements:</w:t>
      </w:r>
    </w:p>
    <w:p w14:paraId="653A1AAB" w14:textId="77777777" w:rsidR="00D3326B" w:rsidRPr="00D3326B" w:rsidRDefault="00D3326B" w:rsidP="00D3326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duplicate the same governance function across multiple regimes;</w:t>
      </w:r>
    </w:p>
    <w:p w14:paraId="011DEE83" w14:textId="77777777" w:rsidR="00D3326B" w:rsidRPr="00D3326B" w:rsidRDefault="00D3326B" w:rsidP="00D3326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blur the line between board oversight and management execution;</w:t>
      </w:r>
    </w:p>
    <w:p w14:paraId="7453C9A4" w14:textId="77777777" w:rsidR="00D3326B" w:rsidRPr="00D3326B" w:rsidRDefault="00D3326B" w:rsidP="00D3326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impose formalistic approvals or reporting with limited marginal safety-and-soundness value;</w:t>
      </w:r>
    </w:p>
    <w:p w14:paraId="4D6B7F4E" w14:textId="77777777" w:rsidR="00D3326B" w:rsidRPr="00D3326B" w:rsidRDefault="00D3326B" w:rsidP="00D3326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require similar board actions on different cadences, through different committees, and under different legal sources;</w:t>
      </w:r>
    </w:p>
    <w:p w14:paraId="2FFFB9C4" w14:textId="77777777" w:rsidR="00D3326B" w:rsidRPr="00D3326B" w:rsidRDefault="00D3326B" w:rsidP="00D3326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create avoidable burden without materially improving accountability, risk management, or supervision.</w:t>
      </w:r>
    </w:p>
    <w:p w14:paraId="0086534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This inventory focuses on U.S. federal banking requirements applicable to insured depository institutions, bank holding companies, savings associations, and large banking organizations supervised by the Federal Reserve, OCC, FDIC, and, where relevant, CFPB and FinCEN-related regimes.</w:t>
      </w:r>
    </w:p>
    <w:p w14:paraId="3C363BD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It does not attempt to provide a full inventory of state corporate-law fiduciary duties, public-company exchange-listing requirements, or Securities and Exchange Commission obligations, although those regimes may also impose important governance expectations on publicly traded banking organizations.</w:t>
      </w:r>
    </w:p>
    <w:p w14:paraId="07A2678C"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2D77792D">
          <v:rect id="_x0000_i1025" style="width:0;height:1.5pt" o:hralign="center" o:hrstd="t" o:hr="t" fillcolor="#a0a0a0" stroked="f"/>
        </w:pict>
      </w:r>
    </w:p>
    <w:p w14:paraId="7C6B2CE3" w14:textId="77777777" w:rsidR="00D3326B" w:rsidRPr="00D3326B" w:rsidRDefault="00D3326B" w:rsidP="00D332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3326B">
        <w:rPr>
          <w:rFonts w:ascii="Times New Roman" w:eastAsia="Times New Roman" w:hAnsi="Times New Roman" w:cs="Times New Roman"/>
          <w:b/>
          <w:bCs/>
          <w:kern w:val="36"/>
          <w:sz w:val="48"/>
          <w:szCs w:val="48"/>
          <w14:ligatures w14:val="none"/>
        </w:rPr>
        <w:t>Executive Summary</w:t>
      </w:r>
    </w:p>
    <w:p w14:paraId="36A60829"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Bank board obligations are not located in one statute, one regulation, or one supervisory framework. They are scattered across many domains: safety and soundness, audit, risk governance, BSA/AML, capital planning, liquidity, recovery and resolution planning, information security, third-party risk management, compensation, fiduciary activities, consumer compliance, and enforcement remediation.</w:t>
      </w:r>
    </w:p>
    <w:p w14:paraId="1A93E4F0"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lastRenderedPageBreak/>
        <w:t>Despite this dispersion, most board obligations fall into a small number of recurring patterns:</w:t>
      </w:r>
    </w:p>
    <w:p w14:paraId="36C28F13" w14:textId="77777777" w:rsidR="00D3326B" w:rsidRPr="00D3326B" w:rsidRDefault="00D3326B" w:rsidP="00D3326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Approve a policy, framework, program, plan, or risk appetite.</w:t>
      </w:r>
    </w:p>
    <w:p w14:paraId="60F7951B" w14:textId="77777777" w:rsidR="00D3326B" w:rsidRPr="00D3326B" w:rsidRDefault="00D3326B" w:rsidP="00D3326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Review reports from management.</w:t>
      </w:r>
    </w:p>
    <w:p w14:paraId="15201869" w14:textId="77777777" w:rsidR="00D3326B" w:rsidRPr="00D3326B" w:rsidRDefault="00D3326B" w:rsidP="00D3326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Oversee management implementation.</w:t>
      </w:r>
    </w:p>
    <w:p w14:paraId="0B552154" w14:textId="77777777" w:rsidR="00D3326B" w:rsidRPr="00D3326B" w:rsidRDefault="00D3326B" w:rsidP="00D3326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Ensure independent testing, audit, or controls.</w:t>
      </w:r>
    </w:p>
    <w:p w14:paraId="5BEC5B4C" w14:textId="77777777" w:rsidR="00D3326B" w:rsidRPr="00D3326B" w:rsidRDefault="00D3326B" w:rsidP="00D3326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Hold management accountable for remediation.</w:t>
      </w:r>
    </w:p>
    <w:p w14:paraId="15774CE7" w14:textId="77777777" w:rsidR="00D3326B" w:rsidRPr="00D3326B" w:rsidRDefault="00D3326B" w:rsidP="00D3326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Document approval or review in board minutes.</w:t>
      </w:r>
    </w:p>
    <w:p w14:paraId="1CCDE8AD" w14:textId="77777777" w:rsidR="00D3326B" w:rsidRPr="00D3326B" w:rsidRDefault="00D3326B" w:rsidP="00D3326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Escalate material risks, violations, or control weaknesses.</w:t>
      </w:r>
    </w:p>
    <w:p w14:paraId="2263F583" w14:textId="77777777" w:rsidR="00D3326B" w:rsidRPr="00D3326B" w:rsidRDefault="00D3326B" w:rsidP="00D3326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Maintain committee independence, expertise, or structure.</w:t>
      </w:r>
    </w:p>
    <w:p w14:paraId="6FCE730F"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The policy-sludge problem arises because these patterns are repeated across separate regimes without a common taxonomy. The result is a growing burden of board packages, committee charters, minutes, annual approvals, supervisory findings, and reporting cycles that may obscure rather than clarify board accountability.</w:t>
      </w:r>
    </w:p>
    <w:p w14:paraId="5E2109C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The highest-value areas for sludge review are:</w:t>
      </w:r>
    </w:p>
    <w:p w14:paraId="3481C0FC" w14:textId="77777777" w:rsidR="00D3326B" w:rsidRPr="00D3326B" w:rsidRDefault="00D3326B" w:rsidP="00D3326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BSA/AML board approval and reporting;</w:t>
      </w:r>
    </w:p>
    <w:p w14:paraId="70D55045" w14:textId="77777777" w:rsidR="00D3326B" w:rsidRPr="00D3326B" w:rsidRDefault="00D3326B" w:rsidP="00D3326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liquidity, capital, recovery, and resolution planning;</w:t>
      </w:r>
    </w:p>
    <w:p w14:paraId="42756745" w14:textId="77777777" w:rsidR="00D3326B" w:rsidRPr="00D3326B" w:rsidRDefault="00D3326B" w:rsidP="00D3326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audit, internal control, cyber, and operational resilience requirements;</w:t>
      </w:r>
    </w:p>
    <w:p w14:paraId="2D0793D1" w14:textId="77777777" w:rsidR="00D3326B" w:rsidRPr="00D3326B" w:rsidRDefault="00D3326B" w:rsidP="00D3326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risk appetite and enterprise risk-governance frameworks;</w:t>
      </w:r>
    </w:p>
    <w:p w14:paraId="16BE72EC" w14:textId="77777777" w:rsidR="00D3326B" w:rsidRPr="00D3326B" w:rsidRDefault="00D3326B" w:rsidP="00D3326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overlapping independence and committee standards;</w:t>
      </w:r>
    </w:p>
    <w:p w14:paraId="234B91D7" w14:textId="77777777" w:rsidR="00D3326B" w:rsidRPr="00D3326B" w:rsidRDefault="00D3326B" w:rsidP="00D3326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consumer compliance board reporting;</w:t>
      </w:r>
    </w:p>
    <w:p w14:paraId="2526B13C" w14:textId="77777777" w:rsidR="00D3326B" w:rsidRPr="00D3326B" w:rsidRDefault="00D3326B" w:rsidP="00D3326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third-party risk management and operational-risk oversight.</w:t>
      </w:r>
    </w:p>
    <w:p w14:paraId="586A1340"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A useful reform project would turn board obligations into a structured dataset organized by legal source, agency, institution type, board actor, required verb, cadence, documentation requirement, and risk domain. That dataset could then support a cross-agency board-governance taxonomy that distinguishes true board accountability from avoidable board paperwork.</w:t>
      </w:r>
    </w:p>
    <w:p w14:paraId="787170E3"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5B707090">
          <v:rect id="_x0000_i1026" style="width:0;height:1.5pt" o:hralign="center" o:hrstd="t" o:hr="t" fillcolor="#a0a0a0" stroked="f"/>
        </w:pict>
      </w:r>
    </w:p>
    <w:p w14:paraId="3304B139" w14:textId="77777777" w:rsidR="00D3326B" w:rsidRPr="00D3326B" w:rsidRDefault="00D3326B" w:rsidP="00D332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3326B">
        <w:rPr>
          <w:rFonts w:ascii="Times New Roman" w:eastAsia="Times New Roman" w:hAnsi="Times New Roman" w:cs="Times New Roman"/>
          <w:b/>
          <w:bCs/>
          <w:kern w:val="36"/>
          <w:sz w:val="48"/>
          <w:szCs w:val="48"/>
          <w14:ligatures w14:val="none"/>
        </w:rPr>
        <w:t>I. The Core Problem</w:t>
      </w:r>
    </w:p>
    <w:p w14:paraId="560F9BD1"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Bank board obligations have accumulated over decades through separate legal and supervisory channels. These include:</w:t>
      </w:r>
    </w:p>
    <w:p w14:paraId="2FD97F09" w14:textId="77777777" w:rsidR="00D3326B" w:rsidRPr="00D3326B" w:rsidRDefault="00D3326B" w:rsidP="00D3326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general corporate-law fiduciary duties;</w:t>
      </w:r>
    </w:p>
    <w:p w14:paraId="45EB5B81" w14:textId="77777777" w:rsidR="00D3326B" w:rsidRPr="00D3326B" w:rsidRDefault="00D3326B" w:rsidP="00D3326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federal safety-and-soundness standards;</w:t>
      </w:r>
    </w:p>
    <w:p w14:paraId="71223888" w14:textId="77777777" w:rsidR="00D3326B" w:rsidRPr="00D3326B" w:rsidRDefault="00D3326B" w:rsidP="00D3326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activity-specific banking regulations;</w:t>
      </w:r>
    </w:p>
    <w:p w14:paraId="48DF9CFC" w14:textId="77777777" w:rsidR="00D3326B" w:rsidRPr="00D3326B" w:rsidRDefault="00D3326B" w:rsidP="00D3326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enhanced prudential standards for large banking organizations;</w:t>
      </w:r>
    </w:p>
    <w:p w14:paraId="459658D2" w14:textId="77777777" w:rsidR="00D3326B" w:rsidRPr="00D3326B" w:rsidRDefault="00D3326B" w:rsidP="00D3326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agency supervisory guidance and examination manuals;</w:t>
      </w:r>
    </w:p>
    <w:p w14:paraId="33DA51FF" w14:textId="77777777" w:rsidR="00D3326B" w:rsidRPr="00D3326B" w:rsidRDefault="00D3326B" w:rsidP="00D3326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enforcement-order templates and supervisory remediation practice.</w:t>
      </w:r>
    </w:p>
    <w:p w14:paraId="59887814"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lastRenderedPageBreak/>
        <w:t>This layered structure creates several problems.</w:t>
      </w:r>
    </w:p>
    <w:p w14:paraId="63738C4D"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First, obligations are highly dispersed. A board seeking to understand its responsibilities must consult multiple statutes, regulations, appendices, manuals, supervisory letters, interagency guidance documents, and enforcement precedents.</w:t>
      </w:r>
    </w:p>
    <w:p w14:paraId="62DA5B89"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Second, many requirements use similar but not identical verbs. Boards are variously required to “approve,” “review,” “oversee,” “ensure,” “establish,” “monitor,” “receive,” “challenge,” “certify,” or “hold management accountable.” These terms are not consistently defined across regimes.</w:t>
      </w:r>
    </w:p>
    <w:p w14:paraId="6DF67062"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Third, board obligations often blur with management responsibilities. Requirements that begin as oversight expectations can become quasi-management obligations in examination practice, especially when examiners expect boards to demonstrate detailed knowledge of operational control failures.</w:t>
      </w:r>
    </w:p>
    <w:p w14:paraId="224242B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Fourth, the same governance mechanism is repeated across many risk domains. A board-approved program, annual policy review, quarterly report, independent audit, and remediation tracker may be required separately for BSA/AML, liquidity, capital, cyber, third-party risk, consumer compliance, compensation, fiduciary activities, and operational resilience.</w:t>
      </w:r>
    </w:p>
    <w:p w14:paraId="6306E5C2"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Fifth, committee structure has become a source of duplication. Audit committees, risk committees, compliance committees, technology committees, fiduciary committees, compensation committees, and governance committees often receive overlapping information and perform adjacent oversight functions.</w:t>
      </w:r>
    </w:p>
    <w:p w14:paraId="1AA93DE9"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The result is not necessarily stronger governance. In some cases, cumulative board obligations may dilute accountability by producing more formal approvals, more reports, and more minutes without clarifying which decisions truly require board judgment.</w:t>
      </w:r>
    </w:p>
    <w:p w14:paraId="69B8E5D7"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039B2D84">
          <v:rect id="_x0000_i1027" style="width:0;height:1.5pt" o:hralign="center" o:hrstd="t" o:hr="t" fillcolor="#a0a0a0" stroked="f"/>
        </w:pict>
      </w:r>
    </w:p>
    <w:p w14:paraId="75564CE8" w14:textId="77777777" w:rsidR="00D3326B" w:rsidRPr="00D3326B" w:rsidRDefault="00D3326B" w:rsidP="00D332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3326B">
        <w:rPr>
          <w:rFonts w:ascii="Times New Roman" w:eastAsia="Times New Roman" w:hAnsi="Times New Roman" w:cs="Times New Roman"/>
          <w:b/>
          <w:bCs/>
          <w:kern w:val="36"/>
          <w:sz w:val="48"/>
          <w:szCs w:val="48"/>
          <w14:ligatures w14:val="none"/>
        </w:rPr>
        <w:t>II. Organizing Taxonomy</w:t>
      </w:r>
    </w:p>
    <w:p w14:paraId="0AD15E64"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For policy-sludge purposes, each board obligation should be coded using the following fields.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963"/>
        <w:gridCol w:w="8381"/>
      </w:tblGrid>
      <w:tr w:rsidR="00D3326B" w:rsidRPr="00D3326B" w14:paraId="07C6A23D"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1ECA6B" w14:textId="77777777" w:rsidR="00D3326B" w:rsidRPr="00D3326B" w:rsidRDefault="00D3326B" w:rsidP="00D3326B">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3326B">
              <w:rPr>
                <w:rFonts w:ascii="Times New Roman" w:eastAsia="Times New Roman" w:hAnsi="Times New Roman" w:cs="Times New Roman"/>
                <w:b/>
                <w:bCs/>
                <w:kern w:val="0"/>
                <w14:ligatures w14:val="none"/>
              </w:rPr>
              <w:t>Field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48252A" w14:textId="77777777" w:rsidR="00D3326B" w:rsidRPr="00D3326B" w:rsidRDefault="00D3326B" w:rsidP="00D3326B">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3326B">
              <w:rPr>
                <w:rFonts w:ascii="Times New Roman" w:eastAsia="Times New Roman" w:hAnsi="Times New Roman" w:cs="Times New Roman"/>
                <w:b/>
                <w:bCs/>
                <w:kern w:val="0"/>
                <w14:ligatures w14:val="none"/>
              </w:rPr>
              <w:t>Description</w:t>
            </w:r>
          </w:p>
        </w:tc>
      </w:tr>
      <w:tr w:rsidR="00D3326B" w:rsidRPr="00D3326B" w14:paraId="1B3772F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4AB9CD"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Legal source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C6DDCA"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Statute, regulation, appendix, agency guidance, manual, enforcement template, or supervisory practice</w:t>
            </w:r>
          </w:p>
        </w:tc>
      </w:tr>
      <w:tr w:rsidR="00D3326B" w:rsidRPr="00D3326B" w14:paraId="124A99B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4131E3"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Agency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239CFF"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Federal Reserve, OCC, FDIC, CFPB, FinCEN, or interagency</w:t>
            </w:r>
          </w:p>
        </w:tc>
      </w:tr>
      <w:tr w:rsidR="00D3326B" w:rsidRPr="00D3326B" w14:paraId="2B1EDBE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F7A200"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lastRenderedPageBreak/>
              <w:t>Institution 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0EAD6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National bank, federal savings association, state member bank, state nonmember bank, insured depository institution, bank holding company, intermediate holding company, foreign banking organization, covered company, GSIB, or covered insured depository institution</w:t>
            </w:r>
          </w:p>
        </w:tc>
      </w:tr>
      <w:tr w:rsidR="00D3326B" w:rsidRPr="00D3326B" w14:paraId="3DC184A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E6E91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Asset threshold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88D0D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No threshold, $1 billion, $5 billion, $10 billion, $50 billion, $100 billion, $250 billion, GSIB, or other threshold</w:t>
            </w:r>
          </w:p>
        </w:tc>
      </w:tr>
      <w:tr w:rsidR="00D3326B" w:rsidRPr="00D3326B" w14:paraId="57F77AE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0BCB3F"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Board actor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81070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Full board, audit committee, risk committee, compensation committee, fiduciary audit committee, governance committee, independent directors, or designated board committee</w:t>
            </w:r>
          </w:p>
        </w:tc>
      </w:tr>
      <w:tr w:rsidR="00D3326B" w:rsidRPr="00D3326B" w14:paraId="0D38CC4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329DD9"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Required verb</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DE74EF"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Approve, review, oversee, establish, ensure, receive, monitor, certify, document, escalate, or remediate</w:t>
            </w:r>
          </w:p>
        </w:tc>
      </w:tr>
      <w:tr w:rsidR="00D3326B" w:rsidRPr="00D3326B" w14:paraId="5E520E6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012591"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Frequency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0B15D9"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Annual, quarterly, semiannual, periodic, event-driven, ongoing, or one-time</w:t>
            </w:r>
          </w:p>
        </w:tc>
      </w:tr>
      <w:tr w:rsidR="00D3326B" w:rsidRPr="00D3326B" w14:paraId="120351E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0081AF"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Documentation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7BC361"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Board minutes, policy, plan, report, certification, filing, charter, remediation plan, management report, or audit report</w:t>
            </w:r>
          </w:p>
        </w:tc>
      </w:tr>
      <w:tr w:rsidR="00D3326B" w:rsidRPr="00D3326B" w14:paraId="1CE49E7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69F9D0"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Management analog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A173D0"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The related management responsibility that the board is overseeing</w:t>
            </w:r>
          </w:p>
        </w:tc>
      </w:tr>
      <w:tr w:rsidR="00D3326B" w:rsidRPr="00D3326B" w14:paraId="0D7EA55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A04C5F"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Sludge indicator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9E85C4"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Duplication, ambiguity, formalism, excessive cadence, committee overlap, or board-management confusion</w:t>
            </w:r>
          </w:p>
        </w:tc>
      </w:tr>
      <w:tr w:rsidR="00D3326B" w:rsidRPr="00D3326B" w14:paraId="71118F9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98EA9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Reform option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6C9EB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Consolidate, clarify, delegate to committee, align cadence, eliminate duplication, or preserve due to statutory necessity</w:t>
            </w:r>
          </w:p>
        </w:tc>
      </w:tr>
    </w:tbl>
    <w:p w14:paraId="49BFA8F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This taxonomy is important because the first step in reducing policy sludge is to convert legal text into structured obligations. Once board obligations are treated as a dataset, overlapping requirements become easier to identify.</w:t>
      </w:r>
    </w:p>
    <w:p w14:paraId="58C2F735"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lastRenderedPageBreak/>
        <w:pict w14:anchorId="732DD553">
          <v:rect id="_x0000_i1028" style="width:0;height:1.5pt" o:hralign="center" o:hrstd="t" o:hr="t" fillcolor="#a0a0a0" stroked="f"/>
        </w:pict>
      </w:r>
    </w:p>
    <w:p w14:paraId="4A928B6A" w14:textId="77777777" w:rsidR="00D3326B" w:rsidRPr="00D3326B" w:rsidRDefault="00D3326B" w:rsidP="00D332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3326B">
        <w:rPr>
          <w:rFonts w:ascii="Times New Roman" w:eastAsia="Times New Roman" w:hAnsi="Times New Roman" w:cs="Times New Roman"/>
          <w:b/>
          <w:bCs/>
          <w:kern w:val="36"/>
          <w:sz w:val="48"/>
          <w:szCs w:val="48"/>
          <w14:ligatures w14:val="none"/>
        </w:rPr>
        <w:t>III. Comprehensive Inventory of Board Obligations</w:t>
      </w:r>
    </w:p>
    <w:p w14:paraId="72FB2F35" w14:textId="77777777" w:rsidR="00D3326B" w:rsidRPr="00D3326B" w:rsidRDefault="00D3326B" w:rsidP="00D332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326B">
        <w:rPr>
          <w:rFonts w:ascii="Times New Roman" w:eastAsia="Times New Roman" w:hAnsi="Times New Roman" w:cs="Times New Roman"/>
          <w:b/>
          <w:bCs/>
          <w:kern w:val="0"/>
          <w:sz w:val="36"/>
          <w:szCs w:val="36"/>
          <w14:ligatures w14:val="none"/>
        </w:rPr>
        <w:t>A. Baseline Governance and Safety-and-Soundness Obligations</w:t>
      </w:r>
    </w:p>
    <w:p w14:paraId="294EEBF5"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1. General safety-and-soundness oversight</w:t>
      </w:r>
    </w:p>
    <w:p w14:paraId="53BED87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sources:</w:t>
      </w:r>
    </w:p>
    <w:p w14:paraId="5B832B7D" w14:textId="77777777" w:rsidR="00D3326B" w:rsidRPr="00D3326B" w:rsidRDefault="00D3326B" w:rsidP="00D3326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12 CFR Part 30, Appendix A</w:t>
      </w:r>
    </w:p>
    <w:p w14:paraId="52284794" w14:textId="77777777" w:rsidR="00D3326B" w:rsidRPr="00D3326B" w:rsidRDefault="00D3326B" w:rsidP="00D3326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12 CFR Part 364, Appendix A</w:t>
      </w:r>
    </w:p>
    <w:p w14:paraId="6E4EEB8E" w14:textId="77777777" w:rsidR="00D3326B" w:rsidRPr="00D3326B" w:rsidRDefault="00D3326B" w:rsidP="00D3326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Federal Reserve safety-and-soundness standards for state member banks</w:t>
      </w:r>
    </w:p>
    <w:p w14:paraId="64AF8AEA" w14:textId="77777777" w:rsidR="00D3326B" w:rsidRPr="00D3326B" w:rsidRDefault="00D3326B" w:rsidP="00D3326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Interagency Guidelines Establishing Standards for Safety and Soundness</w:t>
      </w:r>
    </w:p>
    <w:p w14:paraId="3D71153D"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Insured depository institutions.</w:t>
      </w:r>
    </w:p>
    <w:p w14:paraId="3648A405"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The board is expected to oversee systems and controls appropriate to the size, nature, and scope of the institution. These include internal controls, information systems, internal audit, loan documentation, credit underwriting, interest-rate exposure, asset quality, earnings, and compensation practices.</w:t>
      </w:r>
    </w:p>
    <w:p w14:paraId="1BC92C02"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 often through audit, risk, or other designated committees.</w:t>
      </w:r>
    </w:p>
    <w:p w14:paraId="0FAA1A8D"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Oversee; ensure; monitor; hold management accountable.</w:t>
      </w:r>
    </w:p>
    <w:p w14:paraId="0BC95430"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These broad safety-and-soundness standards overlap heavily with more specific regimes governing capital, liquidity, BSA/AML, cyber, compensation, audit, credit risk, model risk, third-party risk, and operational resilience.</w:t>
      </w:r>
    </w:p>
    <w:p w14:paraId="45AF7B6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Map broad safety-and-soundness expectations to more specific program obligations and clarify when one board action satisfies multiple requirements.</w:t>
      </w:r>
    </w:p>
    <w:p w14:paraId="781EAABC"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405DD015">
          <v:rect id="_x0000_i1029" style="width:0;height:1.5pt" o:hralign="center" o:hrstd="t" o:hr="t" fillcolor="#a0a0a0" stroked="f"/>
        </w:pict>
      </w:r>
    </w:p>
    <w:p w14:paraId="4B88D998"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lastRenderedPageBreak/>
        <w:t>2. OCC heightened standards</w:t>
      </w:r>
    </w:p>
    <w:p w14:paraId="5C107A41"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w:t>
      </w:r>
    </w:p>
    <w:p w14:paraId="7F2EE7E0" w14:textId="77777777" w:rsidR="00D3326B" w:rsidRPr="00D3326B" w:rsidRDefault="00D3326B" w:rsidP="00D3326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12 CFR Part 30, Appendix D</w:t>
      </w:r>
    </w:p>
    <w:p w14:paraId="45827B8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Large OCC-supervised national banks, federal savings associations, and federal branches meeting applicable thresholds or otherwise subject to the standards.</w:t>
      </w:r>
    </w:p>
    <w:p w14:paraId="39C9CD53"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The board must require management to establish and implement an effective risk-governance framework. The board must actively oversee the covered bank’s risk-taking activities, hold management accountable, exercise independent judgment, include independent directors, provide director training, and conduct self-assessments.</w:t>
      </w:r>
    </w:p>
    <w:p w14:paraId="0DD6B67B"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 with risk committee or other committees as appropriate.</w:t>
      </w:r>
    </w:p>
    <w:p w14:paraId="0123518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Require; approve; oversee; hold accountable; evaluate; challenge; self-assess.</w:t>
      </w:r>
    </w:p>
    <w:p w14:paraId="42FC1890"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OCC heightened standards are among the densest board-governance frameworks. They overlap with risk-committee obligations, audit obligations, internal-control expectations, compensation governance, liquidity-risk management, recovery planning, and enterprise risk management.</w:t>
      </w:r>
    </w:p>
    <w:p w14:paraId="5C4728B3"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Treat heightened standards as an enterprise-governance umbrella and crosswalk subordinate requirements to it, rather than layering additional board reporting on top.</w:t>
      </w:r>
    </w:p>
    <w:p w14:paraId="30F13EE8"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6A0483ED">
          <v:rect id="_x0000_i1030" style="width:0;height:1.5pt" o:hralign="center" o:hrstd="t" o:hr="t" fillcolor="#a0a0a0" stroked="f"/>
        </w:pict>
      </w:r>
    </w:p>
    <w:p w14:paraId="320728FE"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3. FDIC corporate-governance expectations</w:t>
      </w:r>
    </w:p>
    <w:p w14:paraId="57BC628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sources:</w:t>
      </w:r>
    </w:p>
    <w:p w14:paraId="711CAF1B" w14:textId="77777777" w:rsidR="00D3326B" w:rsidRPr="00D3326B" w:rsidRDefault="00D3326B" w:rsidP="00D3326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FDIC corporate governance materials</w:t>
      </w:r>
    </w:p>
    <w:p w14:paraId="74768562" w14:textId="77777777" w:rsidR="00D3326B" w:rsidRPr="00D3326B" w:rsidRDefault="00D3326B" w:rsidP="00D3326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FDIC examination guidance</w:t>
      </w:r>
    </w:p>
    <w:p w14:paraId="01E7F412" w14:textId="77777777" w:rsidR="00D3326B" w:rsidRPr="00D3326B" w:rsidRDefault="00D3326B" w:rsidP="00D3326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FDIC safety-and-soundness standards</w:t>
      </w:r>
    </w:p>
    <w:p w14:paraId="3A8B0692"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FDIC-supervised institutions and insured depository institutions more broadly.</w:t>
      </w:r>
    </w:p>
    <w:p w14:paraId="0287D315"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lastRenderedPageBreak/>
        <w:t>Board obligation:</w:t>
      </w:r>
      <w:r w:rsidRPr="00D3326B">
        <w:rPr>
          <w:rFonts w:ascii="Times New Roman" w:eastAsia="Times New Roman" w:hAnsi="Times New Roman" w:cs="Times New Roman"/>
          <w:kern w:val="0"/>
          <w14:ligatures w14:val="none"/>
        </w:rPr>
        <w:br/>
        <w:t>Directors are expected to establish and monitor a governance framework, oversee management, ensure compliance with law and regulation, and promote safe and sound operations.</w:t>
      </w:r>
    </w:p>
    <w:p w14:paraId="2FB96E0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w:t>
      </w:r>
    </w:p>
    <w:p w14:paraId="77BF9CA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Establish; monitor; oversee; ensure.</w:t>
      </w:r>
    </w:p>
    <w:p w14:paraId="0CE9786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Broad expectations to monitor compliance can effectively collapse all compliance obligations into board-level oversight obligations, even where management is the true operational owner.</w:t>
      </w:r>
    </w:p>
    <w:p w14:paraId="73BDCBA1"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Separate legal accountability for oversight from operational accountability for implementation.</w:t>
      </w:r>
    </w:p>
    <w:p w14:paraId="5339DE1E"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4A46142E">
          <v:rect id="_x0000_i1031" style="width:0;height:1.5pt" o:hralign="center" o:hrstd="t" o:hr="t" fillcolor="#a0a0a0" stroked="f"/>
        </w:pict>
      </w:r>
    </w:p>
    <w:p w14:paraId="6E0AFDB0"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4. Supervisory manuals and director guidance</w:t>
      </w:r>
    </w:p>
    <w:p w14:paraId="36B32C25"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sources:</w:t>
      </w:r>
    </w:p>
    <w:p w14:paraId="12B14DCD" w14:textId="77777777" w:rsidR="00D3326B" w:rsidRPr="00D3326B" w:rsidRDefault="00D3326B" w:rsidP="00D3326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OCC Director’s Book</w:t>
      </w:r>
    </w:p>
    <w:p w14:paraId="37027A74" w14:textId="77777777" w:rsidR="00D3326B" w:rsidRPr="00D3326B" w:rsidRDefault="00D3326B" w:rsidP="00D3326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OCC Comptroller’s Handbook on Corporate and Risk Governance</w:t>
      </w:r>
    </w:p>
    <w:p w14:paraId="75208AD4" w14:textId="77777777" w:rsidR="00D3326B" w:rsidRPr="00D3326B" w:rsidRDefault="00D3326B" w:rsidP="00D3326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Federal Reserve supervisory guidance</w:t>
      </w:r>
    </w:p>
    <w:p w14:paraId="7C7AED49" w14:textId="77777777" w:rsidR="00D3326B" w:rsidRPr="00D3326B" w:rsidRDefault="00D3326B" w:rsidP="00D3326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FDIC director guidance and examination manuals</w:t>
      </w:r>
    </w:p>
    <w:p w14:paraId="12EDF68B" w14:textId="77777777" w:rsidR="00D3326B" w:rsidRPr="00D3326B" w:rsidRDefault="00D3326B" w:rsidP="00D3326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FFIEC manuals</w:t>
      </w:r>
    </w:p>
    <w:p w14:paraId="4E17F110"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Banking organizations supervised by the respective agencies.</w:t>
      </w:r>
    </w:p>
    <w:p w14:paraId="0787BFF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Boards are expected to set strategic direction, define risk appetite, oversee management, ensure independent risk management and audit, receive sufficient management information, and monitor legal and regulatory compliance.</w:t>
      </w:r>
    </w:p>
    <w:p w14:paraId="7DDD2A31"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 and relevant committees.</w:t>
      </w:r>
    </w:p>
    <w:p w14:paraId="28A89F79"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Set; approve; oversee; monitor; challenge; receive.</w:t>
      </w:r>
    </w:p>
    <w:p w14:paraId="67FAC09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 xml:space="preserve">Guidance often restates or elaborates regulatory requirements without identifying which </w:t>
      </w:r>
      <w:r w:rsidRPr="00D3326B">
        <w:rPr>
          <w:rFonts w:ascii="Times New Roman" w:eastAsia="Times New Roman" w:hAnsi="Times New Roman" w:cs="Times New Roman"/>
          <w:kern w:val="0"/>
          <w14:ligatures w14:val="none"/>
        </w:rPr>
        <w:lastRenderedPageBreak/>
        <w:t>expectations are legally binding, which are supervisory expectations, and which are examples of sound practice.</w:t>
      </w:r>
    </w:p>
    <w:p w14:paraId="19BB66A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Require agency guidance to identify whether each board expectation is mandatory, presumptive, illustrative, or optional.</w:t>
      </w:r>
    </w:p>
    <w:p w14:paraId="455EE46C"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7D8116ED">
          <v:rect id="_x0000_i1032" style="width:0;height:1.5pt" o:hralign="center" o:hrstd="t" o:hr="t" fillcolor="#a0a0a0" stroked="f"/>
        </w:pict>
      </w:r>
    </w:p>
    <w:p w14:paraId="646DDA73"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5. Enforcement-order remediation</w:t>
      </w:r>
    </w:p>
    <w:p w14:paraId="65625819"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sources:</w:t>
      </w:r>
    </w:p>
    <w:p w14:paraId="08DAAD9F" w14:textId="77777777" w:rsidR="00D3326B" w:rsidRPr="00D3326B" w:rsidRDefault="00D3326B" w:rsidP="00D3326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OCC, Federal Reserve, FDIC, and CFPB enforcement orders</w:t>
      </w:r>
    </w:p>
    <w:p w14:paraId="48436DE0" w14:textId="77777777" w:rsidR="00D3326B" w:rsidRPr="00D3326B" w:rsidRDefault="00D3326B" w:rsidP="00D3326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Consent orders</w:t>
      </w:r>
    </w:p>
    <w:p w14:paraId="5DDAFE4B" w14:textId="77777777" w:rsidR="00D3326B" w:rsidRPr="00D3326B" w:rsidRDefault="00D3326B" w:rsidP="00D3326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Written agreements</w:t>
      </w:r>
    </w:p>
    <w:p w14:paraId="355A6DDF" w14:textId="77777777" w:rsidR="00D3326B" w:rsidRPr="00D3326B" w:rsidRDefault="00D3326B" w:rsidP="00D3326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Matters requiring attention and matters requiring immediate attention</w:t>
      </w:r>
    </w:p>
    <w:p w14:paraId="6935C9B1"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Institutions subject to enforcement actions or supervisory remediation.</w:t>
      </w:r>
    </w:p>
    <w:p w14:paraId="4F8788A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Boards are often required to submit corrective-action plans, ensure management implements remediation, monitor progress, approve revised policies, and provide periodic reports to regulators.</w:t>
      </w:r>
    </w:p>
    <w:p w14:paraId="1D926A74"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 sometimes board compliance committee or board risk committee.</w:t>
      </w:r>
    </w:p>
    <w:p w14:paraId="150A9A51"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Approve; submit; ensure; monitor; report; remediate.</w:t>
      </w:r>
    </w:p>
    <w:p w14:paraId="52CED56A"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Enforcement-order templates may become de facto regulatory expectations for peer institutions, creating shadow governance requirements outside notice-and-comment rulemaking.</w:t>
      </w:r>
    </w:p>
    <w:p w14:paraId="63DE21F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Identify recurring board obligations in enforcement orders and determine whether they should be codified, clarified, or treated as case-specific remedies.</w:t>
      </w:r>
    </w:p>
    <w:p w14:paraId="5BCAE8FC"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5C5989B7">
          <v:rect id="_x0000_i1033" style="width:0;height:1.5pt" o:hralign="center" o:hrstd="t" o:hr="t" fillcolor="#a0a0a0" stroked="f"/>
        </w:pict>
      </w:r>
    </w:p>
    <w:p w14:paraId="1258F1FA" w14:textId="77777777" w:rsidR="00D3326B" w:rsidRPr="00D3326B" w:rsidRDefault="00D3326B" w:rsidP="00D332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326B">
        <w:rPr>
          <w:rFonts w:ascii="Times New Roman" w:eastAsia="Times New Roman" w:hAnsi="Times New Roman" w:cs="Times New Roman"/>
          <w:b/>
          <w:bCs/>
          <w:kern w:val="0"/>
          <w:sz w:val="36"/>
          <w:szCs w:val="36"/>
          <w14:ligatures w14:val="none"/>
        </w:rPr>
        <w:t>B. Board Composition, Independence, and Director Qualification</w:t>
      </w:r>
    </w:p>
    <w:p w14:paraId="7947C2E8"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lastRenderedPageBreak/>
        <w:t>1. Change in directors and senior executive officers</w:t>
      </w:r>
    </w:p>
    <w:p w14:paraId="510D3C3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sources:</w:t>
      </w:r>
    </w:p>
    <w:p w14:paraId="03CCB0AD" w14:textId="77777777" w:rsidR="00D3326B" w:rsidRPr="00D3326B" w:rsidRDefault="00D3326B" w:rsidP="00D3326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12 CFR 5.51 for OCC-supervised institutions</w:t>
      </w:r>
    </w:p>
    <w:p w14:paraId="5EA29F62" w14:textId="77777777" w:rsidR="00D3326B" w:rsidRPr="00D3326B" w:rsidRDefault="00D3326B" w:rsidP="00D3326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12 CFR Part 303, Subpart F for FDIC-supervised institutions</w:t>
      </w:r>
    </w:p>
    <w:p w14:paraId="1FC957D5" w14:textId="77777777" w:rsidR="00D3326B" w:rsidRPr="00D3326B" w:rsidRDefault="00D3326B" w:rsidP="00D3326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Federal Reserve change-in-director and senior-officer notice requirements</w:t>
      </w:r>
    </w:p>
    <w:p w14:paraId="0A3B4912"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Certain insured depository institutions and holding companies in specified circumstances, including troubled institutions, newly chartered institutions, and institutions subject to certain regulatory conditions.</w:t>
      </w:r>
    </w:p>
    <w:p w14:paraId="1F6EDDFB"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Prior notice or regulatory review may be required before adding or changing directors and senior executive officers.</w:t>
      </w:r>
    </w:p>
    <w:p w14:paraId="7B46A0A0"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 governance committee, or nominating committee.</w:t>
      </w:r>
    </w:p>
    <w:p w14:paraId="5F8D0E0A"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Notify; vet; submit; refrain from appointing pending regulatory review.</w:t>
      </w:r>
    </w:p>
    <w:p w14:paraId="41606F79"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Fit-and-proper review is spread across chartering, change-in-control, enforcement, director-notice, corporate governance, and supervisory practice.</w:t>
      </w:r>
    </w:p>
    <w:p w14:paraId="2BA146A1"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Create a single cross-agency fit-and-proper framework for bank directors and senior officers.</w:t>
      </w:r>
    </w:p>
    <w:p w14:paraId="651F67E0"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720528D7">
          <v:rect id="_x0000_i1034" style="width:0;height:1.5pt" o:hralign="center" o:hrstd="t" o:hr="t" fillcolor="#a0a0a0" stroked="f"/>
        </w:pict>
      </w:r>
    </w:p>
    <w:p w14:paraId="00E0F0F8"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2. Audit committee independence</w:t>
      </w:r>
    </w:p>
    <w:p w14:paraId="5088FF7B"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w:t>
      </w:r>
    </w:p>
    <w:p w14:paraId="32BE0407" w14:textId="77777777" w:rsidR="00D3326B" w:rsidRPr="00D3326B" w:rsidRDefault="00D3326B" w:rsidP="00D3326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12 CFR Part 363</w:t>
      </w:r>
    </w:p>
    <w:p w14:paraId="3EAD468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Insured depository institutions above applicable asset thresholds.</w:t>
      </w:r>
    </w:p>
    <w:p w14:paraId="1877758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Covered institutions must establish an audit committee composed of outside directors. Larger institutions must have audit committees whose members are independent of management.</w:t>
      </w:r>
    </w:p>
    <w:p w14:paraId="39E540CB"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lastRenderedPageBreak/>
        <w:t>Board actor:</w:t>
      </w:r>
      <w:r w:rsidRPr="00D3326B">
        <w:rPr>
          <w:rFonts w:ascii="Times New Roman" w:eastAsia="Times New Roman" w:hAnsi="Times New Roman" w:cs="Times New Roman"/>
          <w:kern w:val="0"/>
          <w14:ligatures w14:val="none"/>
        </w:rPr>
        <w:br/>
        <w:t>Audit committee.</w:t>
      </w:r>
    </w:p>
    <w:p w14:paraId="2AF389C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Establish; maintain; oversee; appoint; review.</w:t>
      </w:r>
    </w:p>
    <w:p w14:paraId="5BF995E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Audit independence overlaps with public-company audit independence, exchange-listing requirements, SOX-style standards, OCC heightened standards, and risk-committee independence requirements.</w:t>
      </w:r>
    </w:p>
    <w:p w14:paraId="10F9578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Crosswalk audit independence standards and permit a single independence determination where standards are substantively equivalent.</w:t>
      </w:r>
    </w:p>
    <w:p w14:paraId="489F92E2"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4AFCA782">
          <v:rect id="_x0000_i1035" style="width:0;height:1.5pt" o:hralign="center" o:hrstd="t" o:hr="t" fillcolor="#a0a0a0" stroked="f"/>
        </w:pict>
      </w:r>
    </w:p>
    <w:p w14:paraId="2CD2D4D3"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3. Risk committee independence and risk expertise</w:t>
      </w:r>
    </w:p>
    <w:p w14:paraId="2F3B6BA2"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w:t>
      </w:r>
    </w:p>
    <w:p w14:paraId="159CFC8C" w14:textId="77777777" w:rsidR="00D3326B" w:rsidRPr="00D3326B" w:rsidRDefault="00D3326B" w:rsidP="00D3326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12 CFR Part 252</w:t>
      </w:r>
    </w:p>
    <w:p w14:paraId="4291406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Large bank holding companies, intermediate holding companies, and certain foreign banking organizations.</w:t>
      </w:r>
    </w:p>
    <w:p w14:paraId="59609C70"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Covered firms must maintain a board-level risk committee responsible for enterprise-wide risk management. Depending on firm size and category, the committee must include an independent director and a director with risk-management expertise.</w:t>
      </w:r>
    </w:p>
    <w:p w14:paraId="6A5E598A"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Risk committee.</w:t>
      </w:r>
    </w:p>
    <w:p w14:paraId="409DEFB4"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Maintain; oversee; include; review; approve.</w:t>
      </w:r>
    </w:p>
    <w:p w14:paraId="0601ADCD"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Risk committee obligations overlap with full-board oversight, audit committee controls, OCC heightened standards, liquidity-risk governance, and capital-planning governance.</w:t>
      </w:r>
    </w:p>
    <w:p w14:paraId="09754A0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Clarify which risk-committee actions satisfy full-board review obligations and which require full-board escalation.</w:t>
      </w:r>
    </w:p>
    <w:p w14:paraId="73A66727"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lastRenderedPageBreak/>
        <w:pict w14:anchorId="59B2F32D">
          <v:rect id="_x0000_i1036" style="width:0;height:1.5pt" o:hralign="center" o:hrstd="t" o:hr="t" fillcolor="#a0a0a0" stroked="f"/>
        </w:pict>
      </w:r>
    </w:p>
    <w:p w14:paraId="51D0373B"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4. OCC independent director requirements</w:t>
      </w:r>
    </w:p>
    <w:p w14:paraId="3BE3BA3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w:t>
      </w:r>
    </w:p>
    <w:p w14:paraId="2A6B730C" w14:textId="77777777" w:rsidR="00D3326B" w:rsidRPr="00D3326B" w:rsidRDefault="00D3326B" w:rsidP="00D3326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12 CFR Part 30, Appendix D</w:t>
      </w:r>
    </w:p>
    <w:p w14:paraId="77296D7F"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Covered OCC-supervised institutions.</w:t>
      </w:r>
    </w:p>
    <w:p w14:paraId="0B5A8EAF"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The board must include at least two independent directors and must conduct ongoing training and self-assessments.</w:t>
      </w:r>
    </w:p>
    <w:p w14:paraId="2C20987B"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 governance committee, nominating committee.</w:t>
      </w:r>
    </w:p>
    <w:p w14:paraId="7986766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Maintain; train; assess.</w:t>
      </w:r>
    </w:p>
    <w:p w14:paraId="367957D0"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Adds another bank-regulatory independence standard in addition to audit-committee, risk-committee, public-company, and corporate-law independence concepts.</w:t>
      </w:r>
    </w:p>
    <w:p w14:paraId="682A8CEB"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Create a unified banking-agency independence glossary.</w:t>
      </w:r>
    </w:p>
    <w:p w14:paraId="436D02B7"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4127F418">
          <v:rect id="_x0000_i1037" style="width:0;height:1.5pt" o:hralign="center" o:hrstd="t" o:hr="t" fillcolor="#a0a0a0" stroked="f"/>
        </w:pict>
      </w:r>
    </w:p>
    <w:p w14:paraId="480DFD2C"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5. National bank corporate organization</w:t>
      </w:r>
    </w:p>
    <w:p w14:paraId="5BB660E4"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sources:</w:t>
      </w:r>
    </w:p>
    <w:p w14:paraId="7EAFF7D8" w14:textId="77777777" w:rsidR="00D3326B" w:rsidRPr="00D3326B" w:rsidRDefault="00D3326B" w:rsidP="00D3326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National Bank Act</w:t>
      </w:r>
    </w:p>
    <w:p w14:paraId="3FC424B0" w14:textId="77777777" w:rsidR="00D3326B" w:rsidRPr="00D3326B" w:rsidRDefault="00D3326B" w:rsidP="00D3326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12 CFR Part 7, Subpart B</w:t>
      </w:r>
    </w:p>
    <w:p w14:paraId="62C03A25"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National banks.</w:t>
      </w:r>
    </w:p>
    <w:p w14:paraId="03837EDA"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Rules govern board size, terms, corporate powers, and certain corporate-governance arrangements.</w:t>
      </w:r>
    </w:p>
    <w:p w14:paraId="66A629C4"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w:t>
      </w:r>
    </w:p>
    <w:p w14:paraId="0F9D235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lastRenderedPageBreak/>
        <w:t>Required verbs:</w:t>
      </w:r>
      <w:r w:rsidRPr="00D3326B">
        <w:rPr>
          <w:rFonts w:ascii="Times New Roman" w:eastAsia="Times New Roman" w:hAnsi="Times New Roman" w:cs="Times New Roman"/>
          <w:kern w:val="0"/>
          <w14:ligatures w14:val="none"/>
        </w:rPr>
        <w:br/>
        <w:t>Maintain; elect; organize; document.</w:t>
      </w:r>
    </w:p>
    <w:p w14:paraId="1A62747D"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Corporate-form requirements coexist with safety-and-soundness governance requirements, sometimes without clear separation between corporate-law and supervisory functions.</w:t>
      </w:r>
    </w:p>
    <w:p w14:paraId="4E1BA0BF"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Separate corporate-organization requirements from prudential board-oversight requirements in any inventory.</w:t>
      </w:r>
    </w:p>
    <w:p w14:paraId="14F2A837"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34CC0207">
          <v:rect id="_x0000_i1038" style="width:0;height:1.5pt" o:hralign="center" o:hrstd="t" o:hr="t" fillcolor="#a0a0a0" stroked="f"/>
        </w:pict>
      </w:r>
    </w:p>
    <w:p w14:paraId="3C2BFDE1" w14:textId="77777777" w:rsidR="00D3326B" w:rsidRPr="00D3326B" w:rsidRDefault="00D3326B" w:rsidP="00D332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326B">
        <w:rPr>
          <w:rFonts w:ascii="Times New Roman" w:eastAsia="Times New Roman" w:hAnsi="Times New Roman" w:cs="Times New Roman"/>
          <w:b/>
          <w:bCs/>
          <w:kern w:val="0"/>
          <w:sz w:val="36"/>
          <w:szCs w:val="36"/>
          <w14:ligatures w14:val="none"/>
        </w:rPr>
        <w:t>C. Audit, Internal Controls, and Financial Reporting</w:t>
      </w:r>
    </w:p>
    <w:p w14:paraId="7EB7678B"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1. Annual independent audit and reporting</w:t>
      </w:r>
    </w:p>
    <w:p w14:paraId="5D0C3249"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w:t>
      </w:r>
    </w:p>
    <w:p w14:paraId="37F1FED9" w14:textId="77777777" w:rsidR="00D3326B" w:rsidRPr="00D3326B" w:rsidRDefault="00D3326B" w:rsidP="00D3326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12 CFR Part 363</w:t>
      </w:r>
    </w:p>
    <w:p w14:paraId="59CAACFD"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Insured depository institutions above applicable asset thresholds.</w:t>
      </w:r>
    </w:p>
    <w:p w14:paraId="4F5B3DCD"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Covered institutions must obtain annual independent audits, prepare management reports, maintain internal-control reporting, and establish audit committees with specified composition.</w:t>
      </w:r>
    </w:p>
    <w:p w14:paraId="7A5EBDC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Audit committee.</w:t>
      </w:r>
    </w:p>
    <w:p w14:paraId="1FA3997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Establish; oversee; review; receive; engage; evaluate.</w:t>
      </w:r>
    </w:p>
    <w:p w14:paraId="6243552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Part 363 overlaps with public-company financial reporting, internal-control frameworks, internal audit, Call Report controls, information-security controls, fiduciary audit, and operational-risk governance.</w:t>
      </w:r>
    </w:p>
    <w:p w14:paraId="4C269AB9"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Allow a single audit committee charter and annual control report to satisfy overlapping audit and internal-control oversight requirements.</w:t>
      </w:r>
    </w:p>
    <w:p w14:paraId="000A9815"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1176A10F">
          <v:rect id="_x0000_i1039" style="width:0;height:1.5pt" o:hralign="center" o:hrstd="t" o:hr="t" fillcolor="#a0a0a0" stroked="f"/>
        </w:pict>
      </w:r>
    </w:p>
    <w:p w14:paraId="31790E2F"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lastRenderedPageBreak/>
        <w:t>2. Audit committee duties</w:t>
      </w:r>
    </w:p>
    <w:p w14:paraId="0C21EF8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w:t>
      </w:r>
    </w:p>
    <w:p w14:paraId="0CEED5FA" w14:textId="77777777" w:rsidR="00D3326B" w:rsidRPr="00D3326B" w:rsidRDefault="00D3326B" w:rsidP="00D3326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12 CFR 363.5</w:t>
      </w:r>
    </w:p>
    <w:p w14:paraId="419399AF"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Covered insured depository institutions.</w:t>
      </w:r>
    </w:p>
    <w:p w14:paraId="567B9B73"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The audit committee must oversee the independent public accountant and certain financial reporting and internal-control matters. Larger institutions face more stringent independence requirements.</w:t>
      </w:r>
    </w:p>
    <w:p w14:paraId="5F07728D"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Audit committee.</w:t>
      </w:r>
    </w:p>
    <w:p w14:paraId="3BC27B04"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Oversee; review; appoint; evaluate.</w:t>
      </w:r>
    </w:p>
    <w:p w14:paraId="2EF6229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Audit committees often become the default governance forum for many issues that are not strictly financial reporting matters, including compliance, operational risk, cyber, fiduciary audit, and remediation.</w:t>
      </w:r>
    </w:p>
    <w:p w14:paraId="3399E86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Clarify the boundary between audit committee oversight and risk committee oversight.</w:t>
      </w:r>
    </w:p>
    <w:p w14:paraId="32758053"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0F0D801D">
          <v:rect id="_x0000_i1040" style="width:0;height:1.5pt" o:hralign="center" o:hrstd="t" o:hr="t" fillcolor="#a0a0a0" stroked="f"/>
        </w:pict>
      </w:r>
    </w:p>
    <w:p w14:paraId="60C8BFE0"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3. Fiduciary audit</w:t>
      </w:r>
    </w:p>
    <w:p w14:paraId="1075D86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w:t>
      </w:r>
    </w:p>
    <w:p w14:paraId="13FBD411" w14:textId="77777777" w:rsidR="00D3326B" w:rsidRPr="00D3326B" w:rsidRDefault="00D3326B" w:rsidP="00D3326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12 CFR 9.9</w:t>
      </w:r>
    </w:p>
    <w:p w14:paraId="3F035230"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National banks exercising fiduciary powers.</w:t>
      </w:r>
    </w:p>
    <w:p w14:paraId="7D74D63F"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The bank must arrange for suitable fiduciary audits. The fiduciary audit committee must be a committee of the bank’s directors or an audit committee of an affiliate and may not include officers significantly involved in fiduciary activities.</w:t>
      </w:r>
    </w:p>
    <w:p w14:paraId="064C34CA"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Fiduciary audit committee or audit committee.</w:t>
      </w:r>
    </w:p>
    <w:p w14:paraId="3491CD4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lastRenderedPageBreak/>
        <w:t>Required verbs:</w:t>
      </w:r>
      <w:r w:rsidRPr="00D3326B">
        <w:rPr>
          <w:rFonts w:ascii="Times New Roman" w:eastAsia="Times New Roman" w:hAnsi="Times New Roman" w:cs="Times New Roman"/>
          <w:kern w:val="0"/>
          <w14:ligatures w14:val="none"/>
        </w:rPr>
        <w:br/>
        <w:t>Establish; audit; review; oversee.</w:t>
      </w:r>
    </w:p>
    <w:p w14:paraId="587CD07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Creates a specialized audit obligation that may overlap with general audit committee, compliance, conflicts, investment, and operational controls.</w:t>
      </w:r>
    </w:p>
    <w:p w14:paraId="4757585A"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Permit fiduciary audit oversight to be integrated into the general audit committee framework where independence and expertise requirements are met.</w:t>
      </w:r>
    </w:p>
    <w:p w14:paraId="7CE541B8"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13F88CD7">
          <v:rect id="_x0000_i1041" style="width:0;height:1.5pt" o:hralign="center" o:hrstd="t" o:hr="t" fillcolor="#a0a0a0" stroked="f"/>
        </w:pict>
      </w:r>
    </w:p>
    <w:p w14:paraId="0217258F"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4. Internal audit under heightened standards</w:t>
      </w:r>
    </w:p>
    <w:p w14:paraId="4D08A03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w:t>
      </w:r>
    </w:p>
    <w:p w14:paraId="5EF71979" w14:textId="77777777" w:rsidR="00D3326B" w:rsidRPr="00D3326B" w:rsidRDefault="00D3326B" w:rsidP="00D3326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12 CFR Part 30, Appendix D</w:t>
      </w:r>
    </w:p>
    <w:p w14:paraId="4899305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Covered OCC-supervised institutions.</w:t>
      </w:r>
    </w:p>
    <w:p w14:paraId="37E05D5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The board must oversee an independent internal audit function as part of the risk-governance framework.</w:t>
      </w:r>
    </w:p>
    <w:p w14:paraId="35697D04"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 audit committee.</w:t>
      </w:r>
    </w:p>
    <w:p w14:paraId="2AEDD4F3"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Oversee; hold accountable; review; ensure independence.</w:t>
      </w:r>
    </w:p>
    <w:p w14:paraId="010F4799"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Internal audit expectations overlap with Part 363, safety-and-soundness standards, BSA independent testing, information-security testing, third-party reviews, and model validation.</w:t>
      </w:r>
    </w:p>
    <w:p w14:paraId="423A597A"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Create a unified independent-testing framework across audit, BSA, cyber, model risk, third-party risk, and consumer compliance.</w:t>
      </w:r>
    </w:p>
    <w:p w14:paraId="53876D32"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413FBF57">
          <v:rect id="_x0000_i1042" style="width:0;height:1.5pt" o:hralign="center" o:hrstd="t" o:hr="t" fillcolor="#a0a0a0" stroked="f"/>
        </w:pict>
      </w:r>
    </w:p>
    <w:p w14:paraId="0D74EE3C" w14:textId="77777777" w:rsidR="00D3326B" w:rsidRPr="00D3326B" w:rsidRDefault="00D3326B" w:rsidP="00D332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326B">
        <w:rPr>
          <w:rFonts w:ascii="Times New Roman" w:eastAsia="Times New Roman" w:hAnsi="Times New Roman" w:cs="Times New Roman"/>
          <w:b/>
          <w:bCs/>
          <w:kern w:val="0"/>
          <w:sz w:val="36"/>
          <w:szCs w:val="36"/>
          <w14:ligatures w14:val="none"/>
        </w:rPr>
        <w:t>D. Risk Management and Enterprise Risk Governance</w:t>
      </w:r>
    </w:p>
    <w:p w14:paraId="59E429D2"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1. Enterprise risk-governance framework</w:t>
      </w:r>
    </w:p>
    <w:p w14:paraId="212535B5"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lastRenderedPageBreak/>
        <w:t>Primary source:</w:t>
      </w:r>
    </w:p>
    <w:p w14:paraId="2B8A211E" w14:textId="77777777" w:rsidR="00D3326B" w:rsidRPr="00D3326B" w:rsidRDefault="00D3326B" w:rsidP="00D3326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12 CFR Part 30, Appendix D</w:t>
      </w:r>
    </w:p>
    <w:p w14:paraId="6D2556D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Covered OCC-supervised institutions.</w:t>
      </w:r>
    </w:p>
    <w:p w14:paraId="4C822364"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The board must require management to establish and implement an effective risk-governance framework that covers all major risk categories.</w:t>
      </w:r>
    </w:p>
    <w:p w14:paraId="37949BB4"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 risk committee.</w:t>
      </w:r>
    </w:p>
    <w:p w14:paraId="5B262334"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Require; approve; oversee; hold accountable.</w:t>
      </w:r>
    </w:p>
    <w:p w14:paraId="6121616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The framework overlaps with separate risk-governance requirements for liquidity, capital, operational risk, compliance, compensation, information security, and third-party risk.</w:t>
      </w:r>
    </w:p>
    <w:p w14:paraId="58A35CC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Use the enterprise risk-governance framework as the parent obligation and map subordinate programs to it.</w:t>
      </w:r>
    </w:p>
    <w:p w14:paraId="0E2B1164"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459C3F07">
          <v:rect id="_x0000_i1043" style="width:0;height:1.5pt" o:hralign="center" o:hrstd="t" o:hr="t" fillcolor="#a0a0a0" stroked="f"/>
        </w:pict>
      </w:r>
    </w:p>
    <w:p w14:paraId="2546EDAA"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2. Board risk committee</w:t>
      </w:r>
    </w:p>
    <w:p w14:paraId="2D185F69"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w:t>
      </w:r>
    </w:p>
    <w:p w14:paraId="1B111205" w14:textId="77777777" w:rsidR="00D3326B" w:rsidRPr="00D3326B" w:rsidRDefault="00D3326B" w:rsidP="00D3326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12 CFR Part 252</w:t>
      </w:r>
    </w:p>
    <w:p w14:paraId="78ECF93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Large bank holding companies, intermediate holding companies, and certain foreign banking organizations.</w:t>
      </w:r>
    </w:p>
    <w:p w14:paraId="3622BEE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The board must maintain a risk committee responsible for oversight of enterprise-wide risk management.</w:t>
      </w:r>
    </w:p>
    <w:p w14:paraId="6E0275AA"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Risk committee.</w:t>
      </w:r>
    </w:p>
    <w:p w14:paraId="6F68DB1D"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Maintain; oversee; approve; review.</w:t>
      </w:r>
    </w:p>
    <w:p w14:paraId="24AAD801"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lastRenderedPageBreak/>
        <w:t>Policy-sludge concern:</w:t>
      </w:r>
      <w:r w:rsidRPr="00D3326B">
        <w:rPr>
          <w:rFonts w:ascii="Times New Roman" w:eastAsia="Times New Roman" w:hAnsi="Times New Roman" w:cs="Times New Roman"/>
          <w:kern w:val="0"/>
          <w14:ligatures w14:val="none"/>
        </w:rPr>
        <w:br/>
        <w:t>The risk committee often receives overlapping information also sent to the audit committee, compliance committee, technology committee, and full board.</w:t>
      </w:r>
    </w:p>
    <w:p w14:paraId="492D6A91"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Create committee-equivalence rules that permit the risk committee to satisfy specified board oversight obligations.</w:t>
      </w:r>
    </w:p>
    <w:p w14:paraId="6E5E0C19"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162AC1E4">
          <v:rect id="_x0000_i1044" style="width:0;height:1.5pt" o:hralign="center" o:hrstd="t" o:hr="t" fillcolor="#a0a0a0" stroked="f"/>
        </w:pict>
      </w:r>
    </w:p>
    <w:p w14:paraId="2903099A"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3. Safety-and-soundness risk controls</w:t>
      </w:r>
    </w:p>
    <w:p w14:paraId="74942FC9"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sources:</w:t>
      </w:r>
    </w:p>
    <w:p w14:paraId="73FA1FDD" w14:textId="77777777" w:rsidR="00D3326B" w:rsidRPr="00D3326B" w:rsidRDefault="00D3326B" w:rsidP="00D3326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12 CFR Part 30, Appendix A</w:t>
      </w:r>
    </w:p>
    <w:p w14:paraId="5DA54610" w14:textId="77777777" w:rsidR="00D3326B" w:rsidRPr="00D3326B" w:rsidRDefault="00D3326B" w:rsidP="00D3326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12 CFR Part 364, Appendix A</w:t>
      </w:r>
    </w:p>
    <w:p w14:paraId="287DB97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Insured depository institutions.</w:t>
      </w:r>
    </w:p>
    <w:p w14:paraId="7A41DCE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Boards are expected to oversee internal controls, information systems, internal audit, credit underwriting, asset quality, earnings, interest-rate risk, and compensation.</w:t>
      </w:r>
    </w:p>
    <w:p w14:paraId="4BC48AB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 and relevant committees.</w:t>
      </w:r>
    </w:p>
    <w:p w14:paraId="4E0A97F9"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Oversee; monitor; ensure.</w:t>
      </w:r>
    </w:p>
    <w:p w14:paraId="0775113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These broad obligations substantially duplicate specific requirements in credit-risk guidance, interest-rate-risk guidance, compensation guidance, information-security standards, audit requirements, and capital planning.</w:t>
      </w:r>
    </w:p>
    <w:p w14:paraId="312211B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Define these standards as baseline principles and avoid separate duplicative board approvals unless a statute or rule requires them.</w:t>
      </w:r>
    </w:p>
    <w:p w14:paraId="030E962A"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015D1336">
          <v:rect id="_x0000_i1045" style="width:0;height:1.5pt" o:hralign="center" o:hrstd="t" o:hr="t" fillcolor="#a0a0a0" stroked="f"/>
        </w:pict>
      </w:r>
    </w:p>
    <w:p w14:paraId="61A38653"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4. Information security program</w:t>
      </w:r>
    </w:p>
    <w:p w14:paraId="5964F96B"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sources:</w:t>
      </w:r>
    </w:p>
    <w:p w14:paraId="11C1517F" w14:textId="77777777" w:rsidR="00D3326B" w:rsidRPr="00D3326B" w:rsidRDefault="00D3326B" w:rsidP="00D3326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Interagency Guidelines Establishing Information Security Standards</w:t>
      </w:r>
    </w:p>
    <w:p w14:paraId="40601D86" w14:textId="77777777" w:rsidR="00D3326B" w:rsidRPr="00D3326B" w:rsidRDefault="00D3326B" w:rsidP="00D3326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lastRenderedPageBreak/>
        <w:t>12 CFR Part 30, Appendix B</w:t>
      </w:r>
    </w:p>
    <w:p w14:paraId="425973D9" w14:textId="77777777" w:rsidR="00D3326B" w:rsidRPr="00D3326B" w:rsidRDefault="00D3326B" w:rsidP="00D3326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12 CFR Part 364, Appendix B</w:t>
      </w:r>
    </w:p>
    <w:p w14:paraId="7CBE2152" w14:textId="77777777" w:rsidR="00D3326B" w:rsidRPr="00D3326B" w:rsidRDefault="00D3326B" w:rsidP="00D3326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Federal Reserve equivalents</w:t>
      </w:r>
    </w:p>
    <w:p w14:paraId="251150A9"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Insured depository institutions.</w:t>
      </w:r>
    </w:p>
    <w:p w14:paraId="24501F44"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The board or an appropriate committee must oversee the development, implementation, and maintenance of the information-security program and receive reports on the program.</w:t>
      </w:r>
    </w:p>
    <w:p w14:paraId="30CC2C33"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 risk committee, audit committee, technology committee, or designated committee.</w:t>
      </w:r>
    </w:p>
    <w:p w14:paraId="23C878B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Oversee; approve; receive; review.</w:t>
      </w:r>
    </w:p>
    <w:p w14:paraId="5CCBFCAA"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Information security overlaps with cyber incident response, GLBA privacy, third-party risk management, operational resilience, business continuity, consumer compliance, and technology governance.</w:t>
      </w:r>
    </w:p>
    <w:p w14:paraId="18A8ED1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Consolidate information security, cyber, third-party technology risk, and operational resilience reporting into a single board-level operational-resilience framework.</w:t>
      </w:r>
    </w:p>
    <w:p w14:paraId="239C2AFA"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6AB6A7C0">
          <v:rect id="_x0000_i1046" style="width:0;height:1.5pt" o:hralign="center" o:hrstd="t" o:hr="t" fillcolor="#a0a0a0" stroked="f"/>
        </w:pict>
      </w:r>
    </w:p>
    <w:p w14:paraId="39298553"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5. Third-party risk management</w:t>
      </w:r>
    </w:p>
    <w:p w14:paraId="08EC861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w:t>
      </w:r>
    </w:p>
    <w:p w14:paraId="74E0D806" w14:textId="77777777" w:rsidR="00D3326B" w:rsidRPr="00D3326B" w:rsidRDefault="00D3326B" w:rsidP="00D3326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2023 Interagency Guidance on Third-Party Relationships: Risk Management</w:t>
      </w:r>
    </w:p>
    <w:p w14:paraId="70CC5CC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Banking organizations supervised by the Federal Reserve, OCC, and FDIC.</w:t>
      </w:r>
    </w:p>
    <w:p w14:paraId="6B1149FD"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Boards are expected to oversee third-party risk management, approve risk appetite, and hold management accountable for effective risk management of third-party relationships, especially those involving critical activities.</w:t>
      </w:r>
    </w:p>
    <w:p w14:paraId="11505231"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 risk committee, audit committee, or designated committee.</w:t>
      </w:r>
    </w:p>
    <w:p w14:paraId="516DEF33"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lastRenderedPageBreak/>
        <w:t>Required verbs:</w:t>
      </w:r>
      <w:r w:rsidRPr="00D3326B">
        <w:rPr>
          <w:rFonts w:ascii="Times New Roman" w:eastAsia="Times New Roman" w:hAnsi="Times New Roman" w:cs="Times New Roman"/>
          <w:kern w:val="0"/>
          <w14:ligatures w14:val="none"/>
        </w:rPr>
        <w:br/>
        <w:t>Approve; oversee; hold accountable; receive reporting.</w:t>
      </w:r>
    </w:p>
    <w:p w14:paraId="017E69B9"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Third-party risk overlaps with cyber, cloud, BSA outsourcing, consumer compliance, model risk, AI risk, operational resilience, affiliate transactions, and business continuity.</w:t>
      </w:r>
    </w:p>
    <w:p w14:paraId="69AA8ACA"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Create a capability-based third-party risk taxonomy that avoids requiring separate board reviews for the same vendor under multiple program labels.</w:t>
      </w:r>
    </w:p>
    <w:p w14:paraId="4E9B4425"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7C4E663C">
          <v:rect id="_x0000_i1047" style="width:0;height:1.5pt" o:hralign="center" o:hrstd="t" o:hr="t" fillcolor="#a0a0a0" stroked="f"/>
        </w:pict>
      </w:r>
    </w:p>
    <w:p w14:paraId="35921FCD" w14:textId="77777777" w:rsidR="00D3326B" w:rsidRPr="00D3326B" w:rsidRDefault="00D3326B" w:rsidP="00D332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326B">
        <w:rPr>
          <w:rFonts w:ascii="Times New Roman" w:eastAsia="Times New Roman" w:hAnsi="Times New Roman" w:cs="Times New Roman"/>
          <w:b/>
          <w:bCs/>
          <w:kern w:val="0"/>
          <w:sz w:val="36"/>
          <w:szCs w:val="36"/>
          <w14:ligatures w14:val="none"/>
        </w:rPr>
        <w:t>E. Capital Planning and Stress Testing</w:t>
      </w:r>
    </w:p>
    <w:p w14:paraId="41DAC594"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1. Capital planning</w:t>
      </w:r>
    </w:p>
    <w:p w14:paraId="00DA8AE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w:t>
      </w:r>
    </w:p>
    <w:p w14:paraId="5B0F3BA5" w14:textId="77777777" w:rsidR="00D3326B" w:rsidRPr="00D3326B" w:rsidRDefault="00D3326B" w:rsidP="00D3326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12 CFR 225.8</w:t>
      </w:r>
    </w:p>
    <w:p w14:paraId="72701B95"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Certain bank holding companies and large banking organizations subject to capital-planning requirements.</w:t>
      </w:r>
    </w:p>
    <w:p w14:paraId="51DF04F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The board oversees or approves the capital plan, capital adequacy process, and capital distributions, depending on the institution’s category and applicable requirements.</w:t>
      </w:r>
    </w:p>
    <w:p w14:paraId="73CF19ED"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 risk committee, finance committee.</w:t>
      </w:r>
    </w:p>
    <w:p w14:paraId="6B2285E4"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Approve; review; oversee; authorize.</w:t>
      </w:r>
    </w:p>
    <w:p w14:paraId="26777224"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Capital planning overlaps with stress testing, risk appetite, dividend approval, recovery planning, liquidity planning, and resolution planning.</w:t>
      </w:r>
    </w:p>
    <w:p w14:paraId="4F62A1B9"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Integrate capital plan governance with enterprise risk appetite and recovery planning.</w:t>
      </w:r>
    </w:p>
    <w:p w14:paraId="15E31D76"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66B51045">
          <v:rect id="_x0000_i1048" style="width:0;height:1.5pt" o:hralign="center" o:hrstd="t" o:hr="t" fillcolor="#a0a0a0" stroked="f"/>
        </w:pict>
      </w:r>
    </w:p>
    <w:p w14:paraId="44EDF6E2"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2. Company-run stress testing</w:t>
      </w:r>
    </w:p>
    <w:p w14:paraId="78250CB9"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lastRenderedPageBreak/>
        <w:t>Primary source:</w:t>
      </w:r>
    </w:p>
    <w:p w14:paraId="40660021" w14:textId="77777777" w:rsidR="00D3326B" w:rsidRPr="00D3326B" w:rsidRDefault="00D3326B" w:rsidP="00D3326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12 CFR Part 252</w:t>
      </w:r>
    </w:p>
    <w:p w14:paraId="241FD39F"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Covered banking organizations and certain state member banks subject to stress-testing requirements.</w:t>
      </w:r>
    </w:p>
    <w:p w14:paraId="7406483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The board or a board committee reviews and approves stress-testing policies and procedures at least annually when stress testing is required, and receives summary results.</w:t>
      </w:r>
    </w:p>
    <w:p w14:paraId="300E1EF5"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 or board committee.</w:t>
      </w:r>
    </w:p>
    <w:p w14:paraId="28C66BE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Review; approve; receive.</w:t>
      </w:r>
    </w:p>
    <w:p w14:paraId="5F266105"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Stress-testing governance overlaps with capital planning, liquidity stress testing, model risk management, risk appetite, recovery planning, and resolution planning.</w:t>
      </w:r>
    </w:p>
    <w:p w14:paraId="5E64F06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Create a single stress-testing governance framework covering capital, liquidity, operational, and recovery scenarios.</w:t>
      </w:r>
    </w:p>
    <w:p w14:paraId="61689037"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4B3E064D">
          <v:rect id="_x0000_i1049" style="width:0;height:1.5pt" o:hralign="center" o:hrstd="t" o:hr="t" fillcolor="#a0a0a0" stroked="f"/>
        </w:pict>
      </w:r>
    </w:p>
    <w:p w14:paraId="0371692C"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3. Capital distributions</w:t>
      </w:r>
    </w:p>
    <w:p w14:paraId="30DC72A2"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sources:</w:t>
      </w:r>
    </w:p>
    <w:p w14:paraId="14268CCB" w14:textId="77777777" w:rsidR="00D3326B" w:rsidRPr="00D3326B" w:rsidRDefault="00D3326B" w:rsidP="00D3326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Capital rules</w:t>
      </w:r>
    </w:p>
    <w:p w14:paraId="25F3F65A" w14:textId="77777777" w:rsidR="00D3326B" w:rsidRPr="00D3326B" w:rsidRDefault="00D3326B" w:rsidP="00D3326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12 CFR 225.8</w:t>
      </w:r>
    </w:p>
    <w:p w14:paraId="1B3EB3CA" w14:textId="77777777" w:rsidR="00D3326B" w:rsidRPr="00D3326B" w:rsidRDefault="00D3326B" w:rsidP="00D3326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Corporate-law dividend requirements</w:t>
      </w:r>
    </w:p>
    <w:p w14:paraId="4F83FEBC" w14:textId="77777777" w:rsidR="00D3326B" w:rsidRPr="00D3326B" w:rsidRDefault="00D3326B" w:rsidP="00D3326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Supervisory capital-planning requirements</w:t>
      </w:r>
    </w:p>
    <w:p w14:paraId="15D04E89"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Bank holding companies and insured depository institutions.</w:t>
      </w:r>
    </w:p>
    <w:p w14:paraId="7361A83F"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Boards approve or oversee dividends, repurchases, and other capital distributions subject to regulatory capital constraints and supervisory expectations.</w:t>
      </w:r>
    </w:p>
    <w:p w14:paraId="048067D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w:t>
      </w:r>
    </w:p>
    <w:p w14:paraId="4D1D16D9"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lastRenderedPageBreak/>
        <w:t>Required verbs:</w:t>
      </w:r>
      <w:r w:rsidRPr="00D3326B">
        <w:rPr>
          <w:rFonts w:ascii="Times New Roman" w:eastAsia="Times New Roman" w:hAnsi="Times New Roman" w:cs="Times New Roman"/>
          <w:kern w:val="0"/>
          <w14:ligatures w14:val="none"/>
        </w:rPr>
        <w:br/>
        <w:t>Approve; authorize; review; certify compliance.</w:t>
      </w:r>
    </w:p>
    <w:p w14:paraId="700257F3"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Capital distributions are subject to corporate-law approval, capital-plan review, prompt corrective action limits, stress-capital constraints, and supervisory objections.</w:t>
      </w:r>
    </w:p>
    <w:p w14:paraId="24F4EC4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Create a unified capital-distribution approval map that identifies which constraints apply at the bank level and which apply at the holding-company level.</w:t>
      </w:r>
    </w:p>
    <w:p w14:paraId="631A3CE2"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25848CA5">
          <v:rect id="_x0000_i1050" style="width:0;height:1.5pt" o:hralign="center" o:hrstd="t" o:hr="t" fillcolor="#a0a0a0" stroked="f"/>
        </w:pict>
      </w:r>
    </w:p>
    <w:p w14:paraId="009E8E0F" w14:textId="77777777" w:rsidR="00D3326B" w:rsidRPr="00D3326B" w:rsidRDefault="00D3326B" w:rsidP="00D332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326B">
        <w:rPr>
          <w:rFonts w:ascii="Times New Roman" w:eastAsia="Times New Roman" w:hAnsi="Times New Roman" w:cs="Times New Roman"/>
          <w:b/>
          <w:bCs/>
          <w:kern w:val="0"/>
          <w:sz w:val="36"/>
          <w:szCs w:val="36"/>
          <w14:ligatures w14:val="none"/>
        </w:rPr>
        <w:t>F. Liquidity Risk Management</w:t>
      </w:r>
    </w:p>
    <w:p w14:paraId="5DBC94C3"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1. Liquidity risk tolerance</w:t>
      </w:r>
    </w:p>
    <w:p w14:paraId="26A3E95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w:t>
      </w:r>
    </w:p>
    <w:p w14:paraId="793B6E24" w14:textId="77777777" w:rsidR="00D3326B" w:rsidRPr="00D3326B" w:rsidRDefault="00D3326B" w:rsidP="00D3326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12 CFR 252.34</w:t>
      </w:r>
    </w:p>
    <w:p w14:paraId="77FD5C7A"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Large banking organizations subject to enhanced prudential standards.</w:t>
      </w:r>
    </w:p>
    <w:p w14:paraId="4DD1A8D5"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The board must approve the firm’s liquidity risk tolerance at least annually and receive information sufficient to determine whether the firm is operating within that tolerance.</w:t>
      </w:r>
    </w:p>
    <w:p w14:paraId="7F46DE99"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 or risk committee.</w:t>
      </w:r>
    </w:p>
    <w:p w14:paraId="5CD69103"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Approve; review; receive; monitor.</w:t>
      </w:r>
    </w:p>
    <w:p w14:paraId="2E85FC7A"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Liquidity risk tolerance overlaps with enterprise risk appetite, contingency funding, recovery planning, stress testing, and capital planning.</w:t>
      </w:r>
    </w:p>
    <w:p w14:paraId="6533ACB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Treat liquidity risk tolerance as a component of the enterprise risk appetite statement.</w:t>
      </w:r>
    </w:p>
    <w:p w14:paraId="0A768F07"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69145328">
          <v:rect id="_x0000_i1051" style="width:0;height:1.5pt" o:hralign="center" o:hrstd="t" o:hr="t" fillcolor="#a0a0a0" stroked="f"/>
        </w:pict>
      </w:r>
    </w:p>
    <w:p w14:paraId="0159B426"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2. Liquidity policies, procedures, and strategies</w:t>
      </w:r>
    </w:p>
    <w:p w14:paraId="6960B68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lastRenderedPageBreak/>
        <w:t>Primary source:</w:t>
      </w:r>
    </w:p>
    <w:p w14:paraId="3E480129" w14:textId="77777777" w:rsidR="00D3326B" w:rsidRPr="00D3326B" w:rsidRDefault="00D3326B" w:rsidP="00D3326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12 CFR 252.34</w:t>
      </w:r>
    </w:p>
    <w:p w14:paraId="6B616133"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Covered large banking organizations.</w:t>
      </w:r>
    </w:p>
    <w:p w14:paraId="11DAE38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The board or risk committee must approve and periodically review liquidity risk-management strategies, policies, and procedures.</w:t>
      </w:r>
    </w:p>
    <w:p w14:paraId="15579194"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 or risk committee.</w:t>
      </w:r>
    </w:p>
    <w:p w14:paraId="5B78A4F1"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Approve; periodically review.</w:t>
      </w:r>
    </w:p>
    <w:p w14:paraId="3E5CAB03"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Separate approval of liquidity policies may duplicate approval of risk appetite, contingency funding plans, internal liquidity stress-testing frameworks, recovery plans, and business-line limits.</w:t>
      </w:r>
    </w:p>
    <w:p w14:paraId="0419566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Permit annual review of a consolidated liquidity-governance package rather than multiple separate approvals.</w:t>
      </w:r>
    </w:p>
    <w:p w14:paraId="5B15603F"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4BC70EBB">
          <v:rect id="_x0000_i1052" style="width:0;height:1.5pt" o:hralign="center" o:hrstd="t" o:hr="t" fillcolor="#a0a0a0" stroked="f"/>
        </w:pict>
      </w:r>
    </w:p>
    <w:p w14:paraId="5E1A4A1F"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3. Liquidity stress testing</w:t>
      </w:r>
    </w:p>
    <w:p w14:paraId="319A5D0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w:t>
      </w:r>
    </w:p>
    <w:p w14:paraId="09F0BB1B" w14:textId="77777777" w:rsidR="00D3326B" w:rsidRPr="00D3326B" w:rsidRDefault="00D3326B" w:rsidP="00D3326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12 CFR 252.35</w:t>
      </w:r>
    </w:p>
    <w:p w14:paraId="7346A630"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Covered large banking organizations.</w:t>
      </w:r>
    </w:p>
    <w:p w14:paraId="7862862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The board has governance responsibility for the liquidity stress-testing framework through approval, oversight, and reporting structures, even where management performs the testing.</w:t>
      </w:r>
    </w:p>
    <w:p w14:paraId="76C19CFF"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Risk committee or full board.</w:t>
      </w:r>
    </w:p>
    <w:p w14:paraId="7CB0D533"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Oversee; review; receive; challenge.</w:t>
      </w:r>
    </w:p>
    <w:p w14:paraId="26EFFB64"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lastRenderedPageBreak/>
        <w:t>Policy-sludge concern:</w:t>
      </w:r>
      <w:r w:rsidRPr="00D3326B">
        <w:rPr>
          <w:rFonts w:ascii="Times New Roman" w:eastAsia="Times New Roman" w:hAnsi="Times New Roman" w:cs="Times New Roman"/>
          <w:kern w:val="0"/>
          <w14:ligatures w14:val="none"/>
        </w:rPr>
        <w:br/>
        <w:t>Liquidity stress testing is maintained separately from capital stress testing even though both require scenarios, assumptions, governance, controls, model oversight, and board reporting.</w:t>
      </w:r>
    </w:p>
    <w:p w14:paraId="5F8BFA8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Create a consolidated stress-testing governance framework with risk-specific modules.</w:t>
      </w:r>
    </w:p>
    <w:p w14:paraId="1816E6A9"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2E8CF6AC">
          <v:rect id="_x0000_i1053" style="width:0;height:1.5pt" o:hralign="center" o:hrstd="t" o:hr="t" fillcolor="#a0a0a0" stroked="f"/>
        </w:pict>
      </w:r>
    </w:p>
    <w:p w14:paraId="419B9E29"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4. Contingency funding planning</w:t>
      </w:r>
    </w:p>
    <w:p w14:paraId="0A0F70A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sources:</w:t>
      </w:r>
    </w:p>
    <w:p w14:paraId="0D615D69" w14:textId="77777777" w:rsidR="00D3326B" w:rsidRPr="00D3326B" w:rsidRDefault="00D3326B" w:rsidP="00D3326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Liquidity-risk management rules and guidance</w:t>
      </w:r>
    </w:p>
    <w:p w14:paraId="6B493519" w14:textId="77777777" w:rsidR="00D3326B" w:rsidRPr="00D3326B" w:rsidRDefault="00D3326B" w:rsidP="00D3326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Enhanced prudential standards</w:t>
      </w:r>
    </w:p>
    <w:p w14:paraId="7286E382" w14:textId="77777777" w:rsidR="00D3326B" w:rsidRPr="00D3326B" w:rsidRDefault="00D3326B" w:rsidP="00D3326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Agency liquidity-risk guidance</w:t>
      </w:r>
    </w:p>
    <w:p w14:paraId="3BD2F3E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Banking organizations, especially large firms.</w:t>
      </w:r>
    </w:p>
    <w:p w14:paraId="26E4B51F"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The board or risk committee oversees the contingency funding plan, escalation triggers, and management actions under liquidity stress.</w:t>
      </w:r>
    </w:p>
    <w:p w14:paraId="2F0540ED"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 or risk committee.</w:t>
      </w:r>
    </w:p>
    <w:p w14:paraId="779895B1"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Oversee; approve; review; receive escalation.</w:t>
      </w:r>
    </w:p>
    <w:p w14:paraId="33B3A01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Contingency funding planning overlaps with liquidity stress testing, recovery planning, discount-window preparedness, collateral management, and resolution planning.</w:t>
      </w:r>
    </w:p>
    <w:p w14:paraId="0D113E5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Integrate contingency funding planning into recovery planning and enterprise resilience planning.</w:t>
      </w:r>
    </w:p>
    <w:p w14:paraId="69915AFB"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70DFFD0C">
          <v:rect id="_x0000_i1054" style="width:0;height:1.5pt" o:hralign="center" o:hrstd="t" o:hr="t" fillcolor="#a0a0a0" stroked="f"/>
        </w:pict>
      </w:r>
    </w:p>
    <w:p w14:paraId="085C450D" w14:textId="77777777" w:rsidR="00D3326B" w:rsidRPr="00D3326B" w:rsidRDefault="00D3326B" w:rsidP="00D332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326B">
        <w:rPr>
          <w:rFonts w:ascii="Times New Roman" w:eastAsia="Times New Roman" w:hAnsi="Times New Roman" w:cs="Times New Roman"/>
          <w:b/>
          <w:bCs/>
          <w:kern w:val="0"/>
          <w:sz w:val="36"/>
          <w:szCs w:val="36"/>
          <w14:ligatures w14:val="none"/>
        </w:rPr>
        <w:t>G. Recovery and Resolution Planning</w:t>
      </w:r>
    </w:p>
    <w:p w14:paraId="56D1AC7C"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1. Recovery planning</w:t>
      </w:r>
    </w:p>
    <w:p w14:paraId="44D2E3B1"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w:t>
      </w:r>
    </w:p>
    <w:p w14:paraId="6975E48D" w14:textId="77777777" w:rsidR="00D3326B" w:rsidRPr="00D3326B" w:rsidRDefault="00D3326B" w:rsidP="00D3326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lastRenderedPageBreak/>
        <w:t>OCC recovery-planning standards, including 12 CFR Part 30, Appendix E</w:t>
      </w:r>
    </w:p>
    <w:p w14:paraId="6ACDDA99"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Large OCC-supervised institutions subject to recovery-planning requirements.</w:t>
      </w:r>
    </w:p>
    <w:p w14:paraId="76481691"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The board oversees the recovery plan, including triggers, recovery options, escalation, governance, and integration with risk management.</w:t>
      </w:r>
    </w:p>
    <w:p w14:paraId="4696A399"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 or risk committee.</w:t>
      </w:r>
    </w:p>
    <w:p w14:paraId="1C0F063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Approve; oversee; review; escalate.</w:t>
      </w:r>
    </w:p>
    <w:p w14:paraId="076E397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Recovery planning overlaps with liquidity contingency planning, capital contingency planning, enterprise risk appetite, stress testing, and resolution planning.</w:t>
      </w:r>
    </w:p>
    <w:p w14:paraId="2A9F104D"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Create a single resilience-planning architecture that includes capital, liquidity, operational, recovery, and resolution modules.</w:t>
      </w:r>
    </w:p>
    <w:p w14:paraId="334128CC"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5BFBAA05">
          <v:rect id="_x0000_i1055" style="width:0;height:1.5pt" o:hralign="center" o:hrstd="t" o:hr="t" fillcolor="#a0a0a0" stroked="f"/>
        </w:pict>
      </w:r>
    </w:p>
    <w:p w14:paraId="65C6F73E"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2. Holding-company resolution planning</w:t>
      </w:r>
    </w:p>
    <w:p w14:paraId="1D07FD43"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w:t>
      </w:r>
    </w:p>
    <w:p w14:paraId="568BB0DB" w14:textId="77777777" w:rsidR="00D3326B" w:rsidRPr="00D3326B" w:rsidRDefault="00D3326B" w:rsidP="00D3326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Dodd-Frank Act section 165(d) resolution-planning rules</w:t>
      </w:r>
    </w:p>
    <w:p w14:paraId="480CA045"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Large bank holding companies, foreign banking organizations, and other covered companies.</w:t>
      </w:r>
    </w:p>
    <w:p w14:paraId="276D4152"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The board or appropriate governance body approves or oversees resolution plan submissions and remediation of identified shortcomings or deficiencies.</w:t>
      </w:r>
    </w:p>
    <w:p w14:paraId="256FC0DB"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 risk committee, or designated governance body.</w:t>
      </w:r>
    </w:p>
    <w:p w14:paraId="4B4651C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Approve; oversee; remediate; submit.</w:t>
      </w:r>
    </w:p>
    <w:p w14:paraId="63BBE5F4"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lastRenderedPageBreak/>
        <w:t>Policy-sludge concern:</w:t>
      </w:r>
      <w:r w:rsidRPr="00D3326B">
        <w:rPr>
          <w:rFonts w:ascii="Times New Roman" w:eastAsia="Times New Roman" w:hAnsi="Times New Roman" w:cs="Times New Roman"/>
          <w:kern w:val="0"/>
          <w14:ligatures w14:val="none"/>
        </w:rPr>
        <w:br/>
        <w:t>Resolution planning overlaps with recovery planning, liquidity and capital contingency planning, operational continuity, separability analysis, and legal-entity governance.</w:t>
      </w:r>
    </w:p>
    <w:p w14:paraId="3A71B75B"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Clarify the relationship between recovery planning and resolution planning, including which board approvals can be combined.</w:t>
      </w:r>
    </w:p>
    <w:p w14:paraId="3793DF3F"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60B67AF9">
          <v:rect id="_x0000_i1056" style="width:0;height:1.5pt" o:hralign="center" o:hrstd="t" o:hr="t" fillcolor="#a0a0a0" stroked="f"/>
        </w:pict>
      </w:r>
    </w:p>
    <w:p w14:paraId="3EE84EC6"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3. Covered insured depository institution resolution planning</w:t>
      </w:r>
    </w:p>
    <w:p w14:paraId="7122E86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w:t>
      </w:r>
    </w:p>
    <w:p w14:paraId="633BB061" w14:textId="77777777" w:rsidR="00D3326B" w:rsidRPr="00D3326B" w:rsidRDefault="00D3326B" w:rsidP="00D3326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FDIC covered insured depository institution resolution-planning rule</w:t>
      </w:r>
    </w:p>
    <w:p w14:paraId="03EA732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Large insured depository institutions subject to FDIC resolution-planning requirements.</w:t>
      </w:r>
    </w:p>
    <w:p w14:paraId="5450409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The board oversees or approves resolution submissions, capabilities, separability analysis, and remediation of FDIC feedback.</w:t>
      </w:r>
    </w:p>
    <w:p w14:paraId="25CA94C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 or designated board committee.</w:t>
      </w:r>
    </w:p>
    <w:p w14:paraId="67BA91C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Approve; oversee; remediate; report.</w:t>
      </w:r>
    </w:p>
    <w:p w14:paraId="7B773FF4"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The bank-level resolution plan may overlap with the holding-company resolution plan, recovery plan, liquidity contingency plan, and operational-continuity planning.</w:t>
      </w:r>
    </w:p>
    <w:p w14:paraId="28DD6A7B"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Permit a consolidated governance process for holding-company and insured-depository-institution resolution planning where legal separateness is preserved.</w:t>
      </w:r>
    </w:p>
    <w:p w14:paraId="514AA74E"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539897A5">
          <v:rect id="_x0000_i1057" style="width:0;height:1.5pt" o:hralign="center" o:hrstd="t" o:hr="t" fillcolor="#a0a0a0" stroked="f"/>
        </w:pict>
      </w:r>
    </w:p>
    <w:p w14:paraId="38014523" w14:textId="77777777" w:rsidR="00D3326B" w:rsidRPr="00D3326B" w:rsidRDefault="00D3326B" w:rsidP="00D332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326B">
        <w:rPr>
          <w:rFonts w:ascii="Times New Roman" w:eastAsia="Times New Roman" w:hAnsi="Times New Roman" w:cs="Times New Roman"/>
          <w:b/>
          <w:bCs/>
          <w:kern w:val="0"/>
          <w:sz w:val="36"/>
          <w:szCs w:val="36"/>
          <w14:ligatures w14:val="none"/>
        </w:rPr>
        <w:t>H. BSA/AML, Sanctions, Suspicious Activity, and Financial Crimes</w:t>
      </w:r>
    </w:p>
    <w:p w14:paraId="23C6157A"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1. BSA/AML compliance program approval</w:t>
      </w:r>
    </w:p>
    <w:p w14:paraId="0132A0E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sources:</w:t>
      </w:r>
    </w:p>
    <w:p w14:paraId="0E5428AC" w14:textId="77777777" w:rsidR="00D3326B" w:rsidRPr="00D3326B" w:rsidRDefault="00D3326B" w:rsidP="00D3326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lastRenderedPageBreak/>
        <w:t>12 CFR 21.21 for national banks and federal savings associations</w:t>
      </w:r>
    </w:p>
    <w:p w14:paraId="4DA90508" w14:textId="77777777" w:rsidR="00D3326B" w:rsidRPr="00D3326B" w:rsidRDefault="00D3326B" w:rsidP="00D3326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12 CFR 208.63 for state member banks</w:t>
      </w:r>
    </w:p>
    <w:p w14:paraId="6832F23C" w14:textId="77777777" w:rsidR="00D3326B" w:rsidRPr="00D3326B" w:rsidRDefault="00D3326B" w:rsidP="00D3326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12 CFR 326.8 for state nonmember banks</w:t>
      </w:r>
    </w:p>
    <w:p w14:paraId="0583E6BB" w14:textId="77777777" w:rsidR="00D3326B" w:rsidRPr="00D3326B" w:rsidRDefault="00D3326B" w:rsidP="00D3326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Parallel FinCEN requirements</w:t>
      </w:r>
    </w:p>
    <w:p w14:paraId="30373BDF"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Banks and insured depository institutions.</w:t>
      </w:r>
    </w:p>
    <w:p w14:paraId="5200ACBB"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The bank must establish a written BSA/AML compliance program. The program must be approved by the board of directors and reflected or noted in the board minutes.</w:t>
      </w:r>
    </w:p>
    <w:p w14:paraId="7EEF702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w:t>
      </w:r>
    </w:p>
    <w:p w14:paraId="42AE696D"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Approve; document; oversee.</w:t>
      </w:r>
    </w:p>
    <w:p w14:paraId="380F4B99"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This is one of the clearest formal board-approval requirements. It is repeated across agencies and often generates annual or periodic formal approvals, detailed board reporting, and examiner review of minutes.</w:t>
      </w:r>
    </w:p>
    <w:p w14:paraId="3DD3ED9F"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Preserve statutory board accountability but allow a standardized annual BSA/AML board approval package that satisfies all prudential and FinCEN-related requirements.</w:t>
      </w:r>
    </w:p>
    <w:p w14:paraId="064FB9B8"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1FFE7214">
          <v:rect id="_x0000_i1058" style="width:0;height:1.5pt" o:hralign="center" o:hrstd="t" o:hr="t" fillcolor="#a0a0a0" stroked="f"/>
        </w:pict>
      </w:r>
    </w:p>
    <w:p w14:paraId="3B9469DD"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2. BSA/AML independent testing and reporting</w:t>
      </w:r>
    </w:p>
    <w:p w14:paraId="47AE089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sources:</w:t>
      </w:r>
    </w:p>
    <w:p w14:paraId="7A8C89BB" w14:textId="77777777" w:rsidR="00D3326B" w:rsidRPr="00D3326B" w:rsidRDefault="00D3326B" w:rsidP="00D3326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BSA/AML compliance program rules</w:t>
      </w:r>
    </w:p>
    <w:p w14:paraId="7C8CB4F4" w14:textId="77777777" w:rsidR="00D3326B" w:rsidRPr="00D3326B" w:rsidRDefault="00D3326B" w:rsidP="00D3326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FFIEC BSA/AML Examination Manual</w:t>
      </w:r>
    </w:p>
    <w:p w14:paraId="3D06F5B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Banks.</w:t>
      </w:r>
    </w:p>
    <w:p w14:paraId="4F0E52AA"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The board receives or oversees independent testing, audit findings, compliance reports, and remediation related to the BSA/AML program.</w:t>
      </w:r>
    </w:p>
    <w:p w14:paraId="7386190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 audit committee, risk committee, or compliance committee.</w:t>
      </w:r>
    </w:p>
    <w:p w14:paraId="7A7AF024"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lastRenderedPageBreak/>
        <w:t>Required verbs:</w:t>
      </w:r>
      <w:r w:rsidRPr="00D3326B">
        <w:rPr>
          <w:rFonts w:ascii="Times New Roman" w:eastAsia="Times New Roman" w:hAnsi="Times New Roman" w:cs="Times New Roman"/>
          <w:kern w:val="0"/>
          <w14:ligatures w14:val="none"/>
        </w:rPr>
        <w:br/>
        <w:t>Receive; review; oversee; remediate.</w:t>
      </w:r>
    </w:p>
    <w:p w14:paraId="595B83BF"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BSA independent testing overlaps with internal audit, compliance testing, sanctions testing, model validation, suspicious-activity monitoring controls, and enforcement remediation.</w:t>
      </w:r>
    </w:p>
    <w:p w14:paraId="26DA1B2B"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Integrate BSA independent testing into the enterprise independent-testing framework while preserving BSA-specific statutory elements.</w:t>
      </w:r>
    </w:p>
    <w:p w14:paraId="1850FFDD"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7F6B3AA2">
          <v:rect id="_x0000_i1059" style="width:0;height:1.5pt" o:hralign="center" o:hrstd="t" o:hr="t" fillcolor="#a0a0a0" stroked="f"/>
        </w:pict>
      </w:r>
    </w:p>
    <w:p w14:paraId="76748072"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3. Suspicious activity reporting</w:t>
      </w:r>
    </w:p>
    <w:p w14:paraId="6E709A5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sources:</w:t>
      </w:r>
    </w:p>
    <w:p w14:paraId="70DDB7EC" w14:textId="77777777" w:rsidR="00D3326B" w:rsidRPr="00D3326B" w:rsidRDefault="00D3326B" w:rsidP="00D3326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SAR regulations issued by OCC, Federal Reserve, FDIC, and FinCEN</w:t>
      </w:r>
    </w:p>
    <w:p w14:paraId="04E5BB1F"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Banks.</w:t>
      </w:r>
    </w:p>
    <w:p w14:paraId="7C48346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The board or designated committee is generally notified of suspicious activity reporting in a manner consistent with SAR confidentiality requirements.</w:t>
      </w:r>
    </w:p>
    <w:p w14:paraId="790F50B2"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 or designated committee.</w:t>
      </w:r>
    </w:p>
    <w:p w14:paraId="5B97B17A"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Receive notice; oversee escalation; preserve confidentiality.</w:t>
      </w:r>
    </w:p>
    <w:p w14:paraId="6580760D"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SAR reporting to boards can become a rote reporting exercise, especially where the volume of SARs is large and the board’s oversight value depends on trend and control reporting rather than individual filings.</w:t>
      </w:r>
    </w:p>
    <w:p w14:paraId="0C3DBDA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Shift board reporting toward risk trends, control failures, typologies, and material escalations rather than routine SAR counts.</w:t>
      </w:r>
    </w:p>
    <w:p w14:paraId="37A22702"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4FB56318">
          <v:rect id="_x0000_i1060" style="width:0;height:1.5pt" o:hralign="center" o:hrstd="t" o:hr="t" fillcolor="#a0a0a0" stroked="f"/>
        </w:pict>
      </w:r>
    </w:p>
    <w:p w14:paraId="62BF420E"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4. Sanctions compliance</w:t>
      </w:r>
    </w:p>
    <w:p w14:paraId="5E55F41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sources:</w:t>
      </w:r>
    </w:p>
    <w:p w14:paraId="2283055B" w14:textId="77777777" w:rsidR="00D3326B" w:rsidRPr="00D3326B" w:rsidRDefault="00D3326B" w:rsidP="00D3326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lastRenderedPageBreak/>
        <w:t>OFAC compliance expectations</w:t>
      </w:r>
    </w:p>
    <w:p w14:paraId="17714176" w14:textId="77777777" w:rsidR="00D3326B" w:rsidRPr="00D3326B" w:rsidRDefault="00D3326B" w:rsidP="00D3326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Prudential supervisory expectations</w:t>
      </w:r>
    </w:p>
    <w:p w14:paraId="6EE917B1" w14:textId="77777777" w:rsidR="00D3326B" w:rsidRPr="00D3326B" w:rsidRDefault="00D3326B" w:rsidP="00D3326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BSA/AML and sanctions examination practice</w:t>
      </w:r>
    </w:p>
    <w:p w14:paraId="7F3EDA9B"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Banks engaged in payments, trade finance, cross-border activity, or customer screening.</w:t>
      </w:r>
    </w:p>
    <w:p w14:paraId="29556F82"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Boards are expected to oversee sanctions compliance programs, risk assessments, escalation, and remediation.</w:t>
      </w:r>
    </w:p>
    <w:p w14:paraId="4DA3AA2A"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 compliance committee, or risk committee.</w:t>
      </w:r>
    </w:p>
    <w:p w14:paraId="1AC3E23B"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Oversee; receive; challenge; remediate.</w:t>
      </w:r>
    </w:p>
    <w:p w14:paraId="67CAA42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Sanctions compliance overlaps with BSA/AML, payments risk, third-party risk, customer due diligence, cyber, fraud, and operational controls.</w:t>
      </w:r>
    </w:p>
    <w:p w14:paraId="6408919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Treat sanctions as a module within financial-crimes governance rather than a wholly separate board-reporting track.</w:t>
      </w:r>
    </w:p>
    <w:p w14:paraId="37C6E9E9"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7CA76E80">
          <v:rect id="_x0000_i1061" style="width:0;height:1.5pt" o:hralign="center" o:hrstd="t" o:hr="t" fillcolor="#a0a0a0" stroked="f"/>
        </w:pict>
      </w:r>
    </w:p>
    <w:p w14:paraId="65085A1F" w14:textId="77777777" w:rsidR="00D3326B" w:rsidRPr="00D3326B" w:rsidRDefault="00D3326B" w:rsidP="00D332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326B">
        <w:rPr>
          <w:rFonts w:ascii="Times New Roman" w:eastAsia="Times New Roman" w:hAnsi="Times New Roman" w:cs="Times New Roman"/>
          <w:b/>
          <w:bCs/>
          <w:kern w:val="0"/>
          <w:sz w:val="36"/>
          <w:szCs w:val="36"/>
          <w14:ligatures w14:val="none"/>
        </w:rPr>
        <w:t>I. Insider Lending, Conflicts, and Affiliate Transactions</w:t>
      </w:r>
    </w:p>
    <w:p w14:paraId="0C76463C"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1. Insider lending and Regulation O</w:t>
      </w:r>
    </w:p>
    <w:p w14:paraId="30711FA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w:t>
      </w:r>
    </w:p>
    <w:p w14:paraId="7ED7F174" w14:textId="77777777" w:rsidR="00D3326B" w:rsidRPr="00D3326B" w:rsidRDefault="00D3326B" w:rsidP="00D3326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12 CFR Part 215</w:t>
      </w:r>
    </w:p>
    <w:p w14:paraId="3D56DA4A"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Member banks and, through related rules, national banks and other insured depository institutions.</w:t>
      </w:r>
    </w:p>
    <w:p w14:paraId="480118FB"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Certain extensions of credit to executive officers, directors, principal shareholders, and related interests require prior approval by a majority of the entire board, with the interested director abstaining.</w:t>
      </w:r>
    </w:p>
    <w:p w14:paraId="6D2835B0"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w:t>
      </w:r>
    </w:p>
    <w:p w14:paraId="3AA09F5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lastRenderedPageBreak/>
        <w:t>Required verbs:</w:t>
      </w:r>
      <w:r w:rsidRPr="00D3326B">
        <w:rPr>
          <w:rFonts w:ascii="Times New Roman" w:eastAsia="Times New Roman" w:hAnsi="Times New Roman" w:cs="Times New Roman"/>
          <w:kern w:val="0"/>
          <w14:ligatures w14:val="none"/>
        </w:rPr>
        <w:br/>
        <w:t>Approve; abstain; document; monitor.</w:t>
      </w:r>
    </w:p>
    <w:p w14:paraId="3F0DB6E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Regulation O creates a specific board-approval regime layered on top of corporate-law conflicts rules, lending policies, affiliate-transaction controls, and ethics policies.</w:t>
      </w:r>
    </w:p>
    <w:p w14:paraId="0C2F98A3"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Maintain specific statutory safeguards but integrate Reg O approvals into a broader conflicts-of-interest governance framework.</w:t>
      </w:r>
    </w:p>
    <w:p w14:paraId="18FF6655"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3E471C16">
          <v:rect id="_x0000_i1062" style="width:0;height:1.5pt" o:hralign="center" o:hrstd="t" o:hr="t" fillcolor="#a0a0a0" stroked="f"/>
        </w:pict>
      </w:r>
    </w:p>
    <w:p w14:paraId="19057870"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2. Insider records and surveys</w:t>
      </w:r>
    </w:p>
    <w:p w14:paraId="01EA24F4"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w:t>
      </w:r>
    </w:p>
    <w:p w14:paraId="0E9843F7" w14:textId="77777777" w:rsidR="00D3326B" w:rsidRPr="00D3326B" w:rsidRDefault="00D3326B" w:rsidP="00D3326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12 CFR 215.8</w:t>
      </w:r>
    </w:p>
    <w:p w14:paraId="02740B5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Member banks and related institutions.</w:t>
      </w:r>
    </w:p>
    <w:p w14:paraId="38E4B4D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Institutions must maintain records identifying insiders, often through annual surveys of directors and executive officers.</w:t>
      </w:r>
    </w:p>
    <w:p w14:paraId="38FA95F1"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 corporate secretary, governance committee.</w:t>
      </w:r>
    </w:p>
    <w:p w14:paraId="0057165F"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Identify; disclose; maintain records.</w:t>
      </w:r>
    </w:p>
    <w:p w14:paraId="2801E97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Annual insider surveys overlap with ethics certifications, conflicts disclosures, affiliate-transaction reporting, director independence questionnaires, and public-company governance processes.</w:t>
      </w:r>
    </w:p>
    <w:p w14:paraId="6C675C5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Create a single annual director and officer governance questionnaire satisfying insider, conflicts, independence, and ethics requirements.</w:t>
      </w:r>
    </w:p>
    <w:p w14:paraId="544E6E77"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490D4DEF">
          <v:rect id="_x0000_i1063" style="width:0;height:1.5pt" o:hralign="center" o:hrstd="t" o:hr="t" fillcolor="#a0a0a0" stroked="f"/>
        </w:pict>
      </w:r>
    </w:p>
    <w:p w14:paraId="5FF0A49E"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3. Affiliate transactions and Regulation W</w:t>
      </w:r>
    </w:p>
    <w:p w14:paraId="2DE835FD"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sources:</w:t>
      </w:r>
    </w:p>
    <w:p w14:paraId="406BF6AA" w14:textId="77777777" w:rsidR="00D3326B" w:rsidRPr="00D3326B" w:rsidRDefault="00D3326B" w:rsidP="00D3326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lastRenderedPageBreak/>
        <w:t>Sections 23A and 23B of the Federal Reserve Act</w:t>
      </w:r>
    </w:p>
    <w:p w14:paraId="08E2A3BD" w14:textId="77777777" w:rsidR="00D3326B" w:rsidRPr="00D3326B" w:rsidRDefault="00D3326B" w:rsidP="00D3326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12 CFR Part 223</w:t>
      </w:r>
    </w:p>
    <w:p w14:paraId="79B0442D"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Banks and affiliates.</w:t>
      </w:r>
    </w:p>
    <w:p w14:paraId="7A346D3A"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Boards oversee policies, limits, controls, and compliance for transactions with affiliates.</w:t>
      </w:r>
    </w:p>
    <w:p w14:paraId="484F4614"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 risk committee, audit committee.</w:t>
      </w:r>
    </w:p>
    <w:p w14:paraId="2440386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Oversee; approve where required; monitor; ensure compliance.</w:t>
      </w:r>
    </w:p>
    <w:p w14:paraId="4EC141D4"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Affiliate-transaction oversight overlaps with conflicts, capital, liquidity, transfer pricing, recovery and resolution planning, legal-entity governance, and insider controls.</w:t>
      </w:r>
    </w:p>
    <w:p w14:paraId="67073D80"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Integrate affiliate-transaction governance into legal-entity governance and enterprise conflicts frameworks.</w:t>
      </w:r>
    </w:p>
    <w:p w14:paraId="1BCF4F63"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1E73B0C7">
          <v:rect id="_x0000_i1064" style="width:0;height:1.5pt" o:hralign="center" o:hrstd="t" o:hr="t" fillcolor="#a0a0a0" stroked="f"/>
        </w:pict>
      </w:r>
    </w:p>
    <w:p w14:paraId="7B25546A"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4. Management interlocks</w:t>
      </w:r>
    </w:p>
    <w:p w14:paraId="6224635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sources:</w:t>
      </w:r>
    </w:p>
    <w:p w14:paraId="2903CB9C" w14:textId="77777777" w:rsidR="00D3326B" w:rsidRPr="00D3326B" w:rsidRDefault="00D3326B" w:rsidP="00D3326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Depository Institution Management Interlocks Act</w:t>
      </w:r>
    </w:p>
    <w:p w14:paraId="11A6F2B2" w14:textId="77777777" w:rsidR="00D3326B" w:rsidRPr="00D3326B" w:rsidRDefault="00D3326B" w:rsidP="00D3326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12 CFR Part 26 and parallel agency rules</w:t>
      </w:r>
    </w:p>
    <w:p w14:paraId="4CB9540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Depository organizations and management officials.</w:t>
      </w:r>
    </w:p>
    <w:p w14:paraId="7CD987AD"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Institutions must ensure directors and management officials do not serve in prohibited interlocking relationships.</w:t>
      </w:r>
    </w:p>
    <w:p w14:paraId="4036F0B5"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 governance committee, nominating committee.</w:t>
      </w:r>
    </w:p>
    <w:p w14:paraId="16BD2925"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Screen; monitor; prevent; document.</w:t>
      </w:r>
    </w:p>
    <w:p w14:paraId="71E03EAA"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lastRenderedPageBreak/>
        <w:t>Policy-sludge concern:</w:t>
      </w:r>
      <w:r w:rsidRPr="00D3326B">
        <w:rPr>
          <w:rFonts w:ascii="Times New Roman" w:eastAsia="Times New Roman" w:hAnsi="Times New Roman" w:cs="Times New Roman"/>
          <w:kern w:val="0"/>
          <w14:ligatures w14:val="none"/>
        </w:rPr>
        <w:br/>
        <w:t>Management-interlock rules overlap with independence rules, conflicts policies, director qualification reviews, and change-in-director notices.</w:t>
      </w:r>
    </w:p>
    <w:p w14:paraId="42D0F1E0"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Include interlocks in a unified director eligibility and conflicts review process.</w:t>
      </w:r>
    </w:p>
    <w:p w14:paraId="64DBEA6D"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57518BCC">
          <v:rect id="_x0000_i1065" style="width:0;height:1.5pt" o:hralign="center" o:hrstd="t" o:hr="t" fillcolor="#a0a0a0" stroked="f"/>
        </w:pict>
      </w:r>
    </w:p>
    <w:p w14:paraId="63BD3F72" w14:textId="77777777" w:rsidR="00D3326B" w:rsidRPr="00D3326B" w:rsidRDefault="00D3326B" w:rsidP="00D332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326B">
        <w:rPr>
          <w:rFonts w:ascii="Times New Roman" w:eastAsia="Times New Roman" w:hAnsi="Times New Roman" w:cs="Times New Roman"/>
          <w:b/>
          <w:bCs/>
          <w:kern w:val="0"/>
          <w:sz w:val="36"/>
          <w:szCs w:val="36"/>
          <w14:ligatures w14:val="none"/>
        </w:rPr>
        <w:t>J. Fiduciary, Trust, Custody, and Investment Activities</w:t>
      </w:r>
    </w:p>
    <w:p w14:paraId="6E37EF2C"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1. Fiduciary activities</w:t>
      </w:r>
    </w:p>
    <w:p w14:paraId="72DF675D"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w:t>
      </w:r>
    </w:p>
    <w:p w14:paraId="7F8D48B4" w14:textId="77777777" w:rsidR="00D3326B" w:rsidRPr="00D3326B" w:rsidRDefault="00D3326B" w:rsidP="00D3326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12 CFR Part 9</w:t>
      </w:r>
    </w:p>
    <w:p w14:paraId="6A2B0D3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National banks with fiduciary powers.</w:t>
      </w:r>
    </w:p>
    <w:p w14:paraId="10A6B925"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The board or its designee must oversee fiduciary activities, assign fiduciary responsibilities, and ensure appropriate controls.</w:t>
      </w:r>
    </w:p>
    <w:p w14:paraId="671982D3"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 fiduciary committee, trust committee, or designated officers.</w:t>
      </w:r>
    </w:p>
    <w:p w14:paraId="58BCD64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Assign; oversee; review; control.</w:t>
      </w:r>
    </w:p>
    <w:p w14:paraId="5F765FA0"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Fiduciary governance is often maintained separately from enterprise risk management, creating parallel committee structures and reporting lines.</w:t>
      </w:r>
    </w:p>
    <w:p w14:paraId="5B3F6F8A"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Map fiduciary obligations to enterprise operational, compliance, conflicts, and audit frameworks.</w:t>
      </w:r>
    </w:p>
    <w:p w14:paraId="2BA6E8FC"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6E6CF237">
          <v:rect id="_x0000_i1066" style="width:0;height:1.5pt" o:hralign="center" o:hrstd="t" o:hr="t" fillcolor="#a0a0a0" stroked="f"/>
        </w:pict>
      </w:r>
    </w:p>
    <w:p w14:paraId="3D44DBF2"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2. Collective investment funds</w:t>
      </w:r>
    </w:p>
    <w:p w14:paraId="15B6A8EF"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w:t>
      </w:r>
    </w:p>
    <w:p w14:paraId="1B7BA062" w14:textId="77777777" w:rsidR="00D3326B" w:rsidRPr="00D3326B" w:rsidRDefault="00D3326B" w:rsidP="00D3326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12 CFR Part 9</w:t>
      </w:r>
    </w:p>
    <w:p w14:paraId="70C494F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lastRenderedPageBreak/>
        <w:t>Applies to:</w:t>
      </w:r>
      <w:r w:rsidRPr="00D3326B">
        <w:rPr>
          <w:rFonts w:ascii="Times New Roman" w:eastAsia="Times New Roman" w:hAnsi="Times New Roman" w:cs="Times New Roman"/>
          <w:kern w:val="0"/>
          <w14:ligatures w14:val="none"/>
        </w:rPr>
        <w:br/>
        <w:t>National banks administering collective investment funds.</w:t>
      </w:r>
    </w:p>
    <w:p w14:paraId="4094690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The board or its designee must approve and oversee written plans governing collective investment funds.</w:t>
      </w:r>
    </w:p>
    <w:p w14:paraId="188E178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 or fiduciary committee.</w:t>
      </w:r>
    </w:p>
    <w:p w14:paraId="1E292B53"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Approve; amend; oversee; review.</w:t>
      </w:r>
    </w:p>
    <w:p w14:paraId="2C6FD91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Collective investment fund governance overlaps with fiduciary duties, valuation, conflicts, securities compliance, investment risk, and operational controls.</w:t>
      </w:r>
    </w:p>
    <w:p w14:paraId="59E8C55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Permit consolidated fiduciary product-governance frameworks.</w:t>
      </w:r>
    </w:p>
    <w:p w14:paraId="51E8517B"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64951167">
          <v:rect id="_x0000_i1067" style="width:0;height:1.5pt" o:hralign="center" o:hrstd="t" o:hr="t" fillcolor="#a0a0a0" stroked="f"/>
        </w:pict>
      </w:r>
    </w:p>
    <w:p w14:paraId="588ACD93"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3. Investment securities and asset-management activities</w:t>
      </w:r>
    </w:p>
    <w:p w14:paraId="5FFD5DD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sources:</w:t>
      </w:r>
    </w:p>
    <w:p w14:paraId="1605C7FE" w14:textId="77777777" w:rsidR="00D3326B" w:rsidRPr="00D3326B" w:rsidRDefault="00D3326B" w:rsidP="00D3326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Agency investment securities rules</w:t>
      </w:r>
    </w:p>
    <w:p w14:paraId="76D6084D" w14:textId="77777777" w:rsidR="00D3326B" w:rsidRPr="00D3326B" w:rsidRDefault="00D3326B" w:rsidP="00D3326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OCC, Federal Reserve, and FDIC investment guidance</w:t>
      </w:r>
    </w:p>
    <w:p w14:paraId="0C09788C" w14:textId="77777777" w:rsidR="00D3326B" w:rsidRPr="00D3326B" w:rsidRDefault="00D3326B" w:rsidP="00D3326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Safety-and-soundness standards</w:t>
      </w:r>
    </w:p>
    <w:p w14:paraId="62624F0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Banks engaged in securities investment, asset management, or related activities.</w:t>
      </w:r>
    </w:p>
    <w:p w14:paraId="707E93E9"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Boards approve investment policies, risk limits, and oversight frameworks.</w:t>
      </w:r>
    </w:p>
    <w:p w14:paraId="42FD3FB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 investment committee, risk committee, ALCO.</w:t>
      </w:r>
    </w:p>
    <w:p w14:paraId="088222E1"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Approve; oversee; monitor; review.</w:t>
      </w:r>
    </w:p>
    <w:p w14:paraId="0380CB9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Investment governance overlaps with interest-rate risk, liquidity, capital, fiduciary, market risk, and asset-liability management.</w:t>
      </w:r>
    </w:p>
    <w:p w14:paraId="7F0EF5A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lastRenderedPageBreak/>
        <w:t>Potential reform:</w:t>
      </w:r>
      <w:r w:rsidRPr="00D3326B">
        <w:rPr>
          <w:rFonts w:ascii="Times New Roman" w:eastAsia="Times New Roman" w:hAnsi="Times New Roman" w:cs="Times New Roman"/>
          <w:kern w:val="0"/>
          <w14:ligatures w14:val="none"/>
        </w:rPr>
        <w:br/>
        <w:t>Integrate investment policy approvals into enterprise balance-sheet and risk-appetite governance.</w:t>
      </w:r>
    </w:p>
    <w:p w14:paraId="7BF328C3"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45C98C23">
          <v:rect id="_x0000_i1068" style="width:0;height:1.5pt" o:hralign="center" o:hrstd="t" o:hr="t" fillcolor="#a0a0a0" stroked="f"/>
        </w:pict>
      </w:r>
    </w:p>
    <w:p w14:paraId="3A6FAEE9" w14:textId="77777777" w:rsidR="00D3326B" w:rsidRPr="00D3326B" w:rsidRDefault="00D3326B" w:rsidP="00D332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326B">
        <w:rPr>
          <w:rFonts w:ascii="Times New Roman" w:eastAsia="Times New Roman" w:hAnsi="Times New Roman" w:cs="Times New Roman"/>
          <w:b/>
          <w:bCs/>
          <w:kern w:val="0"/>
          <w:sz w:val="36"/>
          <w:szCs w:val="36"/>
          <w14:ligatures w14:val="none"/>
        </w:rPr>
        <w:t>K. Consumer Compliance, CRA, Fair Lending, UDAAP, and Privacy</w:t>
      </w:r>
    </w:p>
    <w:p w14:paraId="6995F40A"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1. Consumer compliance management system</w:t>
      </w:r>
    </w:p>
    <w:p w14:paraId="38C003D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sources:</w:t>
      </w:r>
    </w:p>
    <w:p w14:paraId="396031A3" w14:textId="77777777" w:rsidR="00D3326B" w:rsidRPr="00D3326B" w:rsidRDefault="00D3326B" w:rsidP="00D3326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CFPB supervision materials</w:t>
      </w:r>
    </w:p>
    <w:p w14:paraId="3A5D0E96" w14:textId="77777777" w:rsidR="00D3326B" w:rsidRPr="00D3326B" w:rsidRDefault="00D3326B" w:rsidP="00D3326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Prudential agency consumer-compliance examination manuals</w:t>
      </w:r>
    </w:p>
    <w:p w14:paraId="1F055833" w14:textId="77777777" w:rsidR="00D3326B" w:rsidRPr="00D3326B" w:rsidRDefault="00D3326B" w:rsidP="00D3326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Interagency consumer-compliance guidance</w:t>
      </w:r>
    </w:p>
    <w:p w14:paraId="2B156FD9"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Banks offering consumer financial products and services.</w:t>
      </w:r>
    </w:p>
    <w:p w14:paraId="7070B112"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The board is expected to oversee the consumer compliance management system, including policies, monitoring, audit, complaints, training, and remediation.</w:t>
      </w:r>
    </w:p>
    <w:p w14:paraId="2E45E631"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 compliance committee, risk committee, audit committee.</w:t>
      </w:r>
    </w:p>
    <w:p w14:paraId="4A9CB9C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Oversee; receive; review; remediate.</w:t>
      </w:r>
    </w:p>
    <w:p w14:paraId="7990925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Consumer CMS obligations are often guidance- and exam-manual based rather than clearly codified, yet they are heavily enforced.</w:t>
      </w:r>
    </w:p>
    <w:p w14:paraId="3A4AD52B"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Clarify which CMS elements require board approval, board reporting, committee review, or management certification.</w:t>
      </w:r>
    </w:p>
    <w:p w14:paraId="63E0AA0F"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6011EDE2">
          <v:rect id="_x0000_i1069" style="width:0;height:1.5pt" o:hralign="center" o:hrstd="t" o:hr="t" fillcolor="#a0a0a0" stroked="f"/>
        </w:pict>
      </w:r>
    </w:p>
    <w:p w14:paraId="3CE900AE"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2. Fair lending</w:t>
      </w:r>
    </w:p>
    <w:p w14:paraId="51CBD705"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sources:</w:t>
      </w:r>
    </w:p>
    <w:p w14:paraId="1404C36B" w14:textId="77777777" w:rsidR="00D3326B" w:rsidRPr="00D3326B" w:rsidRDefault="00D3326B" w:rsidP="00D3326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Equal Credit Opportunity Act</w:t>
      </w:r>
    </w:p>
    <w:p w14:paraId="15C9A93B" w14:textId="77777777" w:rsidR="00D3326B" w:rsidRPr="00D3326B" w:rsidRDefault="00D3326B" w:rsidP="00D3326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Fair Housing Act</w:t>
      </w:r>
    </w:p>
    <w:p w14:paraId="746DE93D" w14:textId="77777777" w:rsidR="00D3326B" w:rsidRPr="00D3326B" w:rsidRDefault="00D3326B" w:rsidP="00D3326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lastRenderedPageBreak/>
        <w:t>CFPB and prudential supervisory guidance</w:t>
      </w:r>
    </w:p>
    <w:p w14:paraId="3799BAD4" w14:textId="77777777" w:rsidR="00D3326B" w:rsidRPr="00D3326B" w:rsidRDefault="00D3326B" w:rsidP="00D3326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Fair-lending examination procedures</w:t>
      </w:r>
    </w:p>
    <w:p w14:paraId="1FA11FA0"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Banks engaged in lending.</w:t>
      </w:r>
    </w:p>
    <w:p w14:paraId="0346F0FB"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Boards are expected to oversee fair-lending risk management, monitoring, pricing exceptions, redlining risk, remediation, and fair-lending controls.</w:t>
      </w:r>
    </w:p>
    <w:p w14:paraId="539774F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 compliance committee, risk committee.</w:t>
      </w:r>
    </w:p>
    <w:p w14:paraId="746F393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Oversee; monitor; receive; remediate.</w:t>
      </w:r>
    </w:p>
    <w:p w14:paraId="69F3E69F"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Fair-lending board expectations often arise through exam findings or enforcement actions rather than a clean board-specific regulation.</w:t>
      </w:r>
    </w:p>
    <w:p w14:paraId="4CE35F91"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Include fair lending in a consolidated consumer-compliance governance framework.</w:t>
      </w:r>
    </w:p>
    <w:p w14:paraId="49D6168A"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2ADFE8C5">
          <v:rect id="_x0000_i1070" style="width:0;height:1.5pt" o:hralign="center" o:hrstd="t" o:hr="t" fillcolor="#a0a0a0" stroked="f"/>
        </w:pict>
      </w:r>
    </w:p>
    <w:p w14:paraId="352B964F"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3. Community Reinvestment Act</w:t>
      </w:r>
    </w:p>
    <w:p w14:paraId="643216EF"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sources:</w:t>
      </w:r>
    </w:p>
    <w:p w14:paraId="70A6BE8A" w14:textId="77777777" w:rsidR="00D3326B" w:rsidRPr="00D3326B" w:rsidRDefault="00D3326B" w:rsidP="00D3326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12 CFR Parts 25, 228, and 345</w:t>
      </w:r>
    </w:p>
    <w:p w14:paraId="47E8ADAB"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Insured depository institutions subject to CRA.</w:t>
      </w:r>
    </w:p>
    <w:p w14:paraId="445B446D"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Boards oversee CRA strategy, performance, community-development activities, public-file compliance, and remediation of CRA weaknesses.</w:t>
      </w:r>
    </w:p>
    <w:p w14:paraId="7C5CD220"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 CRA committee, compliance committee.</w:t>
      </w:r>
    </w:p>
    <w:p w14:paraId="0FF60F3D"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Oversee; review; approve strategy; receive reports.</w:t>
      </w:r>
    </w:p>
    <w:p w14:paraId="6DB34324"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lastRenderedPageBreak/>
        <w:t>Policy-sludge concern:</w:t>
      </w:r>
      <w:r w:rsidRPr="00D3326B">
        <w:rPr>
          <w:rFonts w:ascii="Times New Roman" w:eastAsia="Times New Roman" w:hAnsi="Times New Roman" w:cs="Times New Roman"/>
          <w:kern w:val="0"/>
          <w14:ligatures w14:val="none"/>
        </w:rPr>
        <w:br/>
        <w:t>CRA obligations are institution-level, but supervisory practice often converts them into board-reporting and board-strategy expectations.</w:t>
      </w:r>
    </w:p>
    <w:p w14:paraId="1123ADD3"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Clarify what CRA matters require board approval versus management execution.</w:t>
      </w:r>
    </w:p>
    <w:p w14:paraId="20D020CA"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6AF19618">
          <v:rect id="_x0000_i1071" style="width:0;height:1.5pt" o:hralign="center" o:hrstd="t" o:hr="t" fillcolor="#a0a0a0" stroked="f"/>
        </w:pict>
      </w:r>
    </w:p>
    <w:p w14:paraId="6B86B481"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4. UDAAP and consumer-risk governance</w:t>
      </w:r>
    </w:p>
    <w:p w14:paraId="29C7B1E0"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sources:</w:t>
      </w:r>
    </w:p>
    <w:p w14:paraId="6CFF9F56" w14:textId="77777777" w:rsidR="00D3326B" w:rsidRPr="00D3326B" w:rsidRDefault="00D3326B" w:rsidP="00D3326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Dodd-Frank Act</w:t>
      </w:r>
    </w:p>
    <w:p w14:paraId="25909297" w14:textId="77777777" w:rsidR="00D3326B" w:rsidRPr="00D3326B" w:rsidRDefault="00D3326B" w:rsidP="00D3326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Federal Trade Commission Act</w:t>
      </w:r>
    </w:p>
    <w:p w14:paraId="3654775C" w14:textId="77777777" w:rsidR="00D3326B" w:rsidRPr="00D3326B" w:rsidRDefault="00D3326B" w:rsidP="00D3326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CFPB and prudential agency supervision and enforcement</w:t>
      </w:r>
    </w:p>
    <w:p w14:paraId="6173C95B"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Banks and affiliates engaged in consumer financial products and services.</w:t>
      </w:r>
    </w:p>
    <w:p w14:paraId="3200861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Boards are expected to oversee consumer-risk governance, product design, fees, disclosures, servicing, complaints, third-party consumer risks, and remediation.</w:t>
      </w:r>
    </w:p>
    <w:p w14:paraId="59251EF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 compliance committee, risk committee.</w:t>
      </w:r>
    </w:p>
    <w:p w14:paraId="0022825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Oversee; challenge; receive; remediate.</w:t>
      </w:r>
    </w:p>
    <w:p w14:paraId="46EF0072"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UDAAP is open-ended and can convert product, pricing, servicing, complaint, marketing, and third-party issues into board-level governance matters.</w:t>
      </w:r>
    </w:p>
    <w:p w14:paraId="59F10223"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Create a product-and-consumer-risk governance framework with clear escalation thresholds.</w:t>
      </w:r>
    </w:p>
    <w:p w14:paraId="0DEBD016"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51181054">
          <v:rect id="_x0000_i1072" style="width:0;height:1.5pt" o:hralign="center" o:hrstd="t" o:hr="t" fillcolor="#a0a0a0" stroked="f"/>
        </w:pict>
      </w:r>
    </w:p>
    <w:p w14:paraId="2A9A8787"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5. Privacy and GLBA safeguards</w:t>
      </w:r>
    </w:p>
    <w:p w14:paraId="054E0DFA"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sources:</w:t>
      </w:r>
    </w:p>
    <w:p w14:paraId="1E7AF1AF" w14:textId="77777777" w:rsidR="00D3326B" w:rsidRPr="00D3326B" w:rsidRDefault="00D3326B" w:rsidP="00D3326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Gramm-Leach-Bliley Act</w:t>
      </w:r>
    </w:p>
    <w:p w14:paraId="6D969373" w14:textId="77777777" w:rsidR="00D3326B" w:rsidRPr="00D3326B" w:rsidRDefault="00D3326B" w:rsidP="00D3326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Interagency information-security standards</w:t>
      </w:r>
    </w:p>
    <w:p w14:paraId="44A38A8E" w14:textId="77777777" w:rsidR="00D3326B" w:rsidRPr="00D3326B" w:rsidRDefault="00D3326B" w:rsidP="00D3326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Privacy rules and safeguards expectations</w:t>
      </w:r>
    </w:p>
    <w:p w14:paraId="5107331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lastRenderedPageBreak/>
        <w:t>Applies to:</w:t>
      </w:r>
      <w:r w:rsidRPr="00D3326B">
        <w:rPr>
          <w:rFonts w:ascii="Times New Roman" w:eastAsia="Times New Roman" w:hAnsi="Times New Roman" w:cs="Times New Roman"/>
          <w:kern w:val="0"/>
          <w14:ligatures w14:val="none"/>
        </w:rPr>
        <w:br/>
        <w:t>Banks handling consumer information.</w:t>
      </w:r>
    </w:p>
    <w:p w14:paraId="1C3FDA7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The board oversees programs designed to protect customer information and comply with privacy and safeguarding requirements.</w:t>
      </w:r>
    </w:p>
    <w:p w14:paraId="58ACCA4A"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 risk committee, technology committee, audit committee.</w:t>
      </w:r>
    </w:p>
    <w:p w14:paraId="77D9688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Oversee; approve; receive; monitor.</w:t>
      </w:r>
    </w:p>
    <w:p w14:paraId="6A8BCF3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Privacy overlaps with information security, cyber, third-party risk, consumer compliance, data governance, fraud, and incident response.</w:t>
      </w:r>
    </w:p>
    <w:p w14:paraId="109A7364"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Integrate privacy into a broader data-governance and operational-resilience framework.</w:t>
      </w:r>
    </w:p>
    <w:p w14:paraId="10496C18"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233738DD">
          <v:rect id="_x0000_i1073" style="width:0;height:1.5pt" o:hralign="center" o:hrstd="t" o:hr="t" fillcolor="#a0a0a0" stroked="f"/>
        </w:pict>
      </w:r>
    </w:p>
    <w:p w14:paraId="6BC48100" w14:textId="77777777" w:rsidR="00D3326B" w:rsidRPr="00D3326B" w:rsidRDefault="00D3326B" w:rsidP="00D332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326B">
        <w:rPr>
          <w:rFonts w:ascii="Times New Roman" w:eastAsia="Times New Roman" w:hAnsi="Times New Roman" w:cs="Times New Roman"/>
          <w:b/>
          <w:bCs/>
          <w:kern w:val="0"/>
          <w:sz w:val="36"/>
          <w:szCs w:val="36"/>
          <w14:ligatures w14:val="none"/>
        </w:rPr>
        <w:t>L. Cybersecurity, Information Security, Operational Resilience, and Incident Response</w:t>
      </w:r>
    </w:p>
    <w:p w14:paraId="6C95C440"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1. Information-security standards</w:t>
      </w:r>
    </w:p>
    <w:p w14:paraId="4896B0A1"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sources:</w:t>
      </w:r>
    </w:p>
    <w:p w14:paraId="5802E12F" w14:textId="77777777" w:rsidR="00D3326B" w:rsidRPr="00D3326B" w:rsidRDefault="00D3326B" w:rsidP="00D3326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12 CFR Part 30, Appendix B</w:t>
      </w:r>
    </w:p>
    <w:p w14:paraId="0185B9F8" w14:textId="77777777" w:rsidR="00D3326B" w:rsidRPr="00D3326B" w:rsidRDefault="00D3326B" w:rsidP="00D3326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12 CFR Part 364, Appendix B</w:t>
      </w:r>
    </w:p>
    <w:p w14:paraId="023C162C" w14:textId="77777777" w:rsidR="00D3326B" w:rsidRPr="00D3326B" w:rsidRDefault="00D3326B" w:rsidP="00D3326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Federal Reserve equivalents</w:t>
      </w:r>
    </w:p>
    <w:p w14:paraId="562B3681" w14:textId="77777777" w:rsidR="00D3326B" w:rsidRPr="00D3326B" w:rsidRDefault="00D3326B" w:rsidP="00D3326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Interagency Guidelines Establishing Information Security Standards</w:t>
      </w:r>
    </w:p>
    <w:p w14:paraId="52D6D1C2"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Insured depository institutions.</w:t>
      </w:r>
    </w:p>
    <w:p w14:paraId="1639D75F"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The board or an appropriate committee must oversee the development, implementation, and maintenance of the institution’s information-security program.</w:t>
      </w:r>
    </w:p>
    <w:p w14:paraId="44080D7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 risk committee, audit committee, technology committee.</w:t>
      </w:r>
    </w:p>
    <w:p w14:paraId="03F93951"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lastRenderedPageBreak/>
        <w:t>Required verbs:</w:t>
      </w:r>
      <w:r w:rsidRPr="00D3326B">
        <w:rPr>
          <w:rFonts w:ascii="Times New Roman" w:eastAsia="Times New Roman" w:hAnsi="Times New Roman" w:cs="Times New Roman"/>
          <w:kern w:val="0"/>
          <w14:ligatures w14:val="none"/>
        </w:rPr>
        <w:br/>
        <w:t>Oversee; approve; review; receive.</w:t>
      </w:r>
    </w:p>
    <w:p w14:paraId="0B189CEA"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Information-security governance overlaps with cyber resilience, vendor management, GLBA privacy, incident response, business continuity, technology risk, and operational resilience.</w:t>
      </w:r>
    </w:p>
    <w:p w14:paraId="4A48713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Use a single operational-resilience board dashboard covering cyber, technology, vendor, business continuity, and data-protection risks.</w:t>
      </w:r>
    </w:p>
    <w:p w14:paraId="582CD56D"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188D41AA">
          <v:rect id="_x0000_i1074" style="width:0;height:1.5pt" o:hralign="center" o:hrstd="t" o:hr="t" fillcolor="#a0a0a0" stroked="f"/>
        </w:pict>
      </w:r>
    </w:p>
    <w:p w14:paraId="4B048D24"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2. Computer-security incident notification</w:t>
      </w:r>
    </w:p>
    <w:p w14:paraId="08A7700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sources:</w:t>
      </w:r>
    </w:p>
    <w:p w14:paraId="1A8271A0" w14:textId="77777777" w:rsidR="00D3326B" w:rsidRPr="00D3326B" w:rsidRDefault="00D3326B" w:rsidP="00D3326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Interagency computer-security incident notification rule</w:t>
      </w:r>
    </w:p>
    <w:p w14:paraId="194DC4DE" w14:textId="77777777" w:rsidR="00D3326B" w:rsidRPr="00D3326B" w:rsidRDefault="00D3326B" w:rsidP="00D3326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Agency incident-response expectations</w:t>
      </w:r>
    </w:p>
    <w:p w14:paraId="578645E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Banking organizations and bank service providers.</w:t>
      </w:r>
    </w:p>
    <w:p w14:paraId="55346CCF"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The formal notification duty is generally operational, but board oversight is expected through incident-response governance, escalation procedures, and post-incident remediation.</w:t>
      </w:r>
    </w:p>
    <w:p w14:paraId="573F1C63"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 risk committee, technology committee.</w:t>
      </w:r>
    </w:p>
    <w:p w14:paraId="2B30DDFA"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Oversee; receive escalation; review remediation.</w:t>
      </w:r>
    </w:p>
    <w:p w14:paraId="0CC09BC3"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Incident response overlaps with cyber, vendor risk, operational resilience, business continuity, customer notification, law enforcement, and enforcement remediation.</w:t>
      </w:r>
    </w:p>
    <w:p w14:paraId="54243672"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Align cyber incident escalation thresholds with operational-resilience and third-party risk escalation thresholds.</w:t>
      </w:r>
    </w:p>
    <w:p w14:paraId="0C498C82"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7E1CE641">
          <v:rect id="_x0000_i1075" style="width:0;height:1.5pt" o:hralign="center" o:hrstd="t" o:hr="t" fillcolor="#a0a0a0" stroked="f"/>
        </w:pict>
      </w:r>
    </w:p>
    <w:p w14:paraId="7CA00993"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3. Operational resilience and business continuity</w:t>
      </w:r>
    </w:p>
    <w:p w14:paraId="229C4F01"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sources:</w:t>
      </w:r>
    </w:p>
    <w:p w14:paraId="618FA3EA" w14:textId="77777777" w:rsidR="00D3326B" w:rsidRPr="00D3326B" w:rsidRDefault="00D3326B" w:rsidP="00D3326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lastRenderedPageBreak/>
        <w:t>Safety-and-soundness guidance</w:t>
      </w:r>
    </w:p>
    <w:p w14:paraId="5E903DF2" w14:textId="77777777" w:rsidR="00D3326B" w:rsidRPr="00D3326B" w:rsidRDefault="00D3326B" w:rsidP="00D3326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FFIEC guidance</w:t>
      </w:r>
    </w:p>
    <w:p w14:paraId="5EA54301" w14:textId="77777777" w:rsidR="00D3326B" w:rsidRPr="00D3326B" w:rsidRDefault="00D3326B" w:rsidP="00D3326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Agency operational-risk and business-continuity expectations</w:t>
      </w:r>
    </w:p>
    <w:p w14:paraId="05087241"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Banking organizations, especially large and complex institutions.</w:t>
      </w:r>
    </w:p>
    <w:p w14:paraId="3013E8E1"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Boards oversee business continuity, disaster recovery, cyber resilience, payment-system resilience, third-party dependencies, and operational-risk management.</w:t>
      </w:r>
    </w:p>
    <w:p w14:paraId="06D9BB3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 risk committee, technology committee.</w:t>
      </w:r>
    </w:p>
    <w:p w14:paraId="69F0A8D0"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Oversee; approve; receive; challenge; remediate.</w:t>
      </w:r>
    </w:p>
    <w:p w14:paraId="5089205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Operational resilience is fragmented across cyber, vendor risk, business continuity, payments, resolution planning, information security, and incident response.</w:t>
      </w:r>
    </w:p>
    <w:p w14:paraId="37AB395F"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Create a single operational-resilience governance standard that replaces duplicative program-specific board reporting.</w:t>
      </w:r>
    </w:p>
    <w:p w14:paraId="3EC4C415"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35BA411A">
          <v:rect id="_x0000_i1076" style="width:0;height:1.5pt" o:hralign="center" o:hrstd="t" o:hr="t" fillcolor="#a0a0a0" stroked="f"/>
        </w:pict>
      </w:r>
    </w:p>
    <w:p w14:paraId="1DA339EA" w14:textId="77777777" w:rsidR="00D3326B" w:rsidRPr="00D3326B" w:rsidRDefault="00D3326B" w:rsidP="00D332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326B">
        <w:rPr>
          <w:rFonts w:ascii="Times New Roman" w:eastAsia="Times New Roman" w:hAnsi="Times New Roman" w:cs="Times New Roman"/>
          <w:b/>
          <w:bCs/>
          <w:kern w:val="0"/>
          <w:sz w:val="36"/>
          <w:szCs w:val="36"/>
          <w14:ligatures w14:val="none"/>
        </w:rPr>
        <w:t>M. Compensation, Talent, Culture, and Accountability</w:t>
      </w:r>
    </w:p>
    <w:p w14:paraId="19F18925"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1. Compensation safety-and-soundness standards</w:t>
      </w:r>
    </w:p>
    <w:p w14:paraId="622720B0"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sources:</w:t>
      </w:r>
    </w:p>
    <w:p w14:paraId="121DEE63" w14:textId="77777777" w:rsidR="00D3326B" w:rsidRPr="00D3326B" w:rsidRDefault="00D3326B" w:rsidP="00D3326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Interagency safety-and-soundness guidelines</w:t>
      </w:r>
    </w:p>
    <w:p w14:paraId="214EF567" w14:textId="77777777" w:rsidR="00D3326B" w:rsidRPr="00D3326B" w:rsidRDefault="00D3326B" w:rsidP="00D3326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Incentive compensation guidance</w:t>
      </w:r>
    </w:p>
    <w:p w14:paraId="6D29350D" w14:textId="77777777" w:rsidR="00D3326B" w:rsidRPr="00D3326B" w:rsidRDefault="00D3326B" w:rsidP="00D3326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Agency supervisory expectations</w:t>
      </w:r>
    </w:p>
    <w:p w14:paraId="60E51C3F"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Insured depository institutions and banking organizations.</w:t>
      </w:r>
    </w:p>
    <w:p w14:paraId="507985B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Boards oversee compensation practices to ensure they do not encourage imprudent risk-taking or unsafe and unsound behavior.</w:t>
      </w:r>
    </w:p>
    <w:p w14:paraId="610B7560"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 compensation committee, risk committee.</w:t>
      </w:r>
    </w:p>
    <w:p w14:paraId="0FA2D10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lastRenderedPageBreak/>
        <w:t>Required verbs:</w:t>
      </w:r>
      <w:r w:rsidRPr="00D3326B">
        <w:rPr>
          <w:rFonts w:ascii="Times New Roman" w:eastAsia="Times New Roman" w:hAnsi="Times New Roman" w:cs="Times New Roman"/>
          <w:kern w:val="0"/>
          <w14:ligatures w14:val="none"/>
        </w:rPr>
        <w:br/>
        <w:t>Oversee; approve; monitor; adjust.</w:t>
      </w:r>
    </w:p>
    <w:p w14:paraId="743A85C9"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Compensation oversight overlaps with risk appetite, performance management, culture, conduct risk, talent management, public-company compensation committee duties, and safety-and-soundness standards.</w:t>
      </w:r>
    </w:p>
    <w:p w14:paraId="042B545A"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Clarify which compensation-risk obligations belong to the compensation committee, risk committee, and full board.</w:t>
      </w:r>
    </w:p>
    <w:p w14:paraId="0D4FBC91"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45605517">
          <v:rect id="_x0000_i1077" style="width:0;height:1.5pt" o:hralign="center" o:hrstd="t" o:hr="t" fillcolor="#a0a0a0" stroked="f"/>
        </w:pict>
      </w:r>
    </w:p>
    <w:p w14:paraId="4701BF2C"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2. Incentive compensation</w:t>
      </w:r>
    </w:p>
    <w:p w14:paraId="290FD32D"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sources:</w:t>
      </w:r>
    </w:p>
    <w:p w14:paraId="5F25372B" w14:textId="77777777" w:rsidR="00D3326B" w:rsidRPr="00D3326B" w:rsidRDefault="00D3326B" w:rsidP="00D3326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Interagency incentive compensation guidance</w:t>
      </w:r>
    </w:p>
    <w:p w14:paraId="31C253F3" w14:textId="77777777" w:rsidR="00D3326B" w:rsidRPr="00D3326B" w:rsidRDefault="00D3326B" w:rsidP="00D3326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Safety-and-soundness standards</w:t>
      </w:r>
    </w:p>
    <w:p w14:paraId="071B5744"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Banking organizations.</w:t>
      </w:r>
    </w:p>
    <w:p w14:paraId="3EEF71D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Boards or compensation committees oversee incentive compensation arrangements, risk adjustments, control-function input, deferral, clawback, and monitoring.</w:t>
      </w:r>
    </w:p>
    <w:p w14:paraId="02EF306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Compensation committee, risk committee, full board.</w:t>
      </w:r>
    </w:p>
    <w:p w14:paraId="2D20BD74"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Approve; oversee; monitor; adjust.</w:t>
      </w:r>
    </w:p>
    <w:p w14:paraId="5C10E36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Incentive compensation is often reviewed by compensation committees, risk committees, audit committees, HR, legal, and supervisors, creating overlapping governance.</w:t>
      </w:r>
    </w:p>
    <w:p w14:paraId="0EF0FC94"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Use one annual incentive-risk certification and board committee review process.</w:t>
      </w:r>
    </w:p>
    <w:p w14:paraId="4E166D8A"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1BAD3A9C">
          <v:rect id="_x0000_i1078" style="width:0;height:1.5pt" o:hralign="center" o:hrstd="t" o:hr="t" fillcolor="#a0a0a0" stroked="f"/>
        </w:pict>
      </w:r>
    </w:p>
    <w:p w14:paraId="4D7534AD"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3. Talent management and director training</w:t>
      </w:r>
    </w:p>
    <w:p w14:paraId="2472C01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sources:</w:t>
      </w:r>
    </w:p>
    <w:p w14:paraId="61410E9F" w14:textId="77777777" w:rsidR="00D3326B" w:rsidRPr="00D3326B" w:rsidRDefault="00D3326B" w:rsidP="00D3326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lastRenderedPageBreak/>
        <w:t>OCC heightened standards</w:t>
      </w:r>
    </w:p>
    <w:p w14:paraId="17DACDCB" w14:textId="77777777" w:rsidR="00D3326B" w:rsidRPr="00D3326B" w:rsidRDefault="00D3326B" w:rsidP="00D3326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Agency governance guidance</w:t>
      </w:r>
    </w:p>
    <w:p w14:paraId="4015AB07" w14:textId="77777777" w:rsidR="00D3326B" w:rsidRPr="00D3326B" w:rsidRDefault="00D3326B" w:rsidP="00D3326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BSA, cyber, fiduciary, consumer compliance, and risk-management expectations</w:t>
      </w:r>
    </w:p>
    <w:p w14:paraId="1A4F13E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Banking organizations, especially large institutions.</w:t>
      </w:r>
    </w:p>
    <w:p w14:paraId="66BBF92F"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Boards must ensure appropriate expertise, training, succession planning, and self-assessment, depending on the applicable framework.</w:t>
      </w:r>
    </w:p>
    <w:p w14:paraId="54535F9B"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 governance committee, nominating committee.</w:t>
      </w:r>
    </w:p>
    <w:p w14:paraId="1D87ADDA"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Train; assess; oversee; plan.</w:t>
      </w:r>
    </w:p>
    <w:p w14:paraId="7925574A"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Training requirements appear across many regimes, including BSA, cyber, fiduciary activities, CRA, fair lending, liquidity, and enterprise risk.</w:t>
      </w:r>
    </w:p>
    <w:p w14:paraId="28929C95"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Create one annual board training plan mapped to all regulatory domains.</w:t>
      </w:r>
    </w:p>
    <w:p w14:paraId="1B8DCCC8"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5FAE31AF">
          <v:rect id="_x0000_i1079" style="width:0;height:1.5pt" o:hralign="center" o:hrstd="t" o:hr="t" fillcolor="#a0a0a0" stroked="f"/>
        </w:pict>
      </w:r>
    </w:p>
    <w:p w14:paraId="29F5E787" w14:textId="77777777" w:rsidR="00D3326B" w:rsidRPr="00D3326B" w:rsidRDefault="00D3326B" w:rsidP="00D332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326B">
        <w:rPr>
          <w:rFonts w:ascii="Times New Roman" w:eastAsia="Times New Roman" w:hAnsi="Times New Roman" w:cs="Times New Roman"/>
          <w:b/>
          <w:bCs/>
          <w:kern w:val="0"/>
          <w:sz w:val="36"/>
          <w:szCs w:val="36"/>
          <w14:ligatures w14:val="none"/>
        </w:rPr>
        <w:t>N. Board Reporting, Minutes, Documentation, and Certifications</w:t>
      </w:r>
    </w:p>
    <w:p w14:paraId="59BFFBD6"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1. Board minutes</w:t>
      </w:r>
    </w:p>
    <w:p w14:paraId="352D19C2"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sources:</w:t>
      </w:r>
    </w:p>
    <w:p w14:paraId="1E41F93A" w14:textId="77777777" w:rsidR="00D3326B" w:rsidRPr="00D3326B" w:rsidRDefault="00D3326B" w:rsidP="00D3326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BSA/AML rules</w:t>
      </w:r>
    </w:p>
    <w:p w14:paraId="6402E010" w14:textId="77777777" w:rsidR="00D3326B" w:rsidRPr="00D3326B" w:rsidRDefault="00D3326B" w:rsidP="00D3326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Corporate-governance rules</w:t>
      </w:r>
    </w:p>
    <w:p w14:paraId="5D5AB647" w14:textId="77777777" w:rsidR="00D3326B" w:rsidRPr="00D3326B" w:rsidRDefault="00D3326B" w:rsidP="00D3326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Supervisory examination practice</w:t>
      </w:r>
    </w:p>
    <w:p w14:paraId="7C0FB448" w14:textId="77777777" w:rsidR="00D3326B" w:rsidRPr="00D3326B" w:rsidRDefault="00D3326B" w:rsidP="00D3326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Enforcement orders</w:t>
      </w:r>
    </w:p>
    <w:p w14:paraId="01841CFB"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Banking organizations.</w:t>
      </w:r>
    </w:p>
    <w:p w14:paraId="44586F2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Certain approvals, especially BSA/AML program approval, must be reflected in board minutes. Supervisory practice often expects minutes to evidence board review, challenge, and follow-up.</w:t>
      </w:r>
    </w:p>
    <w:p w14:paraId="0FADC859"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lastRenderedPageBreak/>
        <w:t>Board actor:</w:t>
      </w:r>
      <w:r w:rsidRPr="00D3326B">
        <w:rPr>
          <w:rFonts w:ascii="Times New Roman" w:eastAsia="Times New Roman" w:hAnsi="Times New Roman" w:cs="Times New Roman"/>
          <w:kern w:val="0"/>
          <w14:ligatures w14:val="none"/>
        </w:rPr>
        <w:br/>
        <w:t>Full board and committees.</w:t>
      </w:r>
    </w:p>
    <w:p w14:paraId="18EBC9B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Document; approve; reflect; record.</w:t>
      </w:r>
    </w:p>
    <w:p w14:paraId="28A61A9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Board minutes become a compliance artifact. Institutions may over-document to satisfy supervisory expectations, increasing burden and legal risk.</w:t>
      </w:r>
    </w:p>
    <w:p w14:paraId="0757EE8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Clarify when minutes must evidence formal approval versus when management records or committee materials are sufficient.</w:t>
      </w:r>
    </w:p>
    <w:p w14:paraId="53665D53"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38B4FD90">
          <v:rect id="_x0000_i1080" style="width:0;height:1.5pt" o:hralign="center" o:hrstd="t" o:hr="t" fillcolor="#a0a0a0" stroked="f"/>
        </w:pict>
      </w:r>
    </w:p>
    <w:p w14:paraId="19172068"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2. Board reporting packages</w:t>
      </w:r>
    </w:p>
    <w:p w14:paraId="2742F4C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sources:</w:t>
      </w:r>
    </w:p>
    <w:p w14:paraId="4EB606BB" w14:textId="77777777" w:rsidR="00D3326B" w:rsidRPr="00D3326B" w:rsidRDefault="00D3326B" w:rsidP="00D3326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Safety-and-soundness standards</w:t>
      </w:r>
    </w:p>
    <w:p w14:paraId="382D1EDB" w14:textId="77777777" w:rsidR="00D3326B" w:rsidRPr="00D3326B" w:rsidRDefault="00D3326B" w:rsidP="00D3326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EPS liquidity and capital rules</w:t>
      </w:r>
    </w:p>
    <w:p w14:paraId="3605991E" w14:textId="77777777" w:rsidR="00D3326B" w:rsidRPr="00D3326B" w:rsidRDefault="00D3326B" w:rsidP="00D3326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BSA/AML rules</w:t>
      </w:r>
    </w:p>
    <w:p w14:paraId="0FCFDA69" w14:textId="77777777" w:rsidR="00D3326B" w:rsidRPr="00D3326B" w:rsidRDefault="00D3326B" w:rsidP="00D3326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Part 363 audit requirements</w:t>
      </w:r>
    </w:p>
    <w:p w14:paraId="33FA9EB3" w14:textId="77777777" w:rsidR="00D3326B" w:rsidRPr="00D3326B" w:rsidRDefault="00D3326B" w:rsidP="00D3326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Consumer compliance expectations</w:t>
      </w:r>
    </w:p>
    <w:p w14:paraId="30A7077B" w14:textId="77777777" w:rsidR="00D3326B" w:rsidRPr="00D3326B" w:rsidRDefault="00D3326B" w:rsidP="00D3326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Cyber and third-party risk guidance</w:t>
      </w:r>
    </w:p>
    <w:p w14:paraId="12D6B3FB"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Banking organizations.</w:t>
      </w:r>
    </w:p>
    <w:p w14:paraId="51C363C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Boards receive recurring reports across risk, audit, compliance, finance, liquidity, BSA/AML, cyber, consumer compliance, third-party risk, and remediation.</w:t>
      </w:r>
    </w:p>
    <w:p w14:paraId="4FD86B1D"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 and committees.</w:t>
      </w:r>
    </w:p>
    <w:p w14:paraId="3C9227DA"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Receive; review; challenge; escalate.</w:t>
      </w:r>
    </w:p>
    <w:p w14:paraId="4E0FBAC0"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Reports often duplicate each other, arrive on different cadences, and contain operational detail that does not support board-level decision-making.</w:t>
      </w:r>
    </w:p>
    <w:p w14:paraId="4C7C2873"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lastRenderedPageBreak/>
        <w:t>Potential reform:</w:t>
      </w:r>
      <w:r w:rsidRPr="00D3326B">
        <w:rPr>
          <w:rFonts w:ascii="Times New Roman" w:eastAsia="Times New Roman" w:hAnsi="Times New Roman" w:cs="Times New Roman"/>
          <w:kern w:val="0"/>
          <w14:ligatures w14:val="none"/>
        </w:rPr>
        <w:br/>
        <w:t>Create a consolidated board-reporting architecture with common metrics, escalation thresholds, and committee routing.</w:t>
      </w:r>
    </w:p>
    <w:p w14:paraId="52288F4E"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127041E0">
          <v:rect id="_x0000_i1081" style="width:0;height:1.5pt" o:hralign="center" o:hrstd="t" o:hr="t" fillcolor="#a0a0a0" stroked="f"/>
        </w:pict>
      </w:r>
    </w:p>
    <w:p w14:paraId="790E80C5"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3. Board self-assessment</w:t>
      </w:r>
    </w:p>
    <w:p w14:paraId="3C6EF2D0"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Primary sources:</w:t>
      </w:r>
    </w:p>
    <w:p w14:paraId="0765E8F6" w14:textId="77777777" w:rsidR="00D3326B" w:rsidRPr="00D3326B" w:rsidRDefault="00D3326B" w:rsidP="00D3326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OCC heightened standards</w:t>
      </w:r>
    </w:p>
    <w:p w14:paraId="6BA6DF36" w14:textId="77777777" w:rsidR="00D3326B" w:rsidRPr="00D3326B" w:rsidRDefault="00D3326B" w:rsidP="00D3326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Governance guidance</w:t>
      </w:r>
    </w:p>
    <w:p w14:paraId="7BCDFD25" w14:textId="77777777" w:rsidR="00D3326B" w:rsidRPr="00D3326B" w:rsidRDefault="00D3326B" w:rsidP="00D3326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Public-company governance practice</w:t>
      </w:r>
    </w:p>
    <w:p w14:paraId="28756F40"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Applies to:</w:t>
      </w:r>
      <w:r w:rsidRPr="00D3326B">
        <w:rPr>
          <w:rFonts w:ascii="Times New Roman" w:eastAsia="Times New Roman" w:hAnsi="Times New Roman" w:cs="Times New Roman"/>
          <w:kern w:val="0"/>
          <w14:ligatures w14:val="none"/>
        </w:rPr>
        <w:br/>
        <w:t>Covered OCC-supervised institutions and other banking organizations through supervisory practice.</w:t>
      </w:r>
    </w:p>
    <w:p w14:paraId="3C39B900"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obligation:</w:t>
      </w:r>
      <w:r w:rsidRPr="00D3326B">
        <w:rPr>
          <w:rFonts w:ascii="Times New Roman" w:eastAsia="Times New Roman" w:hAnsi="Times New Roman" w:cs="Times New Roman"/>
          <w:kern w:val="0"/>
          <w14:ligatures w14:val="none"/>
        </w:rPr>
        <w:br/>
        <w:t>Boards conduct periodic self-assessments of effectiveness, governance, expertise, and oversight.</w:t>
      </w:r>
    </w:p>
    <w:p w14:paraId="0D7B0B2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Board actor:</w:t>
      </w:r>
      <w:r w:rsidRPr="00D3326B">
        <w:rPr>
          <w:rFonts w:ascii="Times New Roman" w:eastAsia="Times New Roman" w:hAnsi="Times New Roman" w:cs="Times New Roman"/>
          <w:kern w:val="0"/>
          <w14:ligatures w14:val="none"/>
        </w:rPr>
        <w:br/>
        <w:t>Full board, governance committee.</w:t>
      </w:r>
    </w:p>
    <w:p w14:paraId="4468461D"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Required verbs:</w:t>
      </w:r>
      <w:r w:rsidRPr="00D3326B">
        <w:rPr>
          <w:rFonts w:ascii="Times New Roman" w:eastAsia="Times New Roman" w:hAnsi="Times New Roman" w:cs="Times New Roman"/>
          <w:kern w:val="0"/>
          <w14:ligatures w14:val="none"/>
        </w:rPr>
        <w:br/>
        <w:t>Assess; document; remediate.</w:t>
      </w:r>
    </w:p>
    <w:p w14:paraId="6F56AA0A"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Policy-sludge concern:</w:t>
      </w:r>
      <w:r w:rsidRPr="00D3326B">
        <w:rPr>
          <w:rFonts w:ascii="Times New Roman" w:eastAsia="Times New Roman" w:hAnsi="Times New Roman" w:cs="Times New Roman"/>
          <w:kern w:val="0"/>
          <w14:ligatures w14:val="none"/>
        </w:rPr>
        <w:br/>
        <w:t>Self-assessment overlaps with director training, committee charters, supervisory feedback, board effectiveness reviews, and public-company governance practices.</w:t>
      </w:r>
    </w:p>
    <w:p w14:paraId="6AC623DD"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Use one annual board-effectiveness process mapped to regulatory expectations.</w:t>
      </w:r>
    </w:p>
    <w:p w14:paraId="4E5AB438"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779BE991">
          <v:rect id="_x0000_i1082" style="width:0;height:1.5pt" o:hralign="center" o:hrstd="t" o:hr="t" fillcolor="#a0a0a0" stroked="f"/>
        </w:pict>
      </w:r>
    </w:p>
    <w:p w14:paraId="08C0A795" w14:textId="77777777" w:rsidR="00D3326B" w:rsidRPr="00D3326B" w:rsidRDefault="00D3326B" w:rsidP="00D332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3326B">
        <w:rPr>
          <w:rFonts w:ascii="Times New Roman" w:eastAsia="Times New Roman" w:hAnsi="Times New Roman" w:cs="Times New Roman"/>
          <w:b/>
          <w:bCs/>
          <w:kern w:val="36"/>
          <w:sz w:val="48"/>
          <w:szCs w:val="48"/>
          <w14:ligatures w14:val="none"/>
        </w:rPr>
        <w:t>IV. Cross-Cutting Sludge Patterns</w:t>
      </w:r>
    </w:p>
    <w:p w14:paraId="61E9AD6F" w14:textId="77777777" w:rsidR="00D3326B" w:rsidRPr="00D3326B" w:rsidRDefault="00D3326B" w:rsidP="00D332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326B">
        <w:rPr>
          <w:rFonts w:ascii="Times New Roman" w:eastAsia="Times New Roman" w:hAnsi="Times New Roman" w:cs="Times New Roman"/>
          <w:b/>
          <w:bCs/>
          <w:kern w:val="0"/>
          <w:sz w:val="36"/>
          <w:szCs w:val="36"/>
          <w14:ligatures w14:val="none"/>
        </w:rPr>
        <w:t>1. The “Board-Approved Program” Pattern</w:t>
      </w:r>
    </w:p>
    <w:p w14:paraId="5CAF5EE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Many regimes require or expect the board to approve a program, policy, plan, framework, or risk appetite.</w:t>
      </w:r>
    </w:p>
    <w:p w14:paraId="4ED8AD1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Examples include:</w:t>
      </w:r>
    </w:p>
    <w:p w14:paraId="697632A2" w14:textId="77777777" w:rsidR="00D3326B" w:rsidRPr="00D3326B" w:rsidRDefault="00D3326B" w:rsidP="00D3326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lastRenderedPageBreak/>
        <w:t>BSA/AML compliance program;</w:t>
      </w:r>
    </w:p>
    <w:p w14:paraId="76816FC7" w14:textId="77777777" w:rsidR="00D3326B" w:rsidRPr="00D3326B" w:rsidRDefault="00D3326B" w:rsidP="00D3326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liquidity risk tolerance;</w:t>
      </w:r>
    </w:p>
    <w:p w14:paraId="5EAA19F4" w14:textId="77777777" w:rsidR="00D3326B" w:rsidRPr="00D3326B" w:rsidRDefault="00D3326B" w:rsidP="00D3326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liquidity risk-management policies;</w:t>
      </w:r>
    </w:p>
    <w:p w14:paraId="3EB29ECD" w14:textId="77777777" w:rsidR="00D3326B" w:rsidRPr="00D3326B" w:rsidRDefault="00D3326B" w:rsidP="00D3326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capital plan;</w:t>
      </w:r>
    </w:p>
    <w:p w14:paraId="6582ED4C" w14:textId="77777777" w:rsidR="00D3326B" w:rsidRPr="00D3326B" w:rsidRDefault="00D3326B" w:rsidP="00D3326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recovery plan;</w:t>
      </w:r>
    </w:p>
    <w:p w14:paraId="6AD659BE" w14:textId="77777777" w:rsidR="00D3326B" w:rsidRPr="00D3326B" w:rsidRDefault="00D3326B" w:rsidP="00D3326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resolution plan;</w:t>
      </w:r>
    </w:p>
    <w:p w14:paraId="3C3DC5C2" w14:textId="77777777" w:rsidR="00D3326B" w:rsidRPr="00D3326B" w:rsidRDefault="00D3326B" w:rsidP="00D3326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information-security program;</w:t>
      </w:r>
    </w:p>
    <w:p w14:paraId="28D8875C" w14:textId="77777777" w:rsidR="00D3326B" w:rsidRPr="00D3326B" w:rsidRDefault="00D3326B" w:rsidP="00D3326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third-party risk-management framework;</w:t>
      </w:r>
    </w:p>
    <w:p w14:paraId="15CD8CC5" w14:textId="77777777" w:rsidR="00D3326B" w:rsidRPr="00D3326B" w:rsidRDefault="00D3326B" w:rsidP="00D3326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compensation framework;</w:t>
      </w:r>
    </w:p>
    <w:p w14:paraId="099E2BD3" w14:textId="77777777" w:rsidR="00D3326B" w:rsidRPr="00D3326B" w:rsidRDefault="00D3326B" w:rsidP="00D3326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fiduciary activity policies;</w:t>
      </w:r>
    </w:p>
    <w:p w14:paraId="1403F15B" w14:textId="77777777" w:rsidR="00D3326B" w:rsidRPr="00D3326B" w:rsidRDefault="00D3326B" w:rsidP="00D3326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investment policies;</w:t>
      </w:r>
    </w:p>
    <w:p w14:paraId="764EF045" w14:textId="77777777" w:rsidR="00D3326B" w:rsidRPr="00D3326B" w:rsidRDefault="00D3326B" w:rsidP="00D3326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consumer compliance management system;</w:t>
      </w:r>
    </w:p>
    <w:p w14:paraId="4D647A75" w14:textId="77777777" w:rsidR="00D3326B" w:rsidRPr="00D3326B" w:rsidRDefault="00D3326B" w:rsidP="00D3326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CRA strategy.</w:t>
      </w:r>
    </w:p>
    <w:p w14:paraId="22BAA9DB"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The substantive governance action is often similar: management drafts a program, control functions review it, internal audit tests it, the board or committee approves it, and examiners later review evidence of approval.</w:t>
      </w:r>
    </w:p>
    <w:p w14:paraId="6E12F7B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Sludge concern:</w:t>
      </w:r>
      <w:r w:rsidRPr="00D3326B">
        <w:rPr>
          <w:rFonts w:ascii="Times New Roman" w:eastAsia="Times New Roman" w:hAnsi="Times New Roman" w:cs="Times New Roman"/>
          <w:kern w:val="0"/>
          <w14:ligatures w14:val="none"/>
        </w:rPr>
        <w:br/>
        <w:t>The board repeatedly performs the same approval ritual across many risk domains.</w:t>
      </w:r>
    </w:p>
    <w:p w14:paraId="68B7354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Possible reform:</w:t>
      </w:r>
      <w:r w:rsidRPr="00D3326B">
        <w:rPr>
          <w:rFonts w:ascii="Times New Roman" w:eastAsia="Times New Roman" w:hAnsi="Times New Roman" w:cs="Times New Roman"/>
          <w:kern w:val="0"/>
          <w14:ligatures w14:val="none"/>
        </w:rPr>
        <w:br/>
        <w:t>Create a single board-approved enterprise risk and compliance framework with domain-specific annexes. Require full-board approval only for the parent framework and reserve committee approval for domain-specific policies unless statute requires full-board approval.</w:t>
      </w:r>
    </w:p>
    <w:p w14:paraId="5783A501"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335C4C8C">
          <v:rect id="_x0000_i1083" style="width:0;height:1.5pt" o:hralign="center" o:hrstd="t" o:hr="t" fillcolor="#a0a0a0" stroked="f"/>
        </w:pict>
      </w:r>
    </w:p>
    <w:p w14:paraId="705E0AC0" w14:textId="77777777" w:rsidR="00D3326B" w:rsidRPr="00D3326B" w:rsidRDefault="00D3326B" w:rsidP="00D332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326B">
        <w:rPr>
          <w:rFonts w:ascii="Times New Roman" w:eastAsia="Times New Roman" w:hAnsi="Times New Roman" w:cs="Times New Roman"/>
          <w:b/>
          <w:bCs/>
          <w:kern w:val="0"/>
          <w:sz w:val="36"/>
          <w:szCs w:val="36"/>
          <w14:ligatures w14:val="none"/>
        </w:rPr>
        <w:t>2. The “Receive Reports” Pattern</w:t>
      </w:r>
    </w:p>
    <w:p w14:paraId="62CF5D7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Boards and committees receive recurring reports on:</w:t>
      </w:r>
    </w:p>
    <w:p w14:paraId="48415F7E" w14:textId="77777777" w:rsidR="00D3326B" w:rsidRPr="00D3326B" w:rsidRDefault="00D3326B" w:rsidP="00D3326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BSA/AML;</w:t>
      </w:r>
    </w:p>
    <w:p w14:paraId="0EF946A2" w14:textId="77777777" w:rsidR="00D3326B" w:rsidRPr="00D3326B" w:rsidRDefault="00D3326B" w:rsidP="00D3326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SARs;</w:t>
      </w:r>
    </w:p>
    <w:p w14:paraId="0C1770DF" w14:textId="77777777" w:rsidR="00D3326B" w:rsidRPr="00D3326B" w:rsidRDefault="00D3326B" w:rsidP="00D3326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sanctions;</w:t>
      </w:r>
    </w:p>
    <w:p w14:paraId="7A51E171" w14:textId="77777777" w:rsidR="00D3326B" w:rsidRPr="00D3326B" w:rsidRDefault="00D3326B" w:rsidP="00D3326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fair lending;</w:t>
      </w:r>
    </w:p>
    <w:p w14:paraId="3242A25D" w14:textId="77777777" w:rsidR="00D3326B" w:rsidRPr="00D3326B" w:rsidRDefault="00D3326B" w:rsidP="00D3326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CRA;</w:t>
      </w:r>
    </w:p>
    <w:p w14:paraId="415B9C6E" w14:textId="77777777" w:rsidR="00D3326B" w:rsidRPr="00D3326B" w:rsidRDefault="00D3326B" w:rsidP="00D3326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UDAAP;</w:t>
      </w:r>
    </w:p>
    <w:p w14:paraId="728D0F36" w14:textId="77777777" w:rsidR="00D3326B" w:rsidRPr="00D3326B" w:rsidRDefault="00D3326B" w:rsidP="00D3326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consumer complaints;</w:t>
      </w:r>
    </w:p>
    <w:p w14:paraId="288D6FFF" w14:textId="77777777" w:rsidR="00D3326B" w:rsidRPr="00D3326B" w:rsidRDefault="00D3326B" w:rsidP="00D3326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liquidity risk;</w:t>
      </w:r>
    </w:p>
    <w:p w14:paraId="550E5A55" w14:textId="77777777" w:rsidR="00D3326B" w:rsidRPr="00D3326B" w:rsidRDefault="00D3326B" w:rsidP="00D3326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capital adequacy;</w:t>
      </w:r>
    </w:p>
    <w:p w14:paraId="22AC60C6" w14:textId="77777777" w:rsidR="00D3326B" w:rsidRPr="00D3326B" w:rsidRDefault="00D3326B" w:rsidP="00D3326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stress testing;</w:t>
      </w:r>
    </w:p>
    <w:p w14:paraId="4A094300" w14:textId="77777777" w:rsidR="00D3326B" w:rsidRPr="00D3326B" w:rsidRDefault="00D3326B" w:rsidP="00D3326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cyber incidents;</w:t>
      </w:r>
    </w:p>
    <w:p w14:paraId="605C443E" w14:textId="77777777" w:rsidR="00D3326B" w:rsidRPr="00D3326B" w:rsidRDefault="00D3326B" w:rsidP="00D3326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information security;</w:t>
      </w:r>
    </w:p>
    <w:p w14:paraId="4EB2F848" w14:textId="77777777" w:rsidR="00D3326B" w:rsidRPr="00D3326B" w:rsidRDefault="00D3326B" w:rsidP="00D3326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third-party risk;</w:t>
      </w:r>
    </w:p>
    <w:p w14:paraId="42EBC25D" w14:textId="77777777" w:rsidR="00D3326B" w:rsidRPr="00D3326B" w:rsidRDefault="00D3326B" w:rsidP="00D3326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internal audit;</w:t>
      </w:r>
    </w:p>
    <w:p w14:paraId="698C4C50" w14:textId="77777777" w:rsidR="00D3326B" w:rsidRPr="00D3326B" w:rsidRDefault="00D3326B" w:rsidP="00D3326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lastRenderedPageBreak/>
        <w:t>compliance testing;</w:t>
      </w:r>
    </w:p>
    <w:p w14:paraId="465893CC" w14:textId="77777777" w:rsidR="00D3326B" w:rsidRPr="00D3326B" w:rsidRDefault="00D3326B" w:rsidP="00D3326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model risk;</w:t>
      </w:r>
    </w:p>
    <w:p w14:paraId="4F2AC0D1" w14:textId="77777777" w:rsidR="00D3326B" w:rsidRPr="00D3326B" w:rsidRDefault="00D3326B" w:rsidP="00D3326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operational resilience;</w:t>
      </w:r>
    </w:p>
    <w:p w14:paraId="3633E53F" w14:textId="77777777" w:rsidR="00D3326B" w:rsidRPr="00D3326B" w:rsidRDefault="00D3326B" w:rsidP="00D3326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remediation.</w:t>
      </w:r>
    </w:p>
    <w:p w14:paraId="7FEE7B1F"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Sludge concern:</w:t>
      </w:r>
      <w:r w:rsidRPr="00D3326B">
        <w:rPr>
          <w:rFonts w:ascii="Times New Roman" w:eastAsia="Times New Roman" w:hAnsi="Times New Roman" w:cs="Times New Roman"/>
          <w:kern w:val="0"/>
          <w14:ligatures w14:val="none"/>
        </w:rPr>
        <w:br/>
        <w:t>Recurring reporting can become a substitute for meaningful escalation. Boards may receive too much routine information and too little synthesized judgment.</w:t>
      </w:r>
    </w:p>
    <w:p w14:paraId="7AF6614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Possible reform:</w:t>
      </w:r>
      <w:r w:rsidRPr="00D3326B">
        <w:rPr>
          <w:rFonts w:ascii="Times New Roman" w:eastAsia="Times New Roman" w:hAnsi="Times New Roman" w:cs="Times New Roman"/>
          <w:kern w:val="0"/>
          <w14:ligatures w14:val="none"/>
        </w:rPr>
        <w:br/>
        <w:t>Distinguish among four reporting tiers:</w:t>
      </w:r>
    </w:p>
    <w:p w14:paraId="58FEB4C9" w14:textId="77777777" w:rsidR="00D3326B" w:rsidRPr="00D3326B" w:rsidRDefault="00D3326B" w:rsidP="00D3326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information-only dashboards;</w:t>
      </w:r>
    </w:p>
    <w:p w14:paraId="3E6A74B0" w14:textId="77777777" w:rsidR="00D3326B" w:rsidRPr="00D3326B" w:rsidRDefault="00D3326B" w:rsidP="00D3326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exception reporting;</w:t>
      </w:r>
    </w:p>
    <w:p w14:paraId="150B4C79" w14:textId="77777777" w:rsidR="00D3326B" w:rsidRPr="00D3326B" w:rsidRDefault="00D3326B" w:rsidP="00D3326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decision-required materials;</w:t>
      </w:r>
    </w:p>
    <w:p w14:paraId="6D816AD6" w14:textId="77777777" w:rsidR="00D3326B" w:rsidRPr="00D3326B" w:rsidRDefault="00D3326B" w:rsidP="00D3326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escalation-required matters.</w:t>
      </w:r>
    </w:p>
    <w:p w14:paraId="18EC8C61"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76F16DD9">
          <v:rect id="_x0000_i1084" style="width:0;height:1.5pt" o:hralign="center" o:hrstd="t" o:hr="t" fillcolor="#a0a0a0" stroked="f"/>
        </w:pict>
      </w:r>
    </w:p>
    <w:p w14:paraId="45D229A6" w14:textId="77777777" w:rsidR="00D3326B" w:rsidRPr="00D3326B" w:rsidRDefault="00D3326B" w:rsidP="00D332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326B">
        <w:rPr>
          <w:rFonts w:ascii="Times New Roman" w:eastAsia="Times New Roman" w:hAnsi="Times New Roman" w:cs="Times New Roman"/>
          <w:b/>
          <w:bCs/>
          <w:kern w:val="0"/>
          <w:sz w:val="36"/>
          <w:szCs w:val="36"/>
          <w14:ligatures w14:val="none"/>
        </w:rPr>
        <w:t>3. The “Board Must Ensure” Pattern</w:t>
      </w:r>
    </w:p>
    <w:p w14:paraId="2A9498ED"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Many obligations say the board must “ensure” that management implements controls or complies with law.</w:t>
      </w:r>
    </w:p>
    <w:p w14:paraId="21BB8AD9"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Sludge concern:</w:t>
      </w:r>
      <w:r w:rsidRPr="00D3326B">
        <w:rPr>
          <w:rFonts w:ascii="Times New Roman" w:eastAsia="Times New Roman" w:hAnsi="Times New Roman" w:cs="Times New Roman"/>
          <w:kern w:val="0"/>
          <w14:ligatures w14:val="none"/>
        </w:rPr>
        <w:br/>
        <w:t>“Ensure” is ambiguous. It can mean oversight, reasonable inquiry, approval of a framework, verification of implementation, or responsibility for operational execution.</w:t>
      </w:r>
    </w:p>
    <w:p w14:paraId="32CA7D00"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Possible reform:</w:t>
      </w:r>
      <w:r w:rsidRPr="00D3326B">
        <w:rPr>
          <w:rFonts w:ascii="Times New Roman" w:eastAsia="Times New Roman" w:hAnsi="Times New Roman" w:cs="Times New Roman"/>
          <w:kern w:val="0"/>
          <w14:ligatures w14:val="none"/>
        </w:rPr>
        <w:br/>
        <w:t>Agencies should define “ensure” as a board oversight obligation, not a management execution obligation, unless a statute expressly requires direct board action.</w:t>
      </w:r>
    </w:p>
    <w:p w14:paraId="1D2A3E7F"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2710199E">
          <v:rect id="_x0000_i1085" style="width:0;height:1.5pt" o:hralign="center" o:hrstd="t" o:hr="t" fillcolor="#a0a0a0" stroked="f"/>
        </w:pict>
      </w:r>
    </w:p>
    <w:p w14:paraId="78AC4B46" w14:textId="77777777" w:rsidR="00D3326B" w:rsidRPr="00D3326B" w:rsidRDefault="00D3326B" w:rsidP="00D332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326B">
        <w:rPr>
          <w:rFonts w:ascii="Times New Roman" w:eastAsia="Times New Roman" w:hAnsi="Times New Roman" w:cs="Times New Roman"/>
          <w:b/>
          <w:bCs/>
          <w:kern w:val="0"/>
          <w:sz w:val="36"/>
          <w:szCs w:val="36"/>
          <w14:ligatures w14:val="none"/>
        </w:rPr>
        <w:t>4. The Committee-Overlap Pattern</w:t>
      </w:r>
    </w:p>
    <w:p w14:paraId="04D0C50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Different committees often review the same issue from slightly different angles.</w:t>
      </w:r>
    </w:p>
    <w:p w14:paraId="5823561D"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For example, cybersecurity may be reviewed by:</w:t>
      </w:r>
    </w:p>
    <w:p w14:paraId="5EAB75B1" w14:textId="77777777" w:rsidR="00D3326B" w:rsidRPr="00D3326B" w:rsidRDefault="00D3326B" w:rsidP="00D3326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the technology committee;</w:t>
      </w:r>
    </w:p>
    <w:p w14:paraId="72CEFB5D" w14:textId="77777777" w:rsidR="00D3326B" w:rsidRPr="00D3326B" w:rsidRDefault="00D3326B" w:rsidP="00D3326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the risk committee;</w:t>
      </w:r>
    </w:p>
    <w:p w14:paraId="098E067D" w14:textId="77777777" w:rsidR="00D3326B" w:rsidRPr="00D3326B" w:rsidRDefault="00D3326B" w:rsidP="00D3326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the audit committee;</w:t>
      </w:r>
    </w:p>
    <w:p w14:paraId="289BABE0" w14:textId="77777777" w:rsidR="00D3326B" w:rsidRPr="00D3326B" w:rsidRDefault="00D3326B" w:rsidP="00D3326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the compliance committee;</w:t>
      </w:r>
    </w:p>
    <w:p w14:paraId="771D6845" w14:textId="77777777" w:rsidR="00D3326B" w:rsidRPr="00D3326B" w:rsidRDefault="00D3326B" w:rsidP="00D3326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the full board.</w:t>
      </w:r>
    </w:p>
    <w:p w14:paraId="3E360C3D"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lastRenderedPageBreak/>
        <w:t>Third-party risk may be reviewed by:</w:t>
      </w:r>
    </w:p>
    <w:p w14:paraId="3A804CAA" w14:textId="77777777" w:rsidR="00D3326B" w:rsidRPr="00D3326B" w:rsidRDefault="00D3326B" w:rsidP="00D3326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the risk committee;</w:t>
      </w:r>
    </w:p>
    <w:p w14:paraId="6709DAB1" w14:textId="77777777" w:rsidR="00D3326B" w:rsidRPr="00D3326B" w:rsidRDefault="00D3326B" w:rsidP="00D3326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the audit committee;</w:t>
      </w:r>
    </w:p>
    <w:p w14:paraId="00179657" w14:textId="77777777" w:rsidR="00D3326B" w:rsidRPr="00D3326B" w:rsidRDefault="00D3326B" w:rsidP="00D3326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the technology committee;</w:t>
      </w:r>
    </w:p>
    <w:p w14:paraId="23EF3982" w14:textId="77777777" w:rsidR="00D3326B" w:rsidRPr="00D3326B" w:rsidRDefault="00D3326B" w:rsidP="00D3326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the compliance committee;</w:t>
      </w:r>
    </w:p>
    <w:p w14:paraId="2B7E0905" w14:textId="77777777" w:rsidR="00D3326B" w:rsidRPr="00D3326B" w:rsidRDefault="00D3326B" w:rsidP="00D3326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business-line committees.</w:t>
      </w:r>
    </w:p>
    <w:p w14:paraId="1D2CCF4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Sludge concern:</w:t>
      </w:r>
      <w:r w:rsidRPr="00D3326B">
        <w:rPr>
          <w:rFonts w:ascii="Times New Roman" w:eastAsia="Times New Roman" w:hAnsi="Times New Roman" w:cs="Times New Roman"/>
          <w:kern w:val="0"/>
          <w14:ligatures w14:val="none"/>
        </w:rPr>
        <w:br/>
        <w:t>Multiple committee reviews can create burden without clarifying accountability.</w:t>
      </w:r>
    </w:p>
    <w:p w14:paraId="5B195F3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Possible reform:</w:t>
      </w:r>
      <w:r w:rsidRPr="00D3326B">
        <w:rPr>
          <w:rFonts w:ascii="Times New Roman" w:eastAsia="Times New Roman" w:hAnsi="Times New Roman" w:cs="Times New Roman"/>
          <w:kern w:val="0"/>
          <w14:ligatures w14:val="none"/>
        </w:rPr>
        <w:br/>
        <w:t>Create committee-equivalence rules. If a properly chartered committee reviews a matter, full-board review should be required only for material escalation, risk appetite changes, regulatory orders, or legally required approvals.</w:t>
      </w:r>
    </w:p>
    <w:p w14:paraId="77669B31"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2FB37893">
          <v:rect id="_x0000_i1086" style="width:0;height:1.5pt" o:hralign="center" o:hrstd="t" o:hr="t" fillcolor="#a0a0a0" stroked="f"/>
        </w:pict>
      </w:r>
    </w:p>
    <w:p w14:paraId="365C9B51" w14:textId="77777777" w:rsidR="00D3326B" w:rsidRPr="00D3326B" w:rsidRDefault="00D3326B" w:rsidP="00D332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326B">
        <w:rPr>
          <w:rFonts w:ascii="Times New Roman" w:eastAsia="Times New Roman" w:hAnsi="Times New Roman" w:cs="Times New Roman"/>
          <w:b/>
          <w:bCs/>
          <w:kern w:val="0"/>
          <w:sz w:val="36"/>
          <w:szCs w:val="36"/>
          <w14:ligatures w14:val="none"/>
        </w:rPr>
        <w:t>5. The Stress, Contingency, Recovery, and Resolution Pattern</w:t>
      </w:r>
    </w:p>
    <w:p w14:paraId="19BF374A"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Banks maintain many plans for adverse conditions: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599"/>
        <w:gridCol w:w="5745"/>
      </w:tblGrid>
      <w:tr w:rsidR="00D3326B" w:rsidRPr="00D3326B" w14:paraId="3B132027"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B8C296" w14:textId="77777777" w:rsidR="00D3326B" w:rsidRPr="00D3326B" w:rsidRDefault="00D3326B" w:rsidP="00D3326B">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3326B">
              <w:rPr>
                <w:rFonts w:ascii="Times New Roman" w:eastAsia="Times New Roman" w:hAnsi="Times New Roman" w:cs="Times New Roman"/>
                <w:b/>
                <w:bCs/>
                <w:kern w:val="0"/>
                <w14:ligatures w14:val="none"/>
              </w:rPr>
              <w:t>Plan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0DD0E0" w14:textId="77777777" w:rsidR="00D3326B" w:rsidRPr="00D3326B" w:rsidRDefault="00D3326B" w:rsidP="00D3326B">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3326B">
              <w:rPr>
                <w:rFonts w:ascii="Times New Roman" w:eastAsia="Times New Roman" w:hAnsi="Times New Roman" w:cs="Times New Roman"/>
                <w:b/>
                <w:bCs/>
                <w:kern w:val="0"/>
                <w14:ligatures w14:val="none"/>
              </w:rPr>
              <w:t>Core question</w:t>
            </w:r>
          </w:p>
        </w:tc>
      </w:tr>
      <w:tr w:rsidR="00D3326B" w:rsidRPr="00D3326B" w14:paraId="4E1A8FA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C55EE4"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Capital stress test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D6522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Can the firm absorb losses?</w:t>
            </w:r>
          </w:p>
        </w:tc>
      </w:tr>
      <w:tr w:rsidR="00D3326B" w:rsidRPr="00D3326B" w14:paraId="3B534CD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054883"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Liquidity stress test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BBC3CD"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Can the firm meet cash outflows?</w:t>
            </w:r>
          </w:p>
        </w:tc>
      </w:tr>
      <w:tr w:rsidR="00D3326B" w:rsidRPr="00D3326B" w14:paraId="50BDBD1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B7A4E2"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Contingency funding plan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3D1E3B"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What funding actions are triggered?</w:t>
            </w:r>
          </w:p>
        </w:tc>
      </w:tr>
      <w:tr w:rsidR="00D3326B" w:rsidRPr="00D3326B" w14:paraId="004C165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0CC8CB"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Recovery plan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7FE39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How does the firm restore viability?</w:t>
            </w:r>
          </w:p>
        </w:tc>
      </w:tr>
      <w:tr w:rsidR="00D3326B" w:rsidRPr="00D3326B" w14:paraId="32D3345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02D245"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Resolution plan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49446F"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How can the firm fail without systemic damage?</w:t>
            </w:r>
          </w:p>
        </w:tc>
      </w:tr>
      <w:tr w:rsidR="00D3326B" w:rsidRPr="00D3326B" w14:paraId="7D08999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8C12A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Business continuity plan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B5303D"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Can operations continue?</w:t>
            </w:r>
          </w:p>
        </w:tc>
      </w:tr>
      <w:tr w:rsidR="00D3326B" w:rsidRPr="00D3326B" w14:paraId="750F015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F9BC7B"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Cyber incident response plan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C08731"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How does the firm contain and recover?</w:t>
            </w:r>
          </w:p>
        </w:tc>
      </w:tr>
    </w:tbl>
    <w:p w14:paraId="5BB4778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Sludge concern:</w:t>
      </w:r>
      <w:r w:rsidRPr="00D3326B">
        <w:rPr>
          <w:rFonts w:ascii="Times New Roman" w:eastAsia="Times New Roman" w:hAnsi="Times New Roman" w:cs="Times New Roman"/>
          <w:kern w:val="0"/>
          <w14:ligatures w14:val="none"/>
        </w:rPr>
        <w:br/>
        <w:t>Each plan has separate governance, assumptions, triggers, escalation, reporting, testing, and remediation requirements.</w:t>
      </w:r>
    </w:p>
    <w:p w14:paraId="355B199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lastRenderedPageBreak/>
        <w:t>Possible reform:</w:t>
      </w:r>
      <w:r w:rsidRPr="00D3326B">
        <w:rPr>
          <w:rFonts w:ascii="Times New Roman" w:eastAsia="Times New Roman" w:hAnsi="Times New Roman" w:cs="Times New Roman"/>
          <w:kern w:val="0"/>
          <w14:ligatures w14:val="none"/>
        </w:rPr>
        <w:br/>
        <w:t>Create a single resilience-planning framework with modules for capital, liquidity, operational continuity, cyber, recovery, and resolution.</w:t>
      </w:r>
    </w:p>
    <w:p w14:paraId="02F186A2"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13255F65">
          <v:rect id="_x0000_i1087" style="width:0;height:1.5pt" o:hralign="center" o:hrstd="t" o:hr="t" fillcolor="#a0a0a0" stroked="f"/>
        </w:pict>
      </w:r>
    </w:p>
    <w:p w14:paraId="06C6A0FD" w14:textId="77777777" w:rsidR="00D3326B" w:rsidRPr="00D3326B" w:rsidRDefault="00D3326B" w:rsidP="00D332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326B">
        <w:rPr>
          <w:rFonts w:ascii="Times New Roman" w:eastAsia="Times New Roman" w:hAnsi="Times New Roman" w:cs="Times New Roman"/>
          <w:b/>
          <w:bCs/>
          <w:kern w:val="0"/>
          <w:sz w:val="36"/>
          <w:szCs w:val="36"/>
          <w14:ligatures w14:val="none"/>
        </w:rPr>
        <w:t>6. The Independence-Standard Pattern</w:t>
      </w:r>
    </w:p>
    <w:p w14:paraId="0D1ABCD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Independence appears in many regimes:</w:t>
      </w:r>
    </w:p>
    <w:p w14:paraId="55CC4889" w14:textId="77777777" w:rsidR="00D3326B" w:rsidRPr="00D3326B" w:rsidRDefault="00D3326B" w:rsidP="00D3326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audit committee independence;</w:t>
      </w:r>
    </w:p>
    <w:p w14:paraId="19078DAF" w14:textId="77777777" w:rsidR="00D3326B" w:rsidRPr="00D3326B" w:rsidRDefault="00D3326B" w:rsidP="00D3326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risk committee independence;</w:t>
      </w:r>
    </w:p>
    <w:p w14:paraId="51D34452" w14:textId="77777777" w:rsidR="00D3326B" w:rsidRPr="00D3326B" w:rsidRDefault="00D3326B" w:rsidP="00D3326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OCC heightened-standards independent directors;</w:t>
      </w:r>
    </w:p>
    <w:p w14:paraId="30F0DE26" w14:textId="77777777" w:rsidR="00D3326B" w:rsidRPr="00D3326B" w:rsidRDefault="00D3326B" w:rsidP="00D3326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fiduciary audit committee restrictions;</w:t>
      </w:r>
    </w:p>
    <w:p w14:paraId="238721E9" w14:textId="77777777" w:rsidR="00D3326B" w:rsidRPr="00D3326B" w:rsidRDefault="00D3326B" w:rsidP="00D3326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Reg O interested-director abstention;</w:t>
      </w:r>
    </w:p>
    <w:p w14:paraId="122CB3C6" w14:textId="77777777" w:rsidR="00D3326B" w:rsidRPr="00D3326B" w:rsidRDefault="00D3326B" w:rsidP="00D3326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public-company exchange independence;</w:t>
      </w:r>
    </w:p>
    <w:p w14:paraId="57F97B62" w14:textId="77777777" w:rsidR="00D3326B" w:rsidRPr="00D3326B" w:rsidRDefault="00D3326B" w:rsidP="00D3326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SOX audit independence;</w:t>
      </w:r>
    </w:p>
    <w:p w14:paraId="18FF513F" w14:textId="77777777" w:rsidR="00D3326B" w:rsidRPr="00D3326B" w:rsidRDefault="00D3326B" w:rsidP="00D3326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management interlocks.</w:t>
      </w:r>
    </w:p>
    <w:p w14:paraId="15DC8DEB"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Sludge concern:</w:t>
      </w:r>
      <w:r w:rsidRPr="00D3326B">
        <w:rPr>
          <w:rFonts w:ascii="Times New Roman" w:eastAsia="Times New Roman" w:hAnsi="Times New Roman" w:cs="Times New Roman"/>
          <w:kern w:val="0"/>
          <w14:ligatures w14:val="none"/>
        </w:rPr>
        <w:br/>
        <w:t>Institutions must maintain multiple overlapping independence determinations.</w:t>
      </w:r>
    </w:p>
    <w:p w14:paraId="493D346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Possible reform:</w:t>
      </w:r>
      <w:r w:rsidRPr="00D3326B">
        <w:rPr>
          <w:rFonts w:ascii="Times New Roman" w:eastAsia="Times New Roman" w:hAnsi="Times New Roman" w:cs="Times New Roman"/>
          <w:kern w:val="0"/>
          <w14:ligatures w14:val="none"/>
        </w:rPr>
        <w:br/>
        <w:t>Create a banking-agency independence crosswalk and allow one director questionnaire to satisfy multiple regimes.</w:t>
      </w:r>
    </w:p>
    <w:p w14:paraId="4C1050EC"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1BC95DD1">
          <v:rect id="_x0000_i1088" style="width:0;height:1.5pt" o:hralign="center" o:hrstd="t" o:hr="t" fillcolor="#a0a0a0" stroked="f"/>
        </w:pict>
      </w:r>
    </w:p>
    <w:p w14:paraId="28FD5117" w14:textId="77777777" w:rsidR="00D3326B" w:rsidRPr="00D3326B" w:rsidRDefault="00D3326B" w:rsidP="00D332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3326B">
        <w:rPr>
          <w:rFonts w:ascii="Times New Roman" w:eastAsia="Times New Roman" w:hAnsi="Times New Roman" w:cs="Times New Roman"/>
          <w:b/>
          <w:bCs/>
          <w:kern w:val="36"/>
          <w:sz w:val="48"/>
          <w:szCs w:val="48"/>
          <w14:ligatures w14:val="none"/>
        </w:rPr>
        <w:t>V. Highest-Value Sludge Candidates</w:t>
      </w:r>
    </w:p>
    <w:p w14:paraId="191CB3A7" w14:textId="77777777" w:rsidR="00D3326B" w:rsidRPr="00D3326B" w:rsidRDefault="00D3326B" w:rsidP="00D332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326B">
        <w:rPr>
          <w:rFonts w:ascii="Times New Roman" w:eastAsia="Times New Roman" w:hAnsi="Times New Roman" w:cs="Times New Roman"/>
          <w:b/>
          <w:bCs/>
          <w:kern w:val="0"/>
          <w:sz w:val="36"/>
          <w:szCs w:val="36"/>
          <w14:ligatures w14:val="none"/>
        </w:rPr>
        <w:t>Tier 1: Strongest Candidates for Reform</w:t>
      </w:r>
    </w:p>
    <w:p w14:paraId="7D24CE67"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1. BSA/AML board approval and reporting</w:t>
      </w:r>
    </w:p>
    <w:p w14:paraId="080F433A"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BSA/AML is one of the most explicit board-approval regimes. The board must approve the written BSA/AML compliance program, and approval must be documented in minutes.</w:t>
      </w:r>
    </w:p>
    <w:p w14:paraId="4C92BAA5"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Why it matters:</w:t>
      </w:r>
      <w:r w:rsidRPr="00D3326B">
        <w:rPr>
          <w:rFonts w:ascii="Times New Roman" w:eastAsia="Times New Roman" w:hAnsi="Times New Roman" w:cs="Times New Roman"/>
          <w:kern w:val="0"/>
          <w14:ligatures w14:val="none"/>
        </w:rPr>
        <w:br/>
        <w:t>The formal requirement is clear and defensible, but it has produced a large amount of recurring board paperwork, reporting, and examiner focus on documentation.</w:t>
      </w:r>
    </w:p>
    <w:p w14:paraId="340F3D1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 xml:space="preserve">Preserve board accountability but standardize annual approval materials, reduce rote reporting, </w:t>
      </w:r>
      <w:r w:rsidRPr="00D3326B">
        <w:rPr>
          <w:rFonts w:ascii="Times New Roman" w:eastAsia="Times New Roman" w:hAnsi="Times New Roman" w:cs="Times New Roman"/>
          <w:kern w:val="0"/>
          <w14:ligatures w14:val="none"/>
        </w:rPr>
        <w:lastRenderedPageBreak/>
        <w:t>and focus board reporting on material risks, control failures, independent testing, and remediation.</w:t>
      </w:r>
    </w:p>
    <w:p w14:paraId="47A7331C"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1720D047">
          <v:rect id="_x0000_i1089" style="width:0;height:1.5pt" o:hralign="center" o:hrstd="t" o:hr="t" fillcolor="#a0a0a0" stroked="f"/>
        </w:pict>
      </w:r>
    </w:p>
    <w:p w14:paraId="746082E6"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2. Liquidity, capital, recovery, and resolution planning</w:t>
      </w:r>
    </w:p>
    <w:p w14:paraId="358AA791"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These regimes impose multiple overlapping board obligations around stress, contingency, escalation, and resilience.</w:t>
      </w:r>
    </w:p>
    <w:p w14:paraId="234B42D0"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Why it matters:</w:t>
      </w:r>
      <w:r w:rsidRPr="00D3326B">
        <w:rPr>
          <w:rFonts w:ascii="Times New Roman" w:eastAsia="Times New Roman" w:hAnsi="Times New Roman" w:cs="Times New Roman"/>
          <w:kern w:val="0"/>
          <w14:ligatures w14:val="none"/>
        </w:rPr>
        <w:br/>
        <w:t>Boards are asked to review different stress and contingency frameworks that often share similar assumptions, governance, triggers, and remediation processes.</w:t>
      </w:r>
    </w:p>
    <w:p w14:paraId="194EF6F0"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Develop a unified board-level resilience framework with modules for capital, liquidity, recovery, resolution, cyber, and operational continuity.</w:t>
      </w:r>
    </w:p>
    <w:p w14:paraId="056412B5"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60E2F3DB">
          <v:rect id="_x0000_i1090" style="width:0;height:1.5pt" o:hralign="center" o:hrstd="t" o:hr="t" fillcolor="#a0a0a0" stroked="f"/>
        </w:pict>
      </w:r>
    </w:p>
    <w:p w14:paraId="6B2E6219"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3. Audit, internal controls, cyber, and operational resilience</w:t>
      </w:r>
    </w:p>
    <w:p w14:paraId="6D7649B2"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Audit committees and risk committees often receive overlapping reports on internal controls, information security, cyber risk, vendor risk, business continuity, and operational resilience.</w:t>
      </w:r>
    </w:p>
    <w:p w14:paraId="6DF6322A"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Why it matters:</w:t>
      </w:r>
      <w:r w:rsidRPr="00D3326B">
        <w:rPr>
          <w:rFonts w:ascii="Times New Roman" w:eastAsia="Times New Roman" w:hAnsi="Times New Roman" w:cs="Times New Roman"/>
          <w:kern w:val="0"/>
          <w14:ligatures w14:val="none"/>
        </w:rPr>
        <w:br/>
        <w:t>The same underlying control weaknesses may appear in audit reports, cyber dashboards, vendor-risk reports, operational-risk reports, and remediation trackers.</w:t>
      </w:r>
    </w:p>
    <w:p w14:paraId="18EF62E1"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Create a single independent-controls and operational-resilience reporting framework.</w:t>
      </w:r>
    </w:p>
    <w:p w14:paraId="32B121B0"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7DB1FE02">
          <v:rect id="_x0000_i1091" style="width:0;height:1.5pt" o:hralign="center" o:hrstd="t" o:hr="t" fillcolor="#a0a0a0" stroked="f"/>
        </w:pict>
      </w:r>
    </w:p>
    <w:p w14:paraId="50662F82"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4. Enterprise risk appetite and risk governance</w:t>
      </w:r>
    </w:p>
    <w:p w14:paraId="7B396E82"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Risk appetite appears in OCC heightened standards, liquidity rules, capital planning, third-party risk guidance, compensation oversight, and product governance.</w:t>
      </w:r>
    </w:p>
    <w:p w14:paraId="65515AB9"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Why it matters:</w:t>
      </w:r>
      <w:r w:rsidRPr="00D3326B">
        <w:rPr>
          <w:rFonts w:ascii="Times New Roman" w:eastAsia="Times New Roman" w:hAnsi="Times New Roman" w:cs="Times New Roman"/>
          <w:kern w:val="0"/>
          <w14:ligatures w14:val="none"/>
        </w:rPr>
        <w:br/>
        <w:t>Multiple risk-domain frameworks may each require board approval or review of risk appetite-like statements.</w:t>
      </w:r>
    </w:p>
    <w:p w14:paraId="7D1261D1"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Create one enterprise risk appetite statement with domain-specific tolerances and limits.</w:t>
      </w:r>
    </w:p>
    <w:p w14:paraId="453F7D5F"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lastRenderedPageBreak/>
        <w:pict w14:anchorId="306A90AF">
          <v:rect id="_x0000_i1092" style="width:0;height:1.5pt" o:hralign="center" o:hrstd="t" o:hr="t" fillcolor="#a0a0a0" stroked="f"/>
        </w:pict>
      </w:r>
    </w:p>
    <w:p w14:paraId="2FB97550"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5. Board independence and committee standards</w:t>
      </w:r>
    </w:p>
    <w:p w14:paraId="78D642B2"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Independence standards vary across audit, risk, public-company, fiduciary, and conflict regimes.</w:t>
      </w:r>
    </w:p>
    <w:p w14:paraId="4EC98F30"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Why it matters:</w:t>
      </w:r>
      <w:r w:rsidRPr="00D3326B">
        <w:rPr>
          <w:rFonts w:ascii="Times New Roman" w:eastAsia="Times New Roman" w:hAnsi="Times New Roman" w:cs="Times New Roman"/>
          <w:kern w:val="0"/>
          <w14:ligatures w14:val="none"/>
        </w:rPr>
        <w:br/>
        <w:t>The same director may be evaluated under multiple independence standards.</w:t>
      </w:r>
    </w:p>
    <w:p w14:paraId="25870D44"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Create a unified director eligibility, independence, conflicts, and interlocks questionnaire.</w:t>
      </w:r>
    </w:p>
    <w:p w14:paraId="4914A199"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033D4A17">
          <v:rect id="_x0000_i1093" style="width:0;height:1.5pt" o:hralign="center" o:hrstd="t" o:hr="t" fillcolor="#a0a0a0" stroked="f"/>
        </w:pict>
      </w:r>
    </w:p>
    <w:p w14:paraId="378857C1" w14:textId="77777777" w:rsidR="00D3326B" w:rsidRPr="00D3326B" w:rsidRDefault="00D3326B" w:rsidP="00D332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326B">
        <w:rPr>
          <w:rFonts w:ascii="Times New Roman" w:eastAsia="Times New Roman" w:hAnsi="Times New Roman" w:cs="Times New Roman"/>
          <w:b/>
          <w:bCs/>
          <w:kern w:val="0"/>
          <w:sz w:val="36"/>
          <w:szCs w:val="36"/>
          <w14:ligatures w14:val="none"/>
        </w:rPr>
        <w:t>Tier 2: Important but More Targeted Candidates</w:t>
      </w:r>
    </w:p>
    <w:p w14:paraId="049B538B"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6. Regulation O and insider lending</w:t>
      </w:r>
    </w:p>
    <w:p w14:paraId="55E0B97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Regulation O imposes specific board approval and abstention requirements.</w:t>
      </w:r>
    </w:p>
    <w:p w14:paraId="2937C60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Why it matters:</w:t>
      </w:r>
      <w:r w:rsidRPr="00D3326B">
        <w:rPr>
          <w:rFonts w:ascii="Times New Roman" w:eastAsia="Times New Roman" w:hAnsi="Times New Roman" w:cs="Times New Roman"/>
          <w:kern w:val="0"/>
          <w14:ligatures w14:val="none"/>
        </w:rPr>
        <w:br/>
        <w:t>These requirements are targeted and important, but they overlap with broader conflicts policies.</w:t>
      </w:r>
    </w:p>
    <w:p w14:paraId="5BB4AC12"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Integrate Reg O into a broader conflicts and related-party transaction framework while preserving statutory approval requirements.</w:t>
      </w:r>
    </w:p>
    <w:p w14:paraId="3D3A0ADA"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615016E4">
          <v:rect id="_x0000_i1094" style="width:0;height:1.5pt" o:hralign="center" o:hrstd="t" o:hr="t" fillcolor="#a0a0a0" stroked="f"/>
        </w:pict>
      </w:r>
    </w:p>
    <w:p w14:paraId="76BF1EA4"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7. Fiduciary and trust governance</w:t>
      </w:r>
    </w:p>
    <w:p w14:paraId="1D07646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Fiduciary activities require specialized governance, including fiduciary audit arrangements.</w:t>
      </w:r>
    </w:p>
    <w:p w14:paraId="3FA48430"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Why it matters:</w:t>
      </w:r>
      <w:r w:rsidRPr="00D3326B">
        <w:rPr>
          <w:rFonts w:ascii="Times New Roman" w:eastAsia="Times New Roman" w:hAnsi="Times New Roman" w:cs="Times New Roman"/>
          <w:kern w:val="0"/>
          <w14:ligatures w14:val="none"/>
        </w:rPr>
        <w:br/>
        <w:t>These obligations apply only to institutions with fiduciary activities but can create parallel governance structures.</w:t>
      </w:r>
    </w:p>
    <w:p w14:paraId="256FF011"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Permit integration into general audit, risk, and compliance committees where expertise and independence are adequate.</w:t>
      </w:r>
    </w:p>
    <w:p w14:paraId="525992B8"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588B0E0F">
          <v:rect id="_x0000_i1095" style="width:0;height:1.5pt" o:hralign="center" o:hrstd="t" o:hr="t" fillcolor="#a0a0a0" stroked="f"/>
        </w:pict>
      </w:r>
    </w:p>
    <w:p w14:paraId="515E6ED1" w14:textId="77777777" w:rsidR="00D3326B" w:rsidRPr="00D3326B" w:rsidRDefault="00D3326B" w:rsidP="00D332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326B">
        <w:rPr>
          <w:rFonts w:ascii="Times New Roman" w:eastAsia="Times New Roman" w:hAnsi="Times New Roman" w:cs="Times New Roman"/>
          <w:b/>
          <w:bCs/>
          <w:kern w:val="0"/>
          <w:sz w:val="27"/>
          <w:szCs w:val="27"/>
          <w14:ligatures w14:val="none"/>
        </w:rPr>
        <w:t>8. Consumer compliance board reporting</w:t>
      </w:r>
    </w:p>
    <w:p w14:paraId="2ECE16D4"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lastRenderedPageBreak/>
        <w:t>Consumer compliance board expectations are often grounded in supervisory practice rather than specific board-level rules.</w:t>
      </w:r>
    </w:p>
    <w:p w14:paraId="334E80C2"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Why it matters:</w:t>
      </w:r>
      <w:r w:rsidRPr="00D3326B">
        <w:rPr>
          <w:rFonts w:ascii="Times New Roman" w:eastAsia="Times New Roman" w:hAnsi="Times New Roman" w:cs="Times New Roman"/>
          <w:kern w:val="0"/>
          <w14:ligatures w14:val="none"/>
        </w:rPr>
        <w:br/>
        <w:t>Fair lending, UDAAP, CRA, complaints, and servicing issues can all become board-reporting matters.</w:t>
      </w:r>
    </w:p>
    <w:p w14:paraId="65AE5FBA"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Potential reform:</w:t>
      </w:r>
      <w:r w:rsidRPr="00D3326B">
        <w:rPr>
          <w:rFonts w:ascii="Times New Roman" w:eastAsia="Times New Roman" w:hAnsi="Times New Roman" w:cs="Times New Roman"/>
          <w:kern w:val="0"/>
          <w14:ligatures w14:val="none"/>
        </w:rPr>
        <w:br/>
        <w:t>Clarify which consumer compliance matters require board approval, committee review, management reporting, or escalation.</w:t>
      </w:r>
    </w:p>
    <w:p w14:paraId="6D9B46D2"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69A72F23">
          <v:rect id="_x0000_i1096" style="width:0;height:1.5pt" o:hralign="center" o:hrstd="t" o:hr="t" fillcolor="#a0a0a0" stroked="f"/>
        </w:pict>
      </w:r>
    </w:p>
    <w:p w14:paraId="78F8E7D6" w14:textId="77777777" w:rsidR="00D3326B" w:rsidRPr="00D3326B" w:rsidRDefault="00D3326B" w:rsidP="00D332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3326B">
        <w:rPr>
          <w:rFonts w:ascii="Times New Roman" w:eastAsia="Times New Roman" w:hAnsi="Times New Roman" w:cs="Times New Roman"/>
          <w:b/>
          <w:bCs/>
          <w:kern w:val="36"/>
          <w:sz w:val="48"/>
          <w:szCs w:val="48"/>
          <w14:ligatures w14:val="none"/>
        </w:rPr>
        <w:t>VI. Proposed Reform Architecture</w:t>
      </w:r>
    </w:p>
    <w:p w14:paraId="7FE2FF30"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The goal should not be to eliminate board accountability. The goal should be to distinguish real board accountability from accumulated board paperwork.</w:t>
      </w:r>
    </w:p>
    <w:p w14:paraId="4264DDC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A better architecture would have four layers.</w:t>
      </w:r>
    </w:p>
    <w:p w14:paraId="329D198C"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4DC83BD0">
          <v:rect id="_x0000_i1097" style="width:0;height:1.5pt" o:hralign="center" o:hrstd="t" o:hr="t" fillcolor="#a0a0a0" stroked="f"/>
        </w:pict>
      </w:r>
    </w:p>
    <w:p w14:paraId="4FE9EC2C" w14:textId="77777777" w:rsidR="00D3326B" w:rsidRPr="00D3326B" w:rsidRDefault="00D3326B" w:rsidP="00D332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326B">
        <w:rPr>
          <w:rFonts w:ascii="Times New Roman" w:eastAsia="Times New Roman" w:hAnsi="Times New Roman" w:cs="Times New Roman"/>
          <w:b/>
          <w:bCs/>
          <w:kern w:val="0"/>
          <w:sz w:val="36"/>
          <w:szCs w:val="36"/>
          <w14:ligatures w14:val="none"/>
        </w:rPr>
        <w:t>Layer 1: Universal Board Duties</w:t>
      </w:r>
    </w:p>
    <w:p w14:paraId="5C16256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All banks should have a clear, concise set of universal board duties:</w:t>
      </w:r>
    </w:p>
    <w:p w14:paraId="58A6D7CF" w14:textId="77777777" w:rsidR="00D3326B" w:rsidRPr="00D3326B" w:rsidRDefault="00D3326B" w:rsidP="00D3326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approve strategic direction;</w:t>
      </w:r>
    </w:p>
    <w:p w14:paraId="13B1FACA" w14:textId="77777777" w:rsidR="00D3326B" w:rsidRPr="00D3326B" w:rsidRDefault="00D3326B" w:rsidP="00D3326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approve enterprise risk appetite;</w:t>
      </w:r>
    </w:p>
    <w:p w14:paraId="2DEEE203" w14:textId="77777777" w:rsidR="00D3326B" w:rsidRPr="00D3326B" w:rsidRDefault="00D3326B" w:rsidP="00D3326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oversee management;</w:t>
      </w:r>
    </w:p>
    <w:p w14:paraId="406163A2" w14:textId="77777777" w:rsidR="00D3326B" w:rsidRPr="00D3326B" w:rsidRDefault="00D3326B" w:rsidP="00D3326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ensure independent audit and control functions;</w:t>
      </w:r>
    </w:p>
    <w:p w14:paraId="73380FD2" w14:textId="77777777" w:rsidR="00D3326B" w:rsidRPr="00D3326B" w:rsidRDefault="00D3326B" w:rsidP="00D3326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oversee legal and regulatory compliance;</w:t>
      </w:r>
    </w:p>
    <w:p w14:paraId="48C3E08D" w14:textId="77777777" w:rsidR="00D3326B" w:rsidRPr="00D3326B" w:rsidRDefault="00D3326B" w:rsidP="00D3326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hold management accountable for remediation;</w:t>
      </w:r>
    </w:p>
    <w:p w14:paraId="1D8A6567" w14:textId="77777777" w:rsidR="00D3326B" w:rsidRPr="00D3326B" w:rsidRDefault="00D3326B" w:rsidP="00D3326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receive timely escalation of material risks and control failures.</w:t>
      </w:r>
    </w:p>
    <w:p w14:paraId="6160F4A3"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These universal duties should anchor all other board obligations.</w:t>
      </w:r>
    </w:p>
    <w:p w14:paraId="5F95F159"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15AB7C32">
          <v:rect id="_x0000_i1098" style="width:0;height:1.5pt" o:hralign="center" o:hrstd="t" o:hr="t" fillcolor="#a0a0a0" stroked="f"/>
        </w:pict>
      </w:r>
    </w:p>
    <w:p w14:paraId="1658BEE6" w14:textId="77777777" w:rsidR="00D3326B" w:rsidRPr="00D3326B" w:rsidRDefault="00D3326B" w:rsidP="00D332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326B">
        <w:rPr>
          <w:rFonts w:ascii="Times New Roman" w:eastAsia="Times New Roman" w:hAnsi="Times New Roman" w:cs="Times New Roman"/>
          <w:b/>
          <w:bCs/>
          <w:kern w:val="0"/>
          <w:sz w:val="36"/>
          <w:szCs w:val="36"/>
          <w14:ligatures w14:val="none"/>
        </w:rPr>
        <w:t>Layer 2: Committee Equivalence</w:t>
      </w:r>
    </w:p>
    <w:p w14:paraId="65A02FA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A properly chartered board committee should be able to satisfy most board oversight obligations unless a statute or regulation expressly requires action by the full board.</w:t>
      </w:r>
    </w:p>
    <w:p w14:paraId="4D5213E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For example: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266"/>
        <w:gridCol w:w="4078"/>
      </w:tblGrid>
      <w:tr w:rsidR="00D3326B" w:rsidRPr="00D3326B" w14:paraId="79876995"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D2821F" w14:textId="77777777" w:rsidR="00D3326B" w:rsidRPr="00D3326B" w:rsidRDefault="00D3326B" w:rsidP="00D3326B">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3326B">
              <w:rPr>
                <w:rFonts w:ascii="Times New Roman" w:eastAsia="Times New Roman" w:hAnsi="Times New Roman" w:cs="Times New Roman"/>
                <w:b/>
                <w:bCs/>
                <w:kern w:val="0"/>
                <w14:ligatures w14:val="none"/>
              </w:rPr>
              <w:lastRenderedPageBreak/>
              <w:t>Obligation 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D6CD1C" w14:textId="77777777" w:rsidR="00D3326B" w:rsidRPr="00D3326B" w:rsidRDefault="00D3326B" w:rsidP="00D3326B">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3326B">
              <w:rPr>
                <w:rFonts w:ascii="Times New Roman" w:eastAsia="Times New Roman" w:hAnsi="Times New Roman" w:cs="Times New Roman"/>
                <w:b/>
                <w:bCs/>
                <w:kern w:val="0"/>
                <w14:ligatures w14:val="none"/>
              </w:rPr>
              <w:t>Appropriate committee</w:t>
            </w:r>
          </w:p>
        </w:tc>
      </w:tr>
      <w:tr w:rsidR="00D3326B" w:rsidRPr="00D3326B" w14:paraId="241B827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EA851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Financial reporting and internal controls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00CF3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Audit committee</w:t>
            </w:r>
          </w:p>
        </w:tc>
      </w:tr>
      <w:tr w:rsidR="00D3326B" w:rsidRPr="00D3326B" w14:paraId="2D05BD0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68321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Enterprise risk and liquidity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56A50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Risk committee</w:t>
            </w:r>
          </w:p>
        </w:tc>
      </w:tr>
      <w:tr w:rsidR="00D3326B" w:rsidRPr="00D3326B" w14:paraId="5C66B92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30C9C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BSA/AML and consumer compliance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BA694D"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Compliance or risk committee</w:t>
            </w:r>
          </w:p>
        </w:tc>
      </w:tr>
      <w:tr w:rsidR="00D3326B" w:rsidRPr="00D3326B" w14:paraId="11C67A7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D971D1"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Cyber and operational resilience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F053AB"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Risk or technology committee</w:t>
            </w:r>
          </w:p>
        </w:tc>
      </w:tr>
      <w:tr w:rsidR="00D3326B" w:rsidRPr="00D3326B" w14:paraId="7057882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545184"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Incentive compensation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C7F03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Compensation committee</w:t>
            </w:r>
          </w:p>
        </w:tc>
      </w:tr>
      <w:tr w:rsidR="00D3326B" w:rsidRPr="00D3326B" w14:paraId="5327B0B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1045D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Director independence and training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554AEA"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Governance committee</w:t>
            </w:r>
          </w:p>
        </w:tc>
      </w:tr>
      <w:tr w:rsidR="00D3326B" w:rsidRPr="00D3326B" w14:paraId="3C0F47C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B48301"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Fiduciary activities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127B42"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Fiduciary or audit committee</w:t>
            </w:r>
          </w:p>
        </w:tc>
      </w:tr>
    </w:tbl>
    <w:p w14:paraId="31425F7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Full-board action should be reserved for:</w:t>
      </w:r>
    </w:p>
    <w:p w14:paraId="5A55F3FC" w14:textId="77777777" w:rsidR="00D3326B" w:rsidRPr="00D3326B" w:rsidRDefault="00D3326B" w:rsidP="00D3326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enterprise risk appetite;</w:t>
      </w:r>
    </w:p>
    <w:p w14:paraId="2E7DDF84" w14:textId="77777777" w:rsidR="00D3326B" w:rsidRPr="00D3326B" w:rsidRDefault="00D3326B" w:rsidP="00D3326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capital plan approval;</w:t>
      </w:r>
    </w:p>
    <w:p w14:paraId="2DF4A40B" w14:textId="77777777" w:rsidR="00D3326B" w:rsidRPr="00D3326B" w:rsidRDefault="00D3326B" w:rsidP="00D3326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liquidity risk tolerance;</w:t>
      </w:r>
    </w:p>
    <w:p w14:paraId="1D4612B7" w14:textId="77777777" w:rsidR="00D3326B" w:rsidRPr="00D3326B" w:rsidRDefault="00D3326B" w:rsidP="00D3326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BSA/AML program approval where required;</w:t>
      </w:r>
    </w:p>
    <w:p w14:paraId="2448AC5B" w14:textId="77777777" w:rsidR="00D3326B" w:rsidRPr="00D3326B" w:rsidRDefault="00D3326B" w:rsidP="00D3326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recovery or resolution plan approval where required;</w:t>
      </w:r>
    </w:p>
    <w:p w14:paraId="1308E98A" w14:textId="77777777" w:rsidR="00D3326B" w:rsidRPr="00D3326B" w:rsidRDefault="00D3326B" w:rsidP="00D3326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major enforcement remediation;</w:t>
      </w:r>
    </w:p>
    <w:p w14:paraId="57F41BBD" w14:textId="77777777" w:rsidR="00D3326B" w:rsidRPr="00D3326B" w:rsidRDefault="00D3326B" w:rsidP="00D3326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material strategic decisions;</w:t>
      </w:r>
    </w:p>
    <w:p w14:paraId="4AD8FBE0" w14:textId="77777777" w:rsidR="00D3326B" w:rsidRPr="00D3326B" w:rsidRDefault="00D3326B" w:rsidP="00D3326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statutory insider-transaction approvals;</w:t>
      </w:r>
    </w:p>
    <w:p w14:paraId="01438E88" w14:textId="77777777" w:rsidR="00D3326B" w:rsidRPr="00D3326B" w:rsidRDefault="00D3326B" w:rsidP="00D3326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major changes in business model or risk profile.</w:t>
      </w:r>
    </w:p>
    <w:p w14:paraId="17BF95D4"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6EC857A3">
          <v:rect id="_x0000_i1099" style="width:0;height:1.5pt" o:hralign="center" o:hrstd="t" o:hr="t" fillcolor="#a0a0a0" stroked="f"/>
        </w:pict>
      </w:r>
    </w:p>
    <w:p w14:paraId="2BE3B61E" w14:textId="77777777" w:rsidR="00D3326B" w:rsidRPr="00D3326B" w:rsidRDefault="00D3326B" w:rsidP="00D332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326B">
        <w:rPr>
          <w:rFonts w:ascii="Times New Roman" w:eastAsia="Times New Roman" w:hAnsi="Times New Roman" w:cs="Times New Roman"/>
          <w:b/>
          <w:bCs/>
          <w:kern w:val="0"/>
          <w:sz w:val="36"/>
          <w:szCs w:val="36"/>
          <w14:ligatures w14:val="none"/>
        </w:rPr>
        <w:t>Layer 3: Program Modules</w:t>
      </w:r>
    </w:p>
    <w:p w14:paraId="59CE628B"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Each major compliance or risk program should follow a common governance template.</w:t>
      </w:r>
    </w:p>
    <w:p w14:paraId="5DA7552F"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The template should include:</w:t>
      </w:r>
    </w:p>
    <w:p w14:paraId="777BD6C5" w14:textId="77777777" w:rsidR="00D3326B" w:rsidRPr="00D3326B" w:rsidRDefault="00D3326B" w:rsidP="00D3326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management owner;</w:t>
      </w:r>
    </w:p>
    <w:p w14:paraId="64EB3694" w14:textId="77777777" w:rsidR="00D3326B" w:rsidRPr="00D3326B" w:rsidRDefault="00D3326B" w:rsidP="00D3326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control-function owner;</w:t>
      </w:r>
    </w:p>
    <w:p w14:paraId="2E99C513" w14:textId="77777777" w:rsidR="00D3326B" w:rsidRPr="00D3326B" w:rsidRDefault="00D3326B" w:rsidP="00D3326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independent testing or audit;</w:t>
      </w:r>
    </w:p>
    <w:p w14:paraId="5C2A46AA" w14:textId="77777777" w:rsidR="00D3326B" w:rsidRPr="00D3326B" w:rsidRDefault="00D3326B" w:rsidP="00D3326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board committee owner;</w:t>
      </w:r>
    </w:p>
    <w:p w14:paraId="5CE5BCA6" w14:textId="77777777" w:rsidR="00D3326B" w:rsidRPr="00D3326B" w:rsidRDefault="00D3326B" w:rsidP="00D3326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reporting cadence;</w:t>
      </w:r>
    </w:p>
    <w:p w14:paraId="748324C9" w14:textId="77777777" w:rsidR="00D3326B" w:rsidRPr="00D3326B" w:rsidRDefault="00D3326B" w:rsidP="00D3326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escalation triggers;</w:t>
      </w:r>
    </w:p>
    <w:p w14:paraId="66273638" w14:textId="77777777" w:rsidR="00D3326B" w:rsidRPr="00D3326B" w:rsidRDefault="00D3326B" w:rsidP="00D3326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required approvals;</w:t>
      </w:r>
    </w:p>
    <w:p w14:paraId="0957DE49" w14:textId="77777777" w:rsidR="00D3326B" w:rsidRPr="00D3326B" w:rsidRDefault="00D3326B" w:rsidP="00D3326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documentation standard;</w:t>
      </w:r>
    </w:p>
    <w:p w14:paraId="0AF74521" w14:textId="77777777" w:rsidR="00D3326B" w:rsidRPr="00D3326B" w:rsidRDefault="00D3326B" w:rsidP="00D3326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remediation process.</w:t>
      </w:r>
    </w:p>
    <w:p w14:paraId="4B23B5B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lastRenderedPageBreak/>
        <w:t>This would allow different programs to be compared and consolidated.</w:t>
      </w:r>
    </w:p>
    <w:p w14:paraId="33FF0632"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16D70160">
          <v:rect id="_x0000_i1100" style="width:0;height:1.5pt" o:hralign="center" o:hrstd="t" o:hr="t" fillcolor="#a0a0a0" stroked="f"/>
        </w:pict>
      </w:r>
    </w:p>
    <w:p w14:paraId="599D8866" w14:textId="77777777" w:rsidR="00D3326B" w:rsidRPr="00D3326B" w:rsidRDefault="00D3326B" w:rsidP="00D332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326B">
        <w:rPr>
          <w:rFonts w:ascii="Times New Roman" w:eastAsia="Times New Roman" w:hAnsi="Times New Roman" w:cs="Times New Roman"/>
          <w:b/>
          <w:bCs/>
          <w:kern w:val="0"/>
          <w:sz w:val="36"/>
          <w:szCs w:val="36"/>
          <w14:ligatures w14:val="none"/>
        </w:rPr>
        <w:t>Layer 4: Exceptions for Statutory Board Action</w:t>
      </w:r>
    </w:p>
    <w:p w14:paraId="0B86A1E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Some obligations should remain full-board obligations because they are explicit, important, or statutory.</w:t>
      </w:r>
    </w:p>
    <w:p w14:paraId="46FDBD29"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Examples include:</w:t>
      </w:r>
    </w:p>
    <w:p w14:paraId="0F4EA81D" w14:textId="77777777" w:rsidR="00D3326B" w:rsidRPr="00D3326B" w:rsidRDefault="00D3326B" w:rsidP="00D3326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BSA/AML program approval;</w:t>
      </w:r>
    </w:p>
    <w:p w14:paraId="57940852" w14:textId="77777777" w:rsidR="00D3326B" w:rsidRPr="00D3326B" w:rsidRDefault="00D3326B" w:rsidP="00D3326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certain insider lending approvals under Regulation O;</w:t>
      </w:r>
    </w:p>
    <w:p w14:paraId="65101CEF" w14:textId="77777777" w:rsidR="00D3326B" w:rsidRPr="00D3326B" w:rsidRDefault="00D3326B" w:rsidP="00D3326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capital distributions;</w:t>
      </w:r>
    </w:p>
    <w:p w14:paraId="3632F349" w14:textId="77777777" w:rsidR="00D3326B" w:rsidRPr="00D3326B" w:rsidRDefault="00D3326B" w:rsidP="00D3326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liquidity risk tolerance for covered firms;</w:t>
      </w:r>
    </w:p>
    <w:p w14:paraId="5BAC1807" w14:textId="77777777" w:rsidR="00D3326B" w:rsidRPr="00D3326B" w:rsidRDefault="00D3326B" w:rsidP="00D3326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capital plan approval where applicable;</w:t>
      </w:r>
    </w:p>
    <w:p w14:paraId="74229C95" w14:textId="77777777" w:rsidR="00D3326B" w:rsidRPr="00D3326B" w:rsidRDefault="00D3326B" w:rsidP="00D3326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recovery or resolution plan approval where applicable;</w:t>
      </w:r>
    </w:p>
    <w:p w14:paraId="6EDDEA60" w14:textId="77777777" w:rsidR="00D3326B" w:rsidRPr="00D3326B" w:rsidRDefault="00D3326B" w:rsidP="00D3326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major enforcement-order remediation;</w:t>
      </w:r>
    </w:p>
    <w:p w14:paraId="52755471" w14:textId="77777777" w:rsidR="00D3326B" w:rsidRPr="00D3326B" w:rsidRDefault="00D3326B" w:rsidP="00D3326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charter, merger, or control changes.</w:t>
      </w:r>
    </w:p>
    <w:p w14:paraId="7A355EB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 xml:space="preserve">The key reform principle should be: </w:t>
      </w:r>
      <w:r w:rsidRPr="00D3326B">
        <w:rPr>
          <w:rFonts w:ascii="Times New Roman" w:eastAsia="Times New Roman" w:hAnsi="Times New Roman" w:cs="Times New Roman"/>
          <w:b/>
          <w:bCs/>
          <w:kern w:val="0"/>
          <w14:ligatures w14:val="none"/>
        </w:rPr>
        <w:t>preserve explicit statutory board decisions, but eliminate duplicative supervisory rituals around them.</w:t>
      </w:r>
    </w:p>
    <w:p w14:paraId="6C7FB9B8"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515C8EC6">
          <v:rect id="_x0000_i1101" style="width:0;height:1.5pt" o:hralign="center" o:hrstd="t" o:hr="t" fillcolor="#a0a0a0" stroked="f"/>
        </w:pict>
      </w:r>
    </w:p>
    <w:p w14:paraId="7B04B1DD" w14:textId="77777777" w:rsidR="00D3326B" w:rsidRPr="00D3326B" w:rsidRDefault="00D3326B" w:rsidP="00D332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3326B">
        <w:rPr>
          <w:rFonts w:ascii="Times New Roman" w:eastAsia="Times New Roman" w:hAnsi="Times New Roman" w:cs="Times New Roman"/>
          <w:b/>
          <w:bCs/>
          <w:kern w:val="36"/>
          <w:sz w:val="48"/>
          <w:szCs w:val="48"/>
          <w14:ligatures w14:val="none"/>
        </w:rPr>
        <w:t>VII. Suggested Dataset Structure</w:t>
      </w:r>
    </w:p>
    <w:p w14:paraId="7E286C62"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The following fields could be used to build a board-obligations database.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011"/>
        <w:gridCol w:w="6333"/>
      </w:tblGrid>
      <w:tr w:rsidR="00D3326B" w:rsidRPr="00D3326B" w14:paraId="6AD5094F"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D2EA9A" w14:textId="77777777" w:rsidR="00D3326B" w:rsidRPr="00D3326B" w:rsidRDefault="00D3326B" w:rsidP="00D3326B">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3326B">
              <w:rPr>
                <w:rFonts w:ascii="Times New Roman" w:eastAsia="Times New Roman" w:hAnsi="Times New Roman" w:cs="Times New Roman"/>
                <w:b/>
                <w:bCs/>
                <w:kern w:val="0"/>
                <w14:ligatures w14:val="none"/>
              </w:rPr>
              <w:t>Column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7F11A8" w14:textId="77777777" w:rsidR="00D3326B" w:rsidRPr="00D3326B" w:rsidRDefault="00D3326B" w:rsidP="00D3326B">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3326B">
              <w:rPr>
                <w:rFonts w:ascii="Times New Roman" w:eastAsia="Times New Roman" w:hAnsi="Times New Roman" w:cs="Times New Roman"/>
                <w:b/>
                <w:bCs/>
                <w:kern w:val="0"/>
                <w14:ligatures w14:val="none"/>
              </w:rPr>
              <w:t>Description</w:t>
            </w:r>
          </w:p>
        </w:tc>
      </w:tr>
      <w:tr w:rsidR="00D3326B" w:rsidRPr="00D3326B" w14:paraId="605883C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D30D25"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Obligation 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ABF812"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Unique identifier</w:t>
            </w:r>
          </w:p>
        </w:tc>
      </w:tr>
      <w:tr w:rsidR="00D3326B" w:rsidRPr="00D3326B" w14:paraId="6752BD8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C4872B"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Risk domain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825710"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BSA/AML, liquidity, capital, audit, cyber, consumer, etc.</w:t>
            </w:r>
          </w:p>
        </w:tc>
      </w:tr>
      <w:tr w:rsidR="00D3326B" w:rsidRPr="00D3326B" w14:paraId="1E4D19F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3CDCA5"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Legal source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E99D8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Citation or guidance source</w:t>
            </w:r>
          </w:p>
        </w:tc>
      </w:tr>
      <w:tr w:rsidR="00D3326B" w:rsidRPr="00D3326B" w14:paraId="2913805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EABF94"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Agency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C43AE0"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OCC, Fed, FDIC, CFPB, FinCEN, interagency</w:t>
            </w:r>
          </w:p>
        </w:tc>
      </w:tr>
      <w:tr w:rsidR="00D3326B" w:rsidRPr="00D3326B" w14:paraId="303BCE4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30333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Institution 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29D77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Bank, BHC, FSA, SMB, SNMB, IHC, FBO, GSIB, CIDI</w:t>
            </w:r>
          </w:p>
        </w:tc>
      </w:tr>
      <w:tr w:rsidR="00D3326B" w:rsidRPr="00D3326B" w14:paraId="1ABDC94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64DEF9"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Threshold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CAA8E3"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Asset or category threshold</w:t>
            </w:r>
          </w:p>
        </w:tc>
      </w:tr>
      <w:tr w:rsidR="00D3326B" w:rsidRPr="00D3326B" w14:paraId="54F4EAE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E0AD8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Board actor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6F1E94"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Full board or committee</w:t>
            </w:r>
          </w:p>
        </w:tc>
      </w:tr>
      <w:tr w:rsidR="00D3326B" w:rsidRPr="00D3326B" w14:paraId="7C9CB05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E4A9A3"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lastRenderedPageBreak/>
              <w:t>Required action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4CA683"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Approve, review, oversee, receive, certify, document</w:t>
            </w:r>
          </w:p>
        </w:tc>
      </w:tr>
      <w:tr w:rsidR="00D3326B" w:rsidRPr="00D3326B" w14:paraId="1F6B06B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255DF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Frequency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9258F2"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Annual, quarterly, semiannual, ongoing, event-driven</w:t>
            </w:r>
          </w:p>
        </w:tc>
      </w:tr>
      <w:tr w:rsidR="00D3326B" w:rsidRPr="00D3326B" w14:paraId="7F6B779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EC98C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Documentation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ADFA62"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Minutes, report, policy, plan, filing, certification</w:t>
            </w:r>
          </w:p>
        </w:tc>
      </w:tr>
      <w:tr w:rsidR="00D3326B" w:rsidRPr="00D3326B" w14:paraId="233862D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D89F2B"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Management responsibility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5F2C6F"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Related management execution duty</w:t>
            </w:r>
          </w:p>
        </w:tc>
      </w:tr>
      <w:tr w:rsidR="00D3326B" w:rsidRPr="00D3326B" w14:paraId="7AD11AA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3379CA"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Committee equivalent available?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D40502"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Yes, no, unclear</w:t>
            </w:r>
          </w:p>
        </w:tc>
      </w:tr>
      <w:tr w:rsidR="00D3326B" w:rsidRPr="00D3326B" w14:paraId="5DB0F85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F78AD3"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Full-board action required?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958F8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Yes, no, unclear</w:t>
            </w:r>
          </w:p>
        </w:tc>
      </w:tr>
      <w:tr w:rsidR="00D3326B" w:rsidRPr="00D3326B" w14:paraId="1FA54DB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337BC4"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Statutory or supervisory?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1FF274"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Statute, regulation, guidance, exam practice, enforcement</w:t>
            </w:r>
          </w:p>
        </w:tc>
      </w:tr>
      <w:tr w:rsidR="00D3326B" w:rsidRPr="00D3326B" w14:paraId="4E3886D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A25B64"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Sludge 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98C7DF"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Duplication, ambiguity, excessive cadence, committee overlap, formalism</w:t>
            </w:r>
          </w:p>
        </w:tc>
      </w:tr>
      <w:tr w:rsidR="00D3326B" w:rsidRPr="00D3326B" w14:paraId="4A92C28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9A7F62"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Reform option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15CE2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Consolidate, clarify, delegate, align cadence, preserve</w:t>
            </w:r>
          </w:p>
        </w:tc>
      </w:tr>
      <w:tr w:rsidR="00D3326B" w:rsidRPr="00D3326B" w14:paraId="06C2220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3D8164"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Notes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99DD0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Additional observations</w:t>
            </w:r>
          </w:p>
        </w:tc>
      </w:tr>
    </w:tbl>
    <w:p w14:paraId="609F3184" w14:textId="77777777" w:rsidR="00D3326B" w:rsidRPr="00D3326B" w:rsidRDefault="00D3326B" w:rsidP="00D3326B">
      <w:pPr>
        <w:spacing w:after="0"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pict w14:anchorId="66DE2608">
          <v:rect id="_x0000_i1102" style="width:0;height:1.5pt" o:hralign="center" o:hrstd="t" o:hr="t" fillcolor="#a0a0a0" stroked="f"/>
        </w:pict>
      </w:r>
    </w:p>
    <w:p w14:paraId="563B8049" w14:textId="77777777" w:rsidR="00D3326B" w:rsidRPr="00D3326B" w:rsidRDefault="00D3326B" w:rsidP="00D332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3326B">
        <w:rPr>
          <w:rFonts w:ascii="Times New Roman" w:eastAsia="Times New Roman" w:hAnsi="Times New Roman" w:cs="Times New Roman"/>
          <w:b/>
          <w:bCs/>
          <w:kern w:val="36"/>
          <w:sz w:val="48"/>
          <w:szCs w:val="48"/>
          <w14:ligatures w14:val="none"/>
        </w:rPr>
        <w:t>VIII. Illustrative Sludge Scoring Framework</w:t>
      </w:r>
    </w:p>
    <w:p w14:paraId="43B56542"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Each obligation can be scored across five dimensions.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181"/>
        <w:gridCol w:w="8163"/>
      </w:tblGrid>
      <w:tr w:rsidR="00D3326B" w:rsidRPr="00D3326B" w14:paraId="04A80832"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FA6EAB" w14:textId="77777777" w:rsidR="00D3326B" w:rsidRPr="00D3326B" w:rsidRDefault="00D3326B" w:rsidP="00D3326B">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3326B">
              <w:rPr>
                <w:rFonts w:ascii="Times New Roman" w:eastAsia="Times New Roman" w:hAnsi="Times New Roman" w:cs="Times New Roman"/>
                <w:b/>
                <w:bCs/>
                <w:kern w:val="0"/>
                <w14:ligatures w14:val="none"/>
              </w:rPr>
              <w:t>Score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7459DB" w14:textId="77777777" w:rsidR="00D3326B" w:rsidRPr="00D3326B" w:rsidRDefault="00D3326B" w:rsidP="00D3326B">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3326B">
              <w:rPr>
                <w:rFonts w:ascii="Times New Roman" w:eastAsia="Times New Roman" w:hAnsi="Times New Roman" w:cs="Times New Roman"/>
                <w:b/>
                <w:bCs/>
                <w:kern w:val="0"/>
                <w14:ligatures w14:val="none"/>
              </w:rPr>
              <w:t>Meaning</w:t>
            </w:r>
          </w:p>
        </w:tc>
      </w:tr>
      <w:tr w:rsidR="00D3326B" w:rsidRPr="00D3326B" w14:paraId="20D782A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4F0D4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BD2F9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No apparent sludge; clear, targeted, high-value obligation</w:t>
            </w:r>
          </w:p>
        </w:tc>
      </w:tr>
      <w:tr w:rsidR="00D3326B" w:rsidRPr="00D3326B" w14:paraId="1DFA024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BD2A5A"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0E69B5"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Minor duplication or documentation burden</w:t>
            </w:r>
          </w:p>
        </w:tc>
      </w:tr>
      <w:tr w:rsidR="00D3326B" w:rsidRPr="00D3326B" w14:paraId="4C9027E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35EFC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3C6F8B"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Moderate overlap with other board obligations</w:t>
            </w:r>
          </w:p>
        </w:tc>
      </w:tr>
      <w:tr w:rsidR="00D3326B" w:rsidRPr="00D3326B" w14:paraId="1A6FCAB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586F4F"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B31D1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Significant duplication or unclear board-management boundary</w:t>
            </w:r>
          </w:p>
        </w:tc>
      </w:tr>
      <w:tr w:rsidR="00D3326B" w:rsidRPr="00D3326B" w14:paraId="7B65993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C042F1"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D4F270"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High burden with unclear marginal safety-and-soundness value</w:t>
            </w:r>
          </w:p>
        </w:tc>
      </w:tr>
      <w:tr w:rsidR="00D3326B" w:rsidRPr="00D3326B" w14:paraId="699B445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B2B2DD"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84757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Strong candidate for consolidation, clarification, or elimination</w:t>
            </w:r>
          </w:p>
        </w:tc>
      </w:tr>
    </w:tbl>
    <w:p w14:paraId="049AF12B"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Suggested scoring factors:</w:t>
      </w:r>
    </w:p>
    <w:p w14:paraId="4722AD60" w14:textId="77777777" w:rsidR="00D3326B" w:rsidRPr="00D3326B" w:rsidRDefault="00D3326B" w:rsidP="00D3326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lastRenderedPageBreak/>
        <w:t>Duplication:</w:t>
      </w:r>
      <w:r w:rsidRPr="00D3326B">
        <w:rPr>
          <w:rFonts w:ascii="Times New Roman" w:eastAsia="Times New Roman" w:hAnsi="Times New Roman" w:cs="Times New Roman"/>
          <w:kern w:val="0"/>
          <w14:ligatures w14:val="none"/>
        </w:rPr>
        <w:t xml:space="preserve"> Does another rule require substantially the same board action?</w:t>
      </w:r>
    </w:p>
    <w:p w14:paraId="186222E7" w14:textId="77777777" w:rsidR="00D3326B" w:rsidRPr="00D3326B" w:rsidRDefault="00D3326B" w:rsidP="00D3326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Ambiguity:</w:t>
      </w:r>
      <w:r w:rsidRPr="00D3326B">
        <w:rPr>
          <w:rFonts w:ascii="Times New Roman" w:eastAsia="Times New Roman" w:hAnsi="Times New Roman" w:cs="Times New Roman"/>
          <w:kern w:val="0"/>
          <w14:ligatures w14:val="none"/>
        </w:rPr>
        <w:t xml:space="preserve"> Is the board’s role unclear relative to management?</w:t>
      </w:r>
    </w:p>
    <w:p w14:paraId="07E1C865" w14:textId="77777777" w:rsidR="00D3326B" w:rsidRPr="00D3326B" w:rsidRDefault="00D3326B" w:rsidP="00D3326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Formality:</w:t>
      </w:r>
      <w:r w:rsidRPr="00D3326B">
        <w:rPr>
          <w:rFonts w:ascii="Times New Roman" w:eastAsia="Times New Roman" w:hAnsi="Times New Roman" w:cs="Times New Roman"/>
          <w:kern w:val="0"/>
          <w14:ligatures w14:val="none"/>
        </w:rPr>
        <w:t xml:space="preserve"> Does the rule create documentation ritual more than substantive oversight?</w:t>
      </w:r>
    </w:p>
    <w:p w14:paraId="7BD18150" w14:textId="77777777" w:rsidR="00D3326B" w:rsidRPr="00D3326B" w:rsidRDefault="00D3326B" w:rsidP="00D3326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Cadence burden:</w:t>
      </w:r>
      <w:r w:rsidRPr="00D3326B">
        <w:rPr>
          <w:rFonts w:ascii="Times New Roman" w:eastAsia="Times New Roman" w:hAnsi="Times New Roman" w:cs="Times New Roman"/>
          <w:kern w:val="0"/>
          <w14:ligatures w14:val="none"/>
        </w:rPr>
        <w:t xml:space="preserve"> Does it require frequent board review without clear risk-based need?</w:t>
      </w:r>
    </w:p>
    <w:p w14:paraId="2F5AC3DD" w14:textId="77777777" w:rsidR="00D3326B" w:rsidRPr="00D3326B" w:rsidRDefault="00D3326B" w:rsidP="00D3326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Committee overlap:</w:t>
      </w:r>
      <w:r w:rsidRPr="00D3326B">
        <w:rPr>
          <w:rFonts w:ascii="Times New Roman" w:eastAsia="Times New Roman" w:hAnsi="Times New Roman" w:cs="Times New Roman"/>
          <w:kern w:val="0"/>
          <w14:ligatures w14:val="none"/>
        </w:rPr>
        <w:t xml:space="preserve"> Does the same issue go to multiple committees?</w:t>
      </w:r>
    </w:p>
    <w:p w14:paraId="4818BB0B" w14:textId="77777777" w:rsidR="00D3326B" w:rsidRPr="00D3326B" w:rsidRDefault="00D3326B" w:rsidP="00D3326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Marginal value:</w:t>
      </w:r>
      <w:r w:rsidRPr="00D3326B">
        <w:rPr>
          <w:rFonts w:ascii="Times New Roman" w:eastAsia="Times New Roman" w:hAnsi="Times New Roman" w:cs="Times New Roman"/>
          <w:kern w:val="0"/>
          <w14:ligatures w14:val="none"/>
        </w:rPr>
        <w:t xml:space="preserve"> Does the board action materially improve safety, soundness, compliance, or accountability?</w:t>
      </w:r>
    </w:p>
    <w:p w14:paraId="77CC72F4" w14:textId="77777777" w:rsidR="00D3326B" w:rsidRPr="00D3326B" w:rsidRDefault="00BF3273" w:rsidP="00D3326B">
      <w:pPr>
        <w:spacing w:after="0" w:line="240" w:lineRule="auto"/>
        <w:rPr>
          <w:rFonts w:ascii="Times New Roman" w:eastAsia="Times New Roman" w:hAnsi="Times New Roman" w:cs="Times New Roman"/>
          <w:kern w:val="0"/>
          <w14:ligatures w14:val="none"/>
        </w:rPr>
      </w:pPr>
      <w:r w:rsidRPr="00BF3273">
        <w:rPr>
          <w:rFonts w:ascii="Times New Roman" w:eastAsia="Times New Roman" w:hAnsi="Times New Roman" w:cs="Times New Roman"/>
          <w:noProof/>
          <w:kern w:val="0"/>
        </w:rPr>
        <w:pict w14:anchorId="171F7D7F">
          <v:rect id="_x0000_i1108" alt="" style="width:468pt;height:.05pt;mso-width-percent:0;mso-height-percent:0;mso-width-percent:0;mso-height-percent:0" o:hralign="center" o:hrstd="t" o:hr="t" fillcolor="#a0a0a0" stroked="f"/>
        </w:pict>
      </w:r>
    </w:p>
    <w:p w14:paraId="7962F24C" w14:textId="77777777" w:rsidR="00D3326B" w:rsidRPr="00D3326B" w:rsidRDefault="00D3326B" w:rsidP="00D332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3326B">
        <w:rPr>
          <w:rFonts w:ascii="Times New Roman" w:eastAsia="Times New Roman" w:hAnsi="Times New Roman" w:cs="Times New Roman"/>
          <w:b/>
          <w:bCs/>
          <w:kern w:val="36"/>
          <w:sz w:val="48"/>
          <w:szCs w:val="48"/>
          <w14:ligatures w14:val="none"/>
        </w:rPr>
        <w:t>IX. Initial Reform Options</w:t>
      </w:r>
    </w:p>
    <w:p w14:paraId="63F650F5" w14:textId="77777777" w:rsidR="00D3326B" w:rsidRPr="00D3326B" w:rsidRDefault="00D3326B" w:rsidP="00D332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326B">
        <w:rPr>
          <w:rFonts w:ascii="Times New Roman" w:eastAsia="Times New Roman" w:hAnsi="Times New Roman" w:cs="Times New Roman"/>
          <w:b/>
          <w:bCs/>
          <w:kern w:val="0"/>
          <w:sz w:val="36"/>
          <w:szCs w:val="36"/>
          <w14:ligatures w14:val="none"/>
        </w:rPr>
        <w:t>Option 1: Board Obligation Crosswalk</w:t>
      </w:r>
    </w:p>
    <w:p w14:paraId="7B8CB0E0"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Agencies could jointly publish a crosswalk of all board obligations across major federal banking regimes.</w:t>
      </w:r>
    </w:p>
    <w:p w14:paraId="5F6A747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Advantages:</w:t>
      </w:r>
    </w:p>
    <w:p w14:paraId="1202D313" w14:textId="77777777" w:rsidR="00D3326B" w:rsidRPr="00D3326B" w:rsidRDefault="00D3326B" w:rsidP="00D3326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low legal risk;</w:t>
      </w:r>
    </w:p>
    <w:p w14:paraId="11682B37" w14:textId="77777777" w:rsidR="00D3326B" w:rsidRPr="00D3326B" w:rsidRDefault="00D3326B" w:rsidP="00D3326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improves transparency;</w:t>
      </w:r>
    </w:p>
    <w:p w14:paraId="644E9001" w14:textId="77777777" w:rsidR="00D3326B" w:rsidRPr="00D3326B" w:rsidRDefault="00D3326B" w:rsidP="00D3326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helps banks organize governance;</w:t>
      </w:r>
    </w:p>
    <w:p w14:paraId="34F76AF4" w14:textId="77777777" w:rsidR="00D3326B" w:rsidRPr="00D3326B" w:rsidRDefault="00D3326B" w:rsidP="00D3326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identifies duplication without immediately changing substantive requirements.</w:t>
      </w:r>
    </w:p>
    <w:p w14:paraId="12CEDE65"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Disadvantages:</w:t>
      </w:r>
    </w:p>
    <w:p w14:paraId="253694AC" w14:textId="77777777" w:rsidR="00D3326B" w:rsidRPr="00D3326B" w:rsidRDefault="00D3326B" w:rsidP="00D3326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does not itself reduce burden;</w:t>
      </w:r>
    </w:p>
    <w:p w14:paraId="39F24501" w14:textId="77777777" w:rsidR="00D3326B" w:rsidRPr="00D3326B" w:rsidRDefault="00D3326B" w:rsidP="00D3326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may reveal inconsistencies agencies are not ready to resolve.</w:t>
      </w:r>
    </w:p>
    <w:p w14:paraId="1E4E0BE3" w14:textId="77777777" w:rsidR="00D3326B" w:rsidRPr="00D3326B" w:rsidRDefault="00BF3273" w:rsidP="00D3326B">
      <w:pPr>
        <w:spacing w:after="0" w:line="240" w:lineRule="auto"/>
        <w:rPr>
          <w:rFonts w:ascii="Times New Roman" w:eastAsia="Times New Roman" w:hAnsi="Times New Roman" w:cs="Times New Roman"/>
          <w:kern w:val="0"/>
          <w14:ligatures w14:val="none"/>
        </w:rPr>
      </w:pPr>
      <w:r w:rsidRPr="00BF3273">
        <w:rPr>
          <w:rFonts w:ascii="Times New Roman" w:eastAsia="Times New Roman" w:hAnsi="Times New Roman" w:cs="Times New Roman"/>
          <w:noProof/>
          <w:kern w:val="0"/>
        </w:rPr>
        <w:pict w14:anchorId="1FEEEB72">
          <v:rect id="_x0000_i1107" alt="" style="width:468pt;height:.05pt;mso-width-percent:0;mso-height-percent:0;mso-width-percent:0;mso-height-percent:0" o:hralign="center" o:hrstd="t" o:hr="t" fillcolor="#a0a0a0" stroked="f"/>
        </w:pict>
      </w:r>
    </w:p>
    <w:p w14:paraId="332AB2BF" w14:textId="77777777" w:rsidR="00D3326B" w:rsidRPr="00D3326B" w:rsidRDefault="00D3326B" w:rsidP="00D332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326B">
        <w:rPr>
          <w:rFonts w:ascii="Times New Roman" w:eastAsia="Times New Roman" w:hAnsi="Times New Roman" w:cs="Times New Roman"/>
          <w:b/>
          <w:bCs/>
          <w:kern w:val="0"/>
          <w:sz w:val="36"/>
          <w:szCs w:val="36"/>
          <w14:ligatures w14:val="none"/>
        </w:rPr>
        <w:t>Option 2: Common Board-Governance Taxonomy</w:t>
      </w:r>
    </w:p>
    <w:p w14:paraId="0818147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Agencies could adopt a shared taxonomy defining board verbs.</w:t>
      </w:r>
    </w:p>
    <w:p w14:paraId="1ED5F339"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Examples: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490"/>
        <w:gridCol w:w="7854"/>
      </w:tblGrid>
      <w:tr w:rsidR="00D3326B" w:rsidRPr="00D3326B" w14:paraId="4CAFAB5B"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E08AF5" w14:textId="77777777" w:rsidR="00D3326B" w:rsidRPr="00D3326B" w:rsidRDefault="00D3326B" w:rsidP="00D3326B">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3326B">
              <w:rPr>
                <w:rFonts w:ascii="Times New Roman" w:eastAsia="Times New Roman" w:hAnsi="Times New Roman" w:cs="Times New Roman"/>
                <w:b/>
                <w:bCs/>
                <w:kern w:val="0"/>
                <w14:ligatures w14:val="none"/>
              </w:rPr>
              <w:t>Verb</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3F83CB" w14:textId="77777777" w:rsidR="00D3326B" w:rsidRPr="00D3326B" w:rsidRDefault="00D3326B" w:rsidP="00D3326B">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3326B">
              <w:rPr>
                <w:rFonts w:ascii="Times New Roman" w:eastAsia="Times New Roman" w:hAnsi="Times New Roman" w:cs="Times New Roman"/>
                <w:b/>
                <w:bCs/>
                <w:kern w:val="0"/>
                <w14:ligatures w14:val="none"/>
              </w:rPr>
              <w:t>Meaning</w:t>
            </w:r>
          </w:p>
        </w:tc>
      </w:tr>
      <w:tr w:rsidR="00D3326B" w:rsidRPr="00D3326B" w14:paraId="1AB9E55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4DAD22"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Approve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F7BA7B"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Formal board or committee decision required</w:t>
            </w:r>
          </w:p>
        </w:tc>
      </w:tr>
      <w:tr w:rsidR="00D3326B" w:rsidRPr="00D3326B" w14:paraId="4DE64D6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9F05BA"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Review</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AB9E5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Board or committee considers and discusses</w:t>
            </w:r>
          </w:p>
        </w:tc>
      </w:tr>
      <w:tr w:rsidR="00D3326B" w:rsidRPr="00D3326B" w14:paraId="54D0559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34C53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Receive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7F4D9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Board or committee is informed; no decision required</w:t>
            </w:r>
          </w:p>
        </w:tc>
      </w:tr>
      <w:tr w:rsidR="00D3326B" w:rsidRPr="00D3326B" w14:paraId="5E829C9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6FB953"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lastRenderedPageBreak/>
              <w:t>Oversee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258595"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Board monitors management execution through reporting and escalation</w:t>
            </w:r>
          </w:p>
        </w:tc>
      </w:tr>
      <w:tr w:rsidR="00D3326B" w:rsidRPr="00D3326B" w14:paraId="7F13368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BD2EA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Ensure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B4B86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Board oversees management and control framework; does not execute</w:t>
            </w:r>
          </w:p>
        </w:tc>
      </w:tr>
      <w:tr w:rsidR="00D3326B" w:rsidRPr="00D3326B" w14:paraId="6D976B7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200DE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Certify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C2DCA5"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Formal attestation by board or management</w:t>
            </w:r>
          </w:p>
        </w:tc>
      </w:tr>
      <w:tr w:rsidR="00D3326B" w:rsidRPr="00D3326B" w14:paraId="0A08F36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02F060"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Escalate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CC709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Management must bring specified matters to board or committee</w:t>
            </w:r>
          </w:p>
        </w:tc>
      </w:tr>
      <w:tr w:rsidR="00D3326B" w:rsidRPr="00D3326B" w14:paraId="7602704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6F85E0"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Remediate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6F9DB9"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Management fixes; board oversees progress</w:t>
            </w:r>
          </w:p>
        </w:tc>
      </w:tr>
    </w:tbl>
    <w:p w14:paraId="569A958E"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Advantages:</w:t>
      </w:r>
    </w:p>
    <w:p w14:paraId="03685E27" w14:textId="77777777" w:rsidR="00D3326B" w:rsidRPr="00D3326B" w:rsidRDefault="00D3326B" w:rsidP="00D3326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clarifies board-management boundary;</w:t>
      </w:r>
    </w:p>
    <w:p w14:paraId="55F0B16B" w14:textId="77777777" w:rsidR="00D3326B" w:rsidRPr="00D3326B" w:rsidRDefault="00D3326B" w:rsidP="00D3326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reduces examiner-by-examiner variation;</w:t>
      </w:r>
    </w:p>
    <w:p w14:paraId="0DD33901" w14:textId="77777777" w:rsidR="00D3326B" w:rsidRPr="00D3326B" w:rsidRDefault="00D3326B" w:rsidP="00D3326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can be applied across domains.</w:t>
      </w:r>
    </w:p>
    <w:p w14:paraId="7B3E9AC0"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Disadvantages:</w:t>
      </w:r>
    </w:p>
    <w:p w14:paraId="2BC3AB37" w14:textId="77777777" w:rsidR="00D3326B" w:rsidRPr="00D3326B" w:rsidRDefault="00D3326B" w:rsidP="00D3326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agencies may resist narrowing flexible supervisory language;</w:t>
      </w:r>
    </w:p>
    <w:p w14:paraId="0C8C3360" w14:textId="77777777" w:rsidR="00D3326B" w:rsidRPr="00D3326B" w:rsidRDefault="00D3326B" w:rsidP="00D3326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requires careful treatment of statutory terms.</w:t>
      </w:r>
    </w:p>
    <w:p w14:paraId="799BADE8" w14:textId="77777777" w:rsidR="00D3326B" w:rsidRPr="00D3326B" w:rsidRDefault="00BF3273" w:rsidP="00D3326B">
      <w:pPr>
        <w:spacing w:after="0" w:line="240" w:lineRule="auto"/>
        <w:rPr>
          <w:rFonts w:ascii="Times New Roman" w:eastAsia="Times New Roman" w:hAnsi="Times New Roman" w:cs="Times New Roman"/>
          <w:kern w:val="0"/>
          <w14:ligatures w14:val="none"/>
        </w:rPr>
      </w:pPr>
      <w:r w:rsidRPr="00BF3273">
        <w:rPr>
          <w:rFonts w:ascii="Times New Roman" w:eastAsia="Times New Roman" w:hAnsi="Times New Roman" w:cs="Times New Roman"/>
          <w:noProof/>
          <w:kern w:val="0"/>
        </w:rPr>
        <w:pict w14:anchorId="09F92A7F">
          <v:rect id="_x0000_i1106" alt="" style="width:468pt;height:.05pt;mso-width-percent:0;mso-height-percent:0;mso-width-percent:0;mso-height-percent:0" o:hralign="center" o:hrstd="t" o:hr="t" fillcolor="#a0a0a0" stroked="f"/>
        </w:pict>
      </w:r>
    </w:p>
    <w:p w14:paraId="646B9AC9" w14:textId="77777777" w:rsidR="00D3326B" w:rsidRPr="00D3326B" w:rsidRDefault="00D3326B" w:rsidP="00D332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326B">
        <w:rPr>
          <w:rFonts w:ascii="Times New Roman" w:eastAsia="Times New Roman" w:hAnsi="Times New Roman" w:cs="Times New Roman"/>
          <w:b/>
          <w:bCs/>
          <w:kern w:val="0"/>
          <w:sz w:val="36"/>
          <w:szCs w:val="36"/>
          <w14:ligatures w14:val="none"/>
        </w:rPr>
        <w:t>Option 3: Committee Equivalence Rule</w:t>
      </w:r>
    </w:p>
    <w:p w14:paraId="0F1DF474"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Agencies could state that, unless expressly prohibited, a board obligation may be satisfied by a duly chartered board committee with appropriate authority, expertise, independence, and reporting to the full board.</w:t>
      </w:r>
    </w:p>
    <w:p w14:paraId="0B37BB0B"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Advantages:</w:t>
      </w:r>
    </w:p>
    <w:p w14:paraId="740F519C" w14:textId="77777777" w:rsidR="00D3326B" w:rsidRPr="00D3326B" w:rsidRDefault="00D3326B" w:rsidP="00D3326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reduces duplicative full-board approvals;</w:t>
      </w:r>
    </w:p>
    <w:p w14:paraId="0ABACBDB" w14:textId="77777777" w:rsidR="00D3326B" w:rsidRPr="00D3326B" w:rsidRDefault="00D3326B" w:rsidP="00D3326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supports specialization;</w:t>
      </w:r>
    </w:p>
    <w:p w14:paraId="3B2B3F8A" w14:textId="77777777" w:rsidR="00D3326B" w:rsidRPr="00D3326B" w:rsidRDefault="00D3326B" w:rsidP="00D3326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aligns with how boards actually operate.</w:t>
      </w:r>
    </w:p>
    <w:p w14:paraId="053166B4"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Disadvantages:</w:t>
      </w:r>
    </w:p>
    <w:p w14:paraId="533DCB80" w14:textId="77777777" w:rsidR="00D3326B" w:rsidRPr="00D3326B" w:rsidRDefault="00D3326B" w:rsidP="00D3326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some may worry about dilution of full-board accountability;</w:t>
      </w:r>
    </w:p>
    <w:p w14:paraId="04B4CB9D" w14:textId="77777777" w:rsidR="00D3326B" w:rsidRPr="00D3326B" w:rsidRDefault="00D3326B" w:rsidP="00D3326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requires clear escalation rules.</w:t>
      </w:r>
    </w:p>
    <w:p w14:paraId="26F3FEE8" w14:textId="77777777" w:rsidR="00D3326B" w:rsidRPr="00D3326B" w:rsidRDefault="00BF3273" w:rsidP="00D3326B">
      <w:pPr>
        <w:spacing w:after="0" w:line="240" w:lineRule="auto"/>
        <w:rPr>
          <w:rFonts w:ascii="Times New Roman" w:eastAsia="Times New Roman" w:hAnsi="Times New Roman" w:cs="Times New Roman"/>
          <w:kern w:val="0"/>
          <w14:ligatures w14:val="none"/>
        </w:rPr>
      </w:pPr>
      <w:r w:rsidRPr="00BF3273">
        <w:rPr>
          <w:rFonts w:ascii="Times New Roman" w:eastAsia="Times New Roman" w:hAnsi="Times New Roman" w:cs="Times New Roman"/>
          <w:noProof/>
          <w:kern w:val="0"/>
        </w:rPr>
        <w:pict w14:anchorId="50334F03">
          <v:rect id="_x0000_i1105" alt="" style="width:468pt;height:.05pt;mso-width-percent:0;mso-height-percent:0;mso-width-percent:0;mso-height-percent:0" o:hralign="center" o:hrstd="t" o:hr="t" fillcolor="#a0a0a0" stroked="f"/>
        </w:pict>
      </w:r>
    </w:p>
    <w:p w14:paraId="7986DEF2" w14:textId="77777777" w:rsidR="00D3326B" w:rsidRPr="00D3326B" w:rsidRDefault="00D3326B" w:rsidP="00D332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326B">
        <w:rPr>
          <w:rFonts w:ascii="Times New Roman" w:eastAsia="Times New Roman" w:hAnsi="Times New Roman" w:cs="Times New Roman"/>
          <w:b/>
          <w:bCs/>
          <w:kern w:val="0"/>
          <w:sz w:val="36"/>
          <w:szCs w:val="36"/>
          <w14:ligatures w14:val="none"/>
        </w:rPr>
        <w:t>Option 4: Unified Resilience Planning</w:t>
      </w:r>
    </w:p>
    <w:p w14:paraId="4623F3DB"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lastRenderedPageBreak/>
        <w:t>Agencies could consolidate governance for capital stress testing, liquidity stress testing, contingency funding, recovery planning, resolution planning, cyber incident response, and business continuity into a common resilience-planning architecture.</w:t>
      </w:r>
    </w:p>
    <w:p w14:paraId="6C4F01D5"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Advantages:</w:t>
      </w:r>
    </w:p>
    <w:p w14:paraId="2E062A16" w14:textId="77777777" w:rsidR="00D3326B" w:rsidRPr="00D3326B" w:rsidRDefault="00D3326B" w:rsidP="00D3326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targets one of the densest areas of duplication;</w:t>
      </w:r>
    </w:p>
    <w:p w14:paraId="3D896270" w14:textId="77777777" w:rsidR="00D3326B" w:rsidRPr="00D3326B" w:rsidRDefault="00D3326B" w:rsidP="00D3326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improves board comprehension;</w:t>
      </w:r>
    </w:p>
    <w:p w14:paraId="5A92315C" w14:textId="77777777" w:rsidR="00D3326B" w:rsidRPr="00D3326B" w:rsidRDefault="00D3326B" w:rsidP="00D3326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supports horizontal supervision.</w:t>
      </w:r>
    </w:p>
    <w:p w14:paraId="357C8BFC"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Disadvantages:</w:t>
      </w:r>
    </w:p>
    <w:p w14:paraId="06131C2A" w14:textId="77777777" w:rsidR="00D3326B" w:rsidRPr="00D3326B" w:rsidRDefault="00D3326B" w:rsidP="00D3326B">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complex to implement;</w:t>
      </w:r>
    </w:p>
    <w:p w14:paraId="262C3407" w14:textId="77777777" w:rsidR="00D3326B" w:rsidRPr="00D3326B" w:rsidRDefault="00D3326B" w:rsidP="00D3326B">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involves multiple legal regimes and agencies.</w:t>
      </w:r>
    </w:p>
    <w:p w14:paraId="08D4AFF0" w14:textId="77777777" w:rsidR="00D3326B" w:rsidRPr="00D3326B" w:rsidRDefault="00BF3273" w:rsidP="00D3326B">
      <w:pPr>
        <w:spacing w:after="0" w:line="240" w:lineRule="auto"/>
        <w:rPr>
          <w:rFonts w:ascii="Times New Roman" w:eastAsia="Times New Roman" w:hAnsi="Times New Roman" w:cs="Times New Roman"/>
          <w:kern w:val="0"/>
          <w14:ligatures w14:val="none"/>
        </w:rPr>
      </w:pPr>
      <w:r w:rsidRPr="00BF3273">
        <w:rPr>
          <w:rFonts w:ascii="Times New Roman" w:eastAsia="Times New Roman" w:hAnsi="Times New Roman" w:cs="Times New Roman"/>
          <w:noProof/>
          <w:kern w:val="0"/>
        </w:rPr>
        <w:pict w14:anchorId="07A08236">
          <v:rect id="_x0000_i1104" alt="" style="width:468pt;height:.05pt;mso-width-percent:0;mso-height-percent:0;mso-width-percent:0;mso-height-percent:0" o:hralign="center" o:hrstd="t" o:hr="t" fillcolor="#a0a0a0" stroked="f"/>
        </w:pict>
      </w:r>
    </w:p>
    <w:p w14:paraId="626E30EC" w14:textId="77777777" w:rsidR="00D3326B" w:rsidRPr="00D3326B" w:rsidRDefault="00D3326B" w:rsidP="00D332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326B">
        <w:rPr>
          <w:rFonts w:ascii="Times New Roman" w:eastAsia="Times New Roman" w:hAnsi="Times New Roman" w:cs="Times New Roman"/>
          <w:b/>
          <w:bCs/>
          <w:kern w:val="0"/>
          <w:sz w:val="36"/>
          <w:szCs w:val="36"/>
          <w14:ligatures w14:val="none"/>
        </w:rPr>
        <w:t>Option 5: Board Reporting Rationalization</w:t>
      </w:r>
    </w:p>
    <w:p w14:paraId="3857CA6A"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Agencies could encourage or require banks to rationalize board reporting by distinguishing:</w:t>
      </w:r>
    </w:p>
    <w:p w14:paraId="1AFD27F1" w14:textId="77777777" w:rsidR="00D3326B" w:rsidRPr="00D3326B" w:rsidRDefault="00D3326B" w:rsidP="00D3326B">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matters requiring decision;</w:t>
      </w:r>
    </w:p>
    <w:p w14:paraId="7CF1FD72" w14:textId="77777777" w:rsidR="00D3326B" w:rsidRPr="00D3326B" w:rsidRDefault="00D3326B" w:rsidP="00D3326B">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matters requiring challenge;</w:t>
      </w:r>
    </w:p>
    <w:p w14:paraId="6A9507C1" w14:textId="77777777" w:rsidR="00D3326B" w:rsidRPr="00D3326B" w:rsidRDefault="00D3326B" w:rsidP="00D3326B">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matters requiring escalation;</w:t>
      </w:r>
    </w:p>
    <w:p w14:paraId="7257755D" w14:textId="77777777" w:rsidR="00D3326B" w:rsidRPr="00D3326B" w:rsidRDefault="00D3326B" w:rsidP="00D3326B">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matters provided for information only.</w:t>
      </w:r>
    </w:p>
    <w:p w14:paraId="203E7376"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Advantages:</w:t>
      </w:r>
    </w:p>
    <w:p w14:paraId="16E04751" w14:textId="77777777" w:rsidR="00D3326B" w:rsidRPr="00D3326B" w:rsidRDefault="00D3326B" w:rsidP="00D3326B">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directly reduces board-package burden;</w:t>
      </w:r>
    </w:p>
    <w:p w14:paraId="351CB2E9" w14:textId="77777777" w:rsidR="00D3326B" w:rsidRPr="00D3326B" w:rsidRDefault="00D3326B" w:rsidP="00D3326B">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improves governance quality;</w:t>
      </w:r>
    </w:p>
    <w:p w14:paraId="29086F3C" w14:textId="77777777" w:rsidR="00D3326B" w:rsidRPr="00D3326B" w:rsidRDefault="00D3326B" w:rsidP="00D3326B">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can be implemented through supervision without major rulemaking.</w:t>
      </w:r>
    </w:p>
    <w:p w14:paraId="43A01B6D"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b/>
          <w:bCs/>
          <w:kern w:val="0"/>
          <w14:ligatures w14:val="none"/>
        </w:rPr>
        <w:t>Disadvantages:</w:t>
      </w:r>
    </w:p>
    <w:p w14:paraId="7048FB23" w14:textId="77777777" w:rsidR="00D3326B" w:rsidRPr="00D3326B" w:rsidRDefault="00D3326B" w:rsidP="00D3326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may be hard to supervise consistently;</w:t>
      </w:r>
    </w:p>
    <w:p w14:paraId="3AD7660D" w14:textId="77777777" w:rsidR="00D3326B" w:rsidRPr="00D3326B" w:rsidRDefault="00D3326B" w:rsidP="00D3326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requires agencies to accept less routine reporting.</w:t>
      </w:r>
    </w:p>
    <w:p w14:paraId="7472CF9F" w14:textId="77777777" w:rsidR="00D3326B" w:rsidRPr="00D3326B" w:rsidRDefault="00BF3273" w:rsidP="00D3326B">
      <w:pPr>
        <w:spacing w:after="0" w:line="240" w:lineRule="auto"/>
        <w:rPr>
          <w:rFonts w:ascii="Times New Roman" w:eastAsia="Times New Roman" w:hAnsi="Times New Roman" w:cs="Times New Roman"/>
          <w:kern w:val="0"/>
          <w14:ligatures w14:val="none"/>
        </w:rPr>
      </w:pPr>
      <w:r w:rsidRPr="00BF3273">
        <w:rPr>
          <w:rFonts w:ascii="Times New Roman" w:eastAsia="Times New Roman" w:hAnsi="Times New Roman" w:cs="Times New Roman"/>
          <w:noProof/>
          <w:kern w:val="0"/>
        </w:rPr>
        <w:pict w14:anchorId="18BD0BC4">
          <v:rect id="_x0000_i1103" alt="" style="width:468pt;height:.05pt;mso-width-percent:0;mso-height-percent:0;mso-width-percent:0;mso-height-percent:0" o:hralign="center" o:hrstd="t" o:hr="t" fillcolor="#a0a0a0" stroked="f"/>
        </w:pict>
      </w:r>
    </w:p>
    <w:p w14:paraId="7393EADD" w14:textId="77777777" w:rsidR="00D3326B" w:rsidRPr="00D3326B" w:rsidRDefault="00D3326B" w:rsidP="00D332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3326B">
        <w:rPr>
          <w:rFonts w:ascii="Times New Roman" w:eastAsia="Times New Roman" w:hAnsi="Times New Roman" w:cs="Times New Roman"/>
          <w:b/>
          <w:bCs/>
          <w:kern w:val="36"/>
          <w:sz w:val="48"/>
          <w:szCs w:val="48"/>
          <w14:ligatures w14:val="none"/>
        </w:rPr>
        <w:t>X. Conclusion</w:t>
      </w:r>
    </w:p>
    <w:p w14:paraId="0CA613E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The accumulation of bank board obligations is a clear example of policy sludge. The problem is not that board oversight is unimportant. The problem is that federal banking law and supervision have repeatedly used the board as the governance endpoint for separate risk regimes without a common architecture.</w:t>
      </w:r>
    </w:p>
    <w:p w14:paraId="5A5642E2"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lastRenderedPageBreak/>
        <w:t>Over time, this has produced:</w:t>
      </w:r>
    </w:p>
    <w:p w14:paraId="3A50BA42" w14:textId="77777777" w:rsidR="00D3326B" w:rsidRPr="00D3326B" w:rsidRDefault="00D3326B" w:rsidP="00D3326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duplicative board approvals;</w:t>
      </w:r>
    </w:p>
    <w:p w14:paraId="46064DDE" w14:textId="77777777" w:rsidR="00D3326B" w:rsidRPr="00D3326B" w:rsidRDefault="00D3326B" w:rsidP="00D3326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overlapping committee responsibilities;</w:t>
      </w:r>
    </w:p>
    <w:p w14:paraId="7AE619F5" w14:textId="77777777" w:rsidR="00D3326B" w:rsidRPr="00D3326B" w:rsidRDefault="00D3326B" w:rsidP="00D3326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unclear board-management boundaries;</w:t>
      </w:r>
    </w:p>
    <w:p w14:paraId="687EC3D0" w14:textId="77777777" w:rsidR="00D3326B" w:rsidRPr="00D3326B" w:rsidRDefault="00D3326B" w:rsidP="00D3326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excessive reporting and minutes;</w:t>
      </w:r>
    </w:p>
    <w:p w14:paraId="622AED7C" w14:textId="77777777" w:rsidR="00D3326B" w:rsidRPr="00D3326B" w:rsidRDefault="00D3326B" w:rsidP="00D3326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multiple stress, contingency, recovery, and resolution frameworks;</w:t>
      </w:r>
    </w:p>
    <w:p w14:paraId="23E58F9B" w14:textId="77777777" w:rsidR="00D3326B" w:rsidRPr="00D3326B" w:rsidRDefault="00D3326B" w:rsidP="00D3326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repeated independence and training requirements;</w:t>
      </w:r>
    </w:p>
    <w:p w14:paraId="38C2F3D1" w14:textId="77777777" w:rsidR="00D3326B" w:rsidRPr="00D3326B" w:rsidRDefault="00D3326B" w:rsidP="00D3326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formalistic documentation that may not improve substantive oversight.</w:t>
      </w:r>
    </w:p>
    <w:p w14:paraId="2A106FD8"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The most promising reform is not wholesale deregulation. It is architectural simplification.</w:t>
      </w:r>
    </w:p>
    <w:p w14:paraId="539F7FEB"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A credible reform program would:</w:t>
      </w:r>
    </w:p>
    <w:p w14:paraId="28FB3B08" w14:textId="77777777" w:rsidR="00D3326B" w:rsidRPr="00D3326B" w:rsidRDefault="00D3326B" w:rsidP="00D3326B">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inventory all federal board obligations;</w:t>
      </w:r>
    </w:p>
    <w:p w14:paraId="49146185" w14:textId="77777777" w:rsidR="00D3326B" w:rsidRPr="00D3326B" w:rsidRDefault="00D3326B" w:rsidP="00D3326B">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classify each obligation by source, verb, committee, cadence, and documentation;</w:t>
      </w:r>
    </w:p>
    <w:p w14:paraId="2DEE0D53" w14:textId="77777777" w:rsidR="00D3326B" w:rsidRPr="00D3326B" w:rsidRDefault="00D3326B" w:rsidP="00D3326B">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identify duplicate or overlapping requirements;</w:t>
      </w:r>
    </w:p>
    <w:p w14:paraId="2081F31C" w14:textId="77777777" w:rsidR="00D3326B" w:rsidRPr="00D3326B" w:rsidRDefault="00D3326B" w:rsidP="00D3326B">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clarify the board-management boundary;</w:t>
      </w:r>
    </w:p>
    <w:p w14:paraId="3458375D" w14:textId="77777777" w:rsidR="00D3326B" w:rsidRPr="00D3326B" w:rsidRDefault="00D3326B" w:rsidP="00D3326B">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permit committee equivalence where appropriate;</w:t>
      </w:r>
    </w:p>
    <w:p w14:paraId="3750BB7C" w14:textId="77777777" w:rsidR="00D3326B" w:rsidRPr="00D3326B" w:rsidRDefault="00D3326B" w:rsidP="00D3326B">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consolidate resilience, risk appetite, audit, cyber, and compliance reporting;</w:t>
      </w:r>
    </w:p>
    <w:p w14:paraId="2F354F93" w14:textId="77777777" w:rsidR="00D3326B" w:rsidRPr="00D3326B" w:rsidRDefault="00D3326B" w:rsidP="00D3326B">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preserve explicit statutory board decisions while reducing supervisory ritual around them.</w:t>
      </w:r>
    </w:p>
    <w:p w14:paraId="2B3A97D7" w14:textId="77777777" w:rsidR="00D3326B" w:rsidRPr="00D3326B" w:rsidRDefault="00D3326B" w:rsidP="00D3326B">
      <w:pPr>
        <w:spacing w:before="100" w:beforeAutospacing="1" w:after="100" w:afterAutospacing="1" w:line="240" w:lineRule="auto"/>
        <w:rPr>
          <w:rFonts w:ascii="Times New Roman" w:eastAsia="Times New Roman" w:hAnsi="Times New Roman" w:cs="Times New Roman"/>
          <w:kern w:val="0"/>
          <w14:ligatures w14:val="none"/>
        </w:rPr>
      </w:pPr>
      <w:r w:rsidRPr="00D3326B">
        <w:rPr>
          <w:rFonts w:ascii="Times New Roman" w:eastAsia="Times New Roman" w:hAnsi="Times New Roman" w:cs="Times New Roman"/>
          <w:kern w:val="0"/>
          <w14:ligatures w14:val="none"/>
        </w:rPr>
        <w:t>The end state should be a board-governance regime that is clearer, more risk-based, more accountable, and less burdened by accumulated procedural sludge.</w:t>
      </w:r>
    </w:p>
    <w:p w14:paraId="489EFB03" w14:textId="77777777" w:rsidR="000A1707" w:rsidRDefault="000A1707"/>
    <w:sectPr w:rsidR="000A17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630"/>
    <w:multiLevelType w:val="multilevel"/>
    <w:tmpl w:val="EC40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21FEC"/>
    <w:multiLevelType w:val="multilevel"/>
    <w:tmpl w:val="B198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E4B3A"/>
    <w:multiLevelType w:val="multilevel"/>
    <w:tmpl w:val="71B4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34B71"/>
    <w:multiLevelType w:val="multilevel"/>
    <w:tmpl w:val="DB20D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E419EB"/>
    <w:multiLevelType w:val="multilevel"/>
    <w:tmpl w:val="1368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E58F8"/>
    <w:multiLevelType w:val="multilevel"/>
    <w:tmpl w:val="E142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27564"/>
    <w:multiLevelType w:val="multilevel"/>
    <w:tmpl w:val="9918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C7BEB"/>
    <w:multiLevelType w:val="multilevel"/>
    <w:tmpl w:val="8558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B5FF0"/>
    <w:multiLevelType w:val="multilevel"/>
    <w:tmpl w:val="744E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C6C72"/>
    <w:multiLevelType w:val="multilevel"/>
    <w:tmpl w:val="58C8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A2B9F"/>
    <w:multiLevelType w:val="multilevel"/>
    <w:tmpl w:val="51AA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410548"/>
    <w:multiLevelType w:val="multilevel"/>
    <w:tmpl w:val="AC8C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D24453"/>
    <w:multiLevelType w:val="multilevel"/>
    <w:tmpl w:val="D9CC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F20546"/>
    <w:multiLevelType w:val="multilevel"/>
    <w:tmpl w:val="F3B6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2E5BC1"/>
    <w:multiLevelType w:val="multilevel"/>
    <w:tmpl w:val="9F70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DF57DE"/>
    <w:multiLevelType w:val="multilevel"/>
    <w:tmpl w:val="6C58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EF4214"/>
    <w:multiLevelType w:val="multilevel"/>
    <w:tmpl w:val="6480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121A8D"/>
    <w:multiLevelType w:val="multilevel"/>
    <w:tmpl w:val="7168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A3500C"/>
    <w:multiLevelType w:val="multilevel"/>
    <w:tmpl w:val="6172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E21796"/>
    <w:multiLevelType w:val="multilevel"/>
    <w:tmpl w:val="1D84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745F52"/>
    <w:multiLevelType w:val="multilevel"/>
    <w:tmpl w:val="2CA0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AE47AD"/>
    <w:multiLevelType w:val="multilevel"/>
    <w:tmpl w:val="D5F6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85577D"/>
    <w:multiLevelType w:val="multilevel"/>
    <w:tmpl w:val="4D70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2B5B93"/>
    <w:multiLevelType w:val="multilevel"/>
    <w:tmpl w:val="E2987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4F2895"/>
    <w:multiLevelType w:val="multilevel"/>
    <w:tmpl w:val="3BEA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E41480"/>
    <w:multiLevelType w:val="multilevel"/>
    <w:tmpl w:val="2B30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38140F"/>
    <w:multiLevelType w:val="multilevel"/>
    <w:tmpl w:val="69AE9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175378F"/>
    <w:multiLevelType w:val="multilevel"/>
    <w:tmpl w:val="6CF6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AB2E40"/>
    <w:multiLevelType w:val="multilevel"/>
    <w:tmpl w:val="1A32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24328C"/>
    <w:multiLevelType w:val="multilevel"/>
    <w:tmpl w:val="CD5E4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9415FC8"/>
    <w:multiLevelType w:val="multilevel"/>
    <w:tmpl w:val="6824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413D44"/>
    <w:multiLevelType w:val="multilevel"/>
    <w:tmpl w:val="35BE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BE7711"/>
    <w:multiLevelType w:val="multilevel"/>
    <w:tmpl w:val="2538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186399"/>
    <w:multiLevelType w:val="multilevel"/>
    <w:tmpl w:val="7012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BD167B"/>
    <w:multiLevelType w:val="multilevel"/>
    <w:tmpl w:val="6082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E047AB"/>
    <w:multiLevelType w:val="multilevel"/>
    <w:tmpl w:val="4750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085DE8"/>
    <w:multiLevelType w:val="multilevel"/>
    <w:tmpl w:val="D3F8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1A2258"/>
    <w:multiLevelType w:val="multilevel"/>
    <w:tmpl w:val="9632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CA0061"/>
    <w:multiLevelType w:val="multilevel"/>
    <w:tmpl w:val="59301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20656C8"/>
    <w:multiLevelType w:val="multilevel"/>
    <w:tmpl w:val="23C8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301A02"/>
    <w:multiLevelType w:val="multilevel"/>
    <w:tmpl w:val="C79E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9B09D3"/>
    <w:multiLevelType w:val="multilevel"/>
    <w:tmpl w:val="432E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A02549"/>
    <w:multiLevelType w:val="multilevel"/>
    <w:tmpl w:val="4D3A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1811A1"/>
    <w:multiLevelType w:val="multilevel"/>
    <w:tmpl w:val="F7DC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897652"/>
    <w:multiLevelType w:val="multilevel"/>
    <w:tmpl w:val="F2F4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E975D2"/>
    <w:multiLevelType w:val="multilevel"/>
    <w:tmpl w:val="B1BA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2309D5"/>
    <w:multiLevelType w:val="multilevel"/>
    <w:tmpl w:val="CF4E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585DC9"/>
    <w:multiLevelType w:val="multilevel"/>
    <w:tmpl w:val="7560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785147"/>
    <w:multiLevelType w:val="multilevel"/>
    <w:tmpl w:val="922A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114CA"/>
    <w:multiLevelType w:val="multilevel"/>
    <w:tmpl w:val="9ACC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4B44EB"/>
    <w:multiLevelType w:val="multilevel"/>
    <w:tmpl w:val="7632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E200F0"/>
    <w:multiLevelType w:val="multilevel"/>
    <w:tmpl w:val="32AA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9F7AD9"/>
    <w:multiLevelType w:val="multilevel"/>
    <w:tmpl w:val="367C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135837"/>
    <w:multiLevelType w:val="multilevel"/>
    <w:tmpl w:val="0DE6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5F53D3"/>
    <w:multiLevelType w:val="multilevel"/>
    <w:tmpl w:val="1334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BA680F"/>
    <w:multiLevelType w:val="multilevel"/>
    <w:tmpl w:val="87FC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892EE9"/>
    <w:multiLevelType w:val="multilevel"/>
    <w:tmpl w:val="95460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D7C4D8A"/>
    <w:multiLevelType w:val="multilevel"/>
    <w:tmpl w:val="E764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FA2AF7"/>
    <w:multiLevelType w:val="multilevel"/>
    <w:tmpl w:val="1958C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E415515"/>
    <w:multiLevelType w:val="multilevel"/>
    <w:tmpl w:val="9714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FB3D6B"/>
    <w:multiLevelType w:val="multilevel"/>
    <w:tmpl w:val="DE7C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0D4FD4"/>
    <w:multiLevelType w:val="multilevel"/>
    <w:tmpl w:val="564A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4D5EF1"/>
    <w:multiLevelType w:val="multilevel"/>
    <w:tmpl w:val="3D10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C072AC"/>
    <w:multiLevelType w:val="multilevel"/>
    <w:tmpl w:val="0D06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B12379"/>
    <w:multiLevelType w:val="multilevel"/>
    <w:tmpl w:val="38B2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331352"/>
    <w:multiLevelType w:val="multilevel"/>
    <w:tmpl w:val="EA48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7F6689"/>
    <w:multiLevelType w:val="multilevel"/>
    <w:tmpl w:val="A5FA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A059B7"/>
    <w:multiLevelType w:val="multilevel"/>
    <w:tmpl w:val="1EE2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141957"/>
    <w:multiLevelType w:val="multilevel"/>
    <w:tmpl w:val="AF68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B54770"/>
    <w:multiLevelType w:val="multilevel"/>
    <w:tmpl w:val="BC14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56B791F"/>
    <w:multiLevelType w:val="multilevel"/>
    <w:tmpl w:val="DE7A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5E4190"/>
    <w:multiLevelType w:val="multilevel"/>
    <w:tmpl w:val="064C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A04BD0"/>
    <w:multiLevelType w:val="multilevel"/>
    <w:tmpl w:val="4BD4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D96C88"/>
    <w:multiLevelType w:val="multilevel"/>
    <w:tmpl w:val="D7CC5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F6D7841"/>
    <w:multiLevelType w:val="multilevel"/>
    <w:tmpl w:val="6984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4C6078"/>
    <w:multiLevelType w:val="multilevel"/>
    <w:tmpl w:val="46A6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9165F4"/>
    <w:multiLevelType w:val="multilevel"/>
    <w:tmpl w:val="28AE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E908FF"/>
    <w:multiLevelType w:val="multilevel"/>
    <w:tmpl w:val="A4A2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AC468B"/>
    <w:multiLevelType w:val="multilevel"/>
    <w:tmpl w:val="EC46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490D6D"/>
    <w:multiLevelType w:val="multilevel"/>
    <w:tmpl w:val="A23C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8C09C8"/>
    <w:multiLevelType w:val="multilevel"/>
    <w:tmpl w:val="FC34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CE51B4"/>
    <w:multiLevelType w:val="multilevel"/>
    <w:tmpl w:val="442A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516582">
    <w:abstractNumId w:val="60"/>
  </w:num>
  <w:num w:numId="2" w16cid:durableId="1863008608">
    <w:abstractNumId w:val="29"/>
  </w:num>
  <w:num w:numId="3" w16cid:durableId="2141998093">
    <w:abstractNumId w:val="55"/>
  </w:num>
  <w:num w:numId="4" w16cid:durableId="1029375328">
    <w:abstractNumId w:val="58"/>
  </w:num>
  <w:num w:numId="5" w16cid:durableId="39600041">
    <w:abstractNumId w:val="67"/>
  </w:num>
  <w:num w:numId="6" w16cid:durableId="807548974">
    <w:abstractNumId w:val="4"/>
  </w:num>
  <w:num w:numId="7" w16cid:durableId="1271474335">
    <w:abstractNumId w:val="79"/>
  </w:num>
  <w:num w:numId="8" w16cid:durableId="1876889960">
    <w:abstractNumId w:val="14"/>
  </w:num>
  <w:num w:numId="9" w16cid:durableId="152382935">
    <w:abstractNumId w:val="1"/>
  </w:num>
  <w:num w:numId="10" w16cid:durableId="1346008694">
    <w:abstractNumId w:val="66"/>
  </w:num>
  <w:num w:numId="11" w16cid:durableId="1303661006">
    <w:abstractNumId w:val="59"/>
  </w:num>
  <w:num w:numId="12" w16cid:durableId="1963072491">
    <w:abstractNumId w:val="41"/>
  </w:num>
  <w:num w:numId="13" w16cid:durableId="549848773">
    <w:abstractNumId w:val="39"/>
  </w:num>
  <w:num w:numId="14" w16cid:durableId="627518168">
    <w:abstractNumId w:val="63"/>
  </w:num>
  <w:num w:numId="15" w16cid:durableId="669647401">
    <w:abstractNumId w:val="72"/>
  </w:num>
  <w:num w:numId="16" w16cid:durableId="1508905407">
    <w:abstractNumId w:val="22"/>
  </w:num>
  <w:num w:numId="17" w16cid:durableId="720715664">
    <w:abstractNumId w:val="7"/>
  </w:num>
  <w:num w:numId="18" w16cid:durableId="1123890453">
    <w:abstractNumId w:val="31"/>
  </w:num>
  <w:num w:numId="19" w16cid:durableId="1950551638">
    <w:abstractNumId w:val="12"/>
  </w:num>
  <w:num w:numId="20" w16cid:durableId="319121064">
    <w:abstractNumId w:val="35"/>
  </w:num>
  <w:num w:numId="21" w16cid:durableId="1266423352">
    <w:abstractNumId w:val="10"/>
  </w:num>
  <w:num w:numId="22" w16cid:durableId="1763993638">
    <w:abstractNumId w:val="9"/>
  </w:num>
  <w:num w:numId="23" w16cid:durableId="1600945562">
    <w:abstractNumId w:val="46"/>
  </w:num>
  <w:num w:numId="24" w16cid:durableId="1672021960">
    <w:abstractNumId w:val="53"/>
  </w:num>
  <w:num w:numId="25" w16cid:durableId="1401444227">
    <w:abstractNumId w:val="30"/>
  </w:num>
  <w:num w:numId="26" w16cid:durableId="1986277240">
    <w:abstractNumId w:val="0"/>
  </w:num>
  <w:num w:numId="27" w16cid:durableId="1686250194">
    <w:abstractNumId w:val="52"/>
  </w:num>
  <w:num w:numId="28" w16cid:durableId="1230118239">
    <w:abstractNumId w:val="20"/>
  </w:num>
  <w:num w:numId="29" w16cid:durableId="202862560">
    <w:abstractNumId w:val="81"/>
  </w:num>
  <w:num w:numId="30" w16cid:durableId="604508377">
    <w:abstractNumId w:val="37"/>
  </w:num>
  <w:num w:numId="31" w16cid:durableId="2108765516">
    <w:abstractNumId w:val="6"/>
  </w:num>
  <w:num w:numId="32" w16cid:durableId="2108769856">
    <w:abstractNumId w:val="74"/>
  </w:num>
  <w:num w:numId="33" w16cid:durableId="1856455416">
    <w:abstractNumId w:val="45"/>
  </w:num>
  <w:num w:numId="34" w16cid:durableId="860968189">
    <w:abstractNumId w:val="62"/>
  </w:num>
  <w:num w:numId="35" w16cid:durableId="1685210407">
    <w:abstractNumId w:val="28"/>
  </w:num>
  <w:num w:numId="36" w16cid:durableId="878127864">
    <w:abstractNumId w:val="25"/>
  </w:num>
  <w:num w:numId="37" w16cid:durableId="856817803">
    <w:abstractNumId w:val="16"/>
  </w:num>
  <w:num w:numId="38" w16cid:durableId="1820422256">
    <w:abstractNumId w:val="2"/>
  </w:num>
  <w:num w:numId="39" w16cid:durableId="1324315682">
    <w:abstractNumId w:val="50"/>
  </w:num>
  <w:num w:numId="40" w16cid:durableId="672222083">
    <w:abstractNumId w:val="80"/>
  </w:num>
  <w:num w:numId="41" w16cid:durableId="1275095615">
    <w:abstractNumId w:val="18"/>
  </w:num>
  <w:num w:numId="42" w16cid:durableId="990907181">
    <w:abstractNumId w:val="47"/>
  </w:num>
  <w:num w:numId="43" w16cid:durableId="1876115060">
    <w:abstractNumId w:val="65"/>
  </w:num>
  <w:num w:numId="44" w16cid:durableId="2104450474">
    <w:abstractNumId w:val="27"/>
  </w:num>
  <w:num w:numId="45" w16cid:durableId="1562592022">
    <w:abstractNumId w:val="5"/>
  </w:num>
  <w:num w:numId="46" w16cid:durableId="1419869858">
    <w:abstractNumId w:val="76"/>
  </w:num>
  <w:num w:numId="47" w16cid:durableId="174611513">
    <w:abstractNumId w:val="70"/>
  </w:num>
  <w:num w:numId="48" w16cid:durableId="1185099205">
    <w:abstractNumId w:val="36"/>
  </w:num>
  <w:num w:numId="49" w16cid:durableId="1443189523">
    <w:abstractNumId w:val="32"/>
  </w:num>
  <w:num w:numId="50" w16cid:durableId="23293343">
    <w:abstractNumId w:val="49"/>
  </w:num>
  <w:num w:numId="51" w16cid:durableId="972712608">
    <w:abstractNumId w:val="57"/>
  </w:num>
  <w:num w:numId="52" w16cid:durableId="529073407">
    <w:abstractNumId w:val="54"/>
  </w:num>
  <w:num w:numId="53" w16cid:durableId="1616060665">
    <w:abstractNumId w:val="64"/>
  </w:num>
  <w:num w:numId="54" w16cid:durableId="69469787">
    <w:abstractNumId w:val="34"/>
  </w:num>
  <w:num w:numId="55" w16cid:durableId="1282303289">
    <w:abstractNumId w:val="11"/>
  </w:num>
  <w:num w:numId="56" w16cid:durableId="1999964205">
    <w:abstractNumId w:val="77"/>
  </w:num>
  <w:num w:numId="57" w16cid:durableId="652293837">
    <w:abstractNumId w:val="51"/>
  </w:num>
  <w:num w:numId="58" w16cid:durableId="1833981922">
    <w:abstractNumId w:val="21"/>
  </w:num>
  <w:num w:numId="59" w16cid:durableId="1703822770">
    <w:abstractNumId w:val="44"/>
  </w:num>
  <w:num w:numId="60" w16cid:durableId="167256347">
    <w:abstractNumId w:val="13"/>
  </w:num>
  <w:num w:numId="61" w16cid:durableId="373042985">
    <w:abstractNumId w:val="56"/>
  </w:num>
  <w:num w:numId="62" w16cid:durableId="1220048905">
    <w:abstractNumId w:val="71"/>
  </w:num>
  <w:num w:numId="63" w16cid:durableId="1578126156">
    <w:abstractNumId w:val="48"/>
  </w:num>
  <w:num w:numId="64" w16cid:durableId="865606234">
    <w:abstractNumId w:val="68"/>
  </w:num>
  <w:num w:numId="65" w16cid:durableId="1772818323">
    <w:abstractNumId w:val="23"/>
  </w:num>
  <w:num w:numId="66" w16cid:durableId="1104111018">
    <w:abstractNumId w:val="15"/>
  </w:num>
  <w:num w:numId="67" w16cid:durableId="252666702">
    <w:abstractNumId w:val="3"/>
  </w:num>
  <w:num w:numId="68" w16cid:durableId="834371163">
    <w:abstractNumId w:val="75"/>
  </w:num>
  <w:num w:numId="69" w16cid:durableId="1931352779">
    <w:abstractNumId w:val="73"/>
  </w:num>
  <w:num w:numId="70" w16cid:durableId="1572930874">
    <w:abstractNumId w:val="19"/>
  </w:num>
  <w:num w:numId="71" w16cid:durableId="1136337225">
    <w:abstractNumId w:val="33"/>
  </w:num>
  <w:num w:numId="72" w16cid:durableId="700669847">
    <w:abstractNumId w:val="8"/>
  </w:num>
  <w:num w:numId="73" w16cid:durableId="467625434">
    <w:abstractNumId w:val="69"/>
  </w:num>
  <w:num w:numId="74" w16cid:durableId="105657327">
    <w:abstractNumId w:val="43"/>
  </w:num>
  <w:num w:numId="75" w16cid:durableId="1735201427">
    <w:abstractNumId w:val="17"/>
  </w:num>
  <w:num w:numId="76" w16cid:durableId="871891122">
    <w:abstractNumId w:val="42"/>
  </w:num>
  <w:num w:numId="77" w16cid:durableId="1772776075">
    <w:abstractNumId w:val="61"/>
  </w:num>
  <w:num w:numId="78" w16cid:durableId="861433920">
    <w:abstractNumId w:val="38"/>
  </w:num>
  <w:num w:numId="79" w16cid:durableId="407770601">
    <w:abstractNumId w:val="24"/>
  </w:num>
  <w:num w:numId="80" w16cid:durableId="476336556">
    <w:abstractNumId w:val="40"/>
  </w:num>
  <w:num w:numId="81" w16cid:durableId="740835142">
    <w:abstractNumId w:val="78"/>
  </w:num>
  <w:num w:numId="82" w16cid:durableId="1247181911">
    <w:abstractNumId w:val="26"/>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26B"/>
    <w:rsid w:val="000A1707"/>
    <w:rsid w:val="002508A8"/>
    <w:rsid w:val="00BF3273"/>
    <w:rsid w:val="00D3326B"/>
    <w:rsid w:val="00EB3174"/>
    <w:rsid w:val="00EE5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6F130"/>
  <w15:chartTrackingRefBased/>
  <w15:docId w15:val="{D114FF74-7B30-BF49-B9F6-7673B2C0D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2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32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32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2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2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2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2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2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2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2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32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32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2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2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2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2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2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26B"/>
    <w:rPr>
      <w:rFonts w:eastAsiaTheme="majorEastAsia" w:cstheme="majorBidi"/>
      <w:color w:val="272727" w:themeColor="text1" w:themeTint="D8"/>
    </w:rPr>
  </w:style>
  <w:style w:type="paragraph" w:styleId="Title">
    <w:name w:val="Title"/>
    <w:basedOn w:val="Normal"/>
    <w:next w:val="Normal"/>
    <w:link w:val="TitleChar"/>
    <w:uiPriority w:val="10"/>
    <w:qFormat/>
    <w:rsid w:val="00D33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2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2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26B"/>
    <w:pPr>
      <w:spacing w:before="160"/>
      <w:jc w:val="center"/>
    </w:pPr>
    <w:rPr>
      <w:i/>
      <w:iCs/>
      <w:color w:val="404040" w:themeColor="text1" w:themeTint="BF"/>
    </w:rPr>
  </w:style>
  <w:style w:type="character" w:customStyle="1" w:styleId="QuoteChar">
    <w:name w:val="Quote Char"/>
    <w:basedOn w:val="DefaultParagraphFont"/>
    <w:link w:val="Quote"/>
    <w:uiPriority w:val="29"/>
    <w:rsid w:val="00D3326B"/>
    <w:rPr>
      <w:i/>
      <w:iCs/>
      <w:color w:val="404040" w:themeColor="text1" w:themeTint="BF"/>
    </w:rPr>
  </w:style>
  <w:style w:type="paragraph" w:styleId="ListParagraph">
    <w:name w:val="List Paragraph"/>
    <w:basedOn w:val="Normal"/>
    <w:uiPriority w:val="34"/>
    <w:qFormat/>
    <w:rsid w:val="00D3326B"/>
    <w:pPr>
      <w:ind w:left="720"/>
      <w:contextualSpacing/>
    </w:pPr>
  </w:style>
  <w:style w:type="character" w:styleId="IntenseEmphasis">
    <w:name w:val="Intense Emphasis"/>
    <w:basedOn w:val="DefaultParagraphFont"/>
    <w:uiPriority w:val="21"/>
    <w:qFormat/>
    <w:rsid w:val="00D3326B"/>
    <w:rPr>
      <w:i/>
      <w:iCs/>
      <w:color w:val="0F4761" w:themeColor="accent1" w:themeShade="BF"/>
    </w:rPr>
  </w:style>
  <w:style w:type="paragraph" w:styleId="IntenseQuote">
    <w:name w:val="Intense Quote"/>
    <w:basedOn w:val="Normal"/>
    <w:next w:val="Normal"/>
    <w:link w:val="IntenseQuoteChar"/>
    <w:uiPriority w:val="30"/>
    <w:qFormat/>
    <w:rsid w:val="00D332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26B"/>
    <w:rPr>
      <w:i/>
      <w:iCs/>
      <w:color w:val="0F4761" w:themeColor="accent1" w:themeShade="BF"/>
    </w:rPr>
  </w:style>
  <w:style w:type="character" w:styleId="IntenseReference">
    <w:name w:val="Intense Reference"/>
    <w:basedOn w:val="DefaultParagraphFont"/>
    <w:uiPriority w:val="32"/>
    <w:qFormat/>
    <w:rsid w:val="00D3326B"/>
    <w:rPr>
      <w:b/>
      <w:bCs/>
      <w:smallCaps/>
      <w:color w:val="0F4761" w:themeColor="accent1" w:themeShade="BF"/>
      <w:spacing w:val="5"/>
    </w:rPr>
  </w:style>
  <w:style w:type="paragraph" w:customStyle="1" w:styleId="msonormal0">
    <w:name w:val="msonormal"/>
    <w:basedOn w:val="Normal"/>
    <w:rsid w:val="00D3326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D3326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D3326B"/>
  </w:style>
  <w:style w:type="paragraph" w:customStyle="1" w:styleId="p3">
    <w:name w:val="p3"/>
    <w:basedOn w:val="Normal"/>
    <w:rsid w:val="00D3326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D3326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D3326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6">
    <w:name w:val="p6"/>
    <w:basedOn w:val="Normal"/>
    <w:rsid w:val="00D3326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D3326B"/>
  </w:style>
  <w:style w:type="paragraph" w:customStyle="1" w:styleId="p7">
    <w:name w:val="p7"/>
    <w:basedOn w:val="Normal"/>
    <w:rsid w:val="00D3326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D3326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55</Pages>
  <Words>10415</Words>
  <Characters>59371</Characters>
  <Application>Microsoft Office Word</Application>
  <DocSecurity>0</DocSecurity>
  <Lines>494</Lines>
  <Paragraphs>139</Paragraphs>
  <ScaleCrop>false</ScaleCrop>
  <Company/>
  <LinksUpToDate>false</LinksUpToDate>
  <CharactersWithSpaces>69647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Hsu</dc:creator>
  <cp:keywords/>
  <dc:description/>
  <cp:lastModifiedBy>Mike Hsu</cp:lastModifiedBy>
  <cp:revision>1</cp:revision>
  <dcterms:created xsi:type="dcterms:W3CDTF">2026-06-01T19:54:00Z</dcterms:created>
  <dcterms:modified xsi:type="dcterms:W3CDTF">2026-06-01T19:54:00Z</dcterms:modified>
</cp:coreProperties>
</file>