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150"/>
        <w:jc w:val="center"/>
      </w:pPr>
      <w:r>
        <w:rPr>
          <w:rFonts w:ascii="Arial" w:cs="Arial" w:eastAsia="Arial" w:hAnsi="Arial"/>
          <w:b/>
          <w:bCs/>
          <w:color w:val="1F3864"/>
          <w:sz w:val="44"/>
          <w:szCs w:val="44"/>
        </w:rPr>
        <w:t xml:space="preserve">Board Duties at Category I U.S. GSIBs</w:t>
      </w:r>
    </w:p>
    <w:p>
      <w:pPr>
        <w:spacing w:after="80"/>
        <w:jc w:val="center"/>
      </w:pPr>
      <w:r>
        <w:rPr>
          <w:rFonts w:ascii="Arial" w:cs="Arial" w:eastAsia="Arial" w:hAnsi="Arial"/>
          <w:b/>
          <w:bCs/>
          <w:color w:val="2E5496"/>
          <w:sz w:val="29"/>
          <w:szCs w:val="29"/>
        </w:rPr>
        <w:t xml:space="preserve">A Two-Layer Inventory: Binding Obligations and Supervisory Expectations</w:t>
      </w:r>
    </w:p>
    <w:p>
      <w:pPr>
        <w:spacing w:after="230"/>
        <w:jc w:val="center"/>
      </w:pPr>
      <w:r>
        <w:rPr>
          <w:rFonts w:ascii="Arial" w:cs="Arial" w:eastAsia="Arial" w:hAnsi="Arial"/>
          <w:i/>
          <w:iCs/>
          <w:color w:val="2E5496"/>
          <w:sz w:val="23"/>
          <w:szCs w:val="23"/>
        </w:rPr>
        <w:t xml:space="preserve">The eight U.S. GSIBs and their insured depository institution subsidiaries</w:t>
      </w:r>
    </w:p>
    <w:p>
      <w:pPr>
        <w:spacing w:after="60"/>
        <w:jc w:val="center"/>
      </w:pPr>
      <w:r>
        <w:rPr>
          <w:rFonts w:ascii="Arial" w:cs="Arial" w:eastAsia="Arial" w:hAnsi="Arial"/>
          <w:i/>
          <w:iCs/>
          <w:color w:val="595959"/>
          <w:sz w:val="20"/>
          <w:szCs w:val="20"/>
        </w:rPr>
        <w:t xml:space="preserve">Version 2.0 — with legal-force and supervisory-consequence dimensions, duplicate clusters, a burden model, a reform roadmap, and a verification table</w:t>
      </w:r>
    </w:p>
    <w:p>
      <w:pPr>
        <w:spacing w:after="460"/>
        <w:jc w:val="center"/>
      </w:pPr>
      <w:r>
        <w:rPr>
          <w:rFonts w:ascii="Arial" w:cs="Arial" w:eastAsia="Arial" w:hAnsi="Arial"/>
          <w:b/>
          <w:bCs/>
          <w:sz w:val="22"/>
          <w:szCs w:val="22"/>
        </w:rPr>
        <w:t xml:space="preserve">As of June 5, 2026</w:t>
      </w:r>
    </w:p>
    <w:p>
      <w:pPr>
        <w:spacing w:after="120"/>
        <w:jc w:val="center"/>
      </w:pPr>
      <w:r>
        <w:rPr>
          <w:rFonts w:ascii="Arial" w:cs="Arial" w:eastAsia="Arial" w:hAnsi="Arial"/>
          <w:i/>
          <w:iCs/>
          <w:color w:val="808080"/>
          <w:sz w:val="20"/>
          <w:szCs w:val="20"/>
        </w:rPr>
        <w:t xml:space="preserve">JPMorgan Chase · Bank of America · Citigroup · Wells Fargo · Goldman Sachs · Morgan Stanley · BNY · State Street</w:t>
      </w:r>
    </w:p>
    <w:p>
      <w:r>
        <w:br w:type="page"/>
      </w:r>
    </w:p>
    <w:p>
      <w:pPr>
        <w:spacing w:after="160" w:before="0"/>
      </w:pPr>
      <w:r>
        <w:rPr>
          <w:rFonts w:ascii="Arial" w:cs="Arial" w:eastAsia="Arial" w:hAnsi="Arial"/>
          <w:b/>
          <w:bCs/>
          <w:color w:val="1F3864"/>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120" w:before="0"/>
      </w:pPr>
      <w:r>
        <w:rPr>
          <w:rFonts w:ascii="Arial" w:cs="Arial" w:eastAsia="Arial" w:hAnsi="Arial"/>
          <w:sz w:val="22"/>
          <w:szCs w:val="22"/>
        </w:rPr>
        <w:t xml:space="preserve">This report consolidates the two layers of federal duty that bear on the boards of the eight Category I U.S. global systemically important banks (GSIBs) and their insured depository institution (IDI) subsidiaries. Part I catalogs binding obligations — statutes, regulations, and enforceable agency guidelines with the force of law. Part II catalogs supervisory expectations — guidance, examination standards, and rating frameworks that shape examinations but are not, by themselves, legally binding.</w:t>
      </w:r>
    </w:p>
    <w:p>
      <w:pPr>
        <w:spacing w:after="120" w:before="0"/>
      </w:pPr>
      <w:r>
        <w:rPr>
          <w:rFonts w:ascii="Arial" w:cs="Arial" w:eastAsia="Arial" w:hAnsi="Arial"/>
          <w:sz w:val="22"/>
          <w:szCs w:val="22"/>
        </w:rPr>
        <w:t xml:space="preserve">On the count. The headline number depends entirely on the unit of analysis, so this edition reports three figures rather than one: a narrow count of 55 in-force binding obligations; a medium count of 83 (binding obligations plus rule-backed expectations); and a broad count of 197 current board duties across both layers. The duties collapse into roughly 23 functional clusters — the unit most relevant to reform. None of these is an exact statutory tally; counting granularity (the risk committee is one duty or seven sub-duties) drives the spread.</w:t>
      </w:r>
    </w:p>
    <w:p>
      <w:pPr>
        <w:spacing w:after="120" w:before="0"/>
      </w:pPr>
      <w:r>
        <w:rPr>
          <w:rFonts w:ascii="Arial" w:cs="Arial" w:eastAsia="Arial" w:hAnsi="Arial"/>
          <w:sz w:val="22"/>
          <w:szCs w:val="22"/>
        </w:rPr>
        <w:t xml:space="preserve">Three dimensions, not two. Because binding-versus-guidance is too binary, every entry now carries a legal-force classification and a separate practical supervisory-consequence rating. A supervisory expectation may carry no legal force yet still drive an LFI rating, an MRA, and the contents of every board package — so its consequence can rival a rule's even though its legal force does not.</w:t>
      </w:r>
    </w:p>
    <w:p>
      <w:pPr>
        <w:spacing w:after="120" w:before="0"/>
      </w:pPr>
      <w:r>
        <w:rPr>
          <w:rFonts w:ascii="Arial" w:cs="Arial" w:eastAsia="Arial" w:hAnsi="Arial"/>
          <w:sz w:val="22"/>
          <w:szCs w:val="22"/>
        </w:rPr>
        <w:t xml:space="preserve">True redundancy versus parallel-but-justified. Not all overlap is sludge. Each overlapping duty is tagged: candidate redundancy (genuine duplication a reform could remove), parallel-but-justified (e.g., the FDIC's distinct interest in resolving the insured bank even if the parent's plan fails), or unique. The duplicate-cluster analysis in Part III separates the two so reformers target only the former.</w:t>
      </w:r>
    </w:p>
    <w:p>
      <w:pPr>
        <w:spacing w:after="120" w:before="0"/>
      </w:pPr>
      <w:r>
        <w:rPr>
          <w:rFonts w:ascii="Arial" w:cs="Arial" w:eastAsia="Arial" w:hAnsi="Arial"/>
          <w:sz w:val="22"/>
          <w:szCs w:val="22"/>
        </w:rPr>
        <w:t xml:space="preserve">Burden. The rebuilt board-hours model (Part III) is built from explicit cadence and preparation assumptions, expressed as a low–base–high range of roughly 289–446 director-hours per year, and clearly labeled illustrative. The reform-relevant figure is the duplication-driven increment, not the gross total, since most of these hours would exist under any sound governance regime.</w:t>
      </w:r>
    </w:p>
    <w:p>
      <w:pPr>
        <w:spacing w:after="120" w:before="0"/>
      </w:pPr>
      <w:r>
        <w:rPr>
          <w:rFonts w:ascii="Arial" w:cs="Arial" w:eastAsia="Arial" w:hAnsi="Arial"/>
          <w:sz w:val="22"/>
          <w:szCs w:val="22"/>
        </w:rPr>
        <w:t xml:space="preserve">Balance. A steelman of the opposing case (Part III) sets out why board expectations expanded after governance failures, why IDI separateness matters, and where consolidation could weaken accountability — so the reform argument is tested, not assumed.</w:t>
      </w:r>
    </w:p>
    <w:p>
      <w:pPr>
        <w:spacing w:after="120" w:before="0"/>
      </w:pPr>
      <w:r>
        <w:rPr>
          <w:rFonts w:ascii="Arial" w:cs="Arial" w:eastAsia="Arial" w:hAnsi="Arial"/>
          <w:sz w:val="22"/>
          <w:szCs w:val="22"/>
        </w:rPr>
        <w:t xml:space="preserve">Currency. The 2025–2026 period removed or left unimplemented several duties (OCC recovery planning rescinded; model-risk board duty dropped; FDIC 2023 corporate-governance proposal withdrawn; Dodd-Frank §956 and §165(m) unimplemented) and reweighted others (LFI recalibration; CFPB curtailment). The highest-stakes current-status claims are web-verified in the verification table; remaining rows carry source URLs where captured and are otherwise flagged unverified.</w:t>
      </w:r>
    </w:p>
    <w:p>
      <w:pPr>
        <w:pStyle w:val="Heading1"/>
      </w:pPr>
      <w:r>
        <w:t xml:space="preserve">Scope, method, and how to read this report</w:t>
      </w:r>
    </w:p>
    <w:p>
      <w:pPr>
        <w:spacing w:after="120" w:before="0"/>
      </w:pPr>
      <w:r>
        <w:rPr>
          <w:rFonts w:ascii="Arial" w:cs="Arial" w:eastAsia="Arial" w:hAnsi="Arial"/>
          <w:sz w:val="22"/>
          <w:szCs w:val="22"/>
        </w:rPr>
        <w:t xml:space="preserve">Scope. Both parts cover the boards of the eight Category I U.S. GSIBs (systemic-indicator score ≥130 bps under 12 CFR 217.402) and their IDI subsidiaries.</w:t>
      </w:r>
    </w:p>
    <w:p>
      <w:pPr>
        <w:spacing w:after="120" w:before="0"/>
      </w:pPr>
      <w:r>
        <w:rPr>
          <w:rFonts w:ascii="Arial" w:cs="Arial" w:eastAsia="Arial" w:hAnsi="Arial"/>
          <w:sz w:val="22"/>
          <w:szCs w:val="22"/>
        </w:rPr>
        <w:t xml:space="preserve">Method. Synthesized from multiple independent analyses per layer (for obligations: a citation-level inventory, a quantified inventory, a reform analysis, and a legal memo; for expectations: a source-verified inventory and a legal-conflict memo), then enriched with the legal-force, consequence, entity, cadence, cluster, redundancy, confidence, and source-URL fields described above.</w:t>
      </w:r>
    </w:p>
    <w:p>
      <w:pPr>
        <w:spacing w:after="120" w:before="0"/>
      </w:pPr>
      <w:r>
        <w:rPr>
          <w:rFonts w:ascii="Arial" w:cs="Arial" w:eastAsia="Arial" w:hAnsi="Arial"/>
          <w:sz w:val="22"/>
          <w:szCs w:val="22"/>
        </w:rPr>
        <w:t xml:space="preserve">Binding vs. guidance. Per the Interagency Statement Clarifying the Role of Supervisory Guidance, guidance does not carry the force of law; statutory guidelines (e.g., the OCC Heightened Standards under FDI Act §39), however, are enforceable and are classified accordingly. Part I lists binding duties; Part II lists the expectation layer; cross-references avoid double-listing.</w:t>
      </w:r>
    </w:p>
    <w:p>
      <w:pPr>
        <w:spacing w:after="120" w:before="0"/>
      </w:pPr>
      <w:r>
        <w:rPr>
          <w:rFonts w:ascii="Arial" w:cs="Arial" w:eastAsia="Arial" w:hAnsi="Arial"/>
          <w:sz w:val="22"/>
          <w:szCs w:val="22"/>
        </w:rPr>
        <w:t xml:space="preserve">How to read entries. Each entry shows its identifier, board level, and entity; the duty; the source, citation, and source URL; and a metadata line giving legal force, supervisory consequence, cadence, cluster, redundancy type, and confidence. Identifiers match the Excel workbook.</w:t>
      </w:r>
    </w:p>
    <w:p>
      <w:pPr>
        <w:pStyle w:val="Heading1"/>
      </w:pPr>
      <w:r>
        <w:t xml:space="preserve">Counting taxonomy</w:t>
      </w:r>
    </w:p>
    <w:p>
      <w:pPr>
        <w:spacing w:after="120" w:before="0"/>
      </w:pPr>
      <w:r>
        <w:rPr>
          <w:rFonts w:ascii="Arial" w:cs="Arial" w:eastAsia="Arial" w:hAnsi="Arial"/>
          <w:sz w:val="22"/>
          <w:szCs w:val="22"/>
        </w:rPr>
        <w:t xml:space="preserve">The same inventory yields very different totals depending on the unit chosen. The four bases below are reported side by side so the headline number cannot be cherry-picked.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760"/>
        <w:gridCol w:w="1200"/>
      </w:tblGrid>
      <w:tr>
        <w:tc>
          <w:tcPr>
            <w:tcW w:type="dxa" w:w="24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Basis</w:t>
            </w:r>
          </w:p>
        </w:tc>
        <w:tc>
          <w:tcPr>
            <w:tcW w:type="dxa" w:w="576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Definition</w:t>
            </w:r>
          </w:p>
        </w:tc>
        <w:tc>
          <w:tcPr>
            <w:tcW w:type="dxa" w:w="12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Count</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Narrow</w:t>
            </w:r>
          </w:p>
        </w:tc>
        <w:tc>
          <w:tcPr>
            <w:tcW w:type="dxa" w:w="57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In-force binding obligations only (statute, regulation, enforceable guideline). Excludes rescinded/unimplemented and all guidance.</w:t>
            </w:r>
          </w:p>
        </w:tc>
        <w:tc>
          <w:tcPr>
            <w:tcW w:type="dxa" w:w="1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55</w:t>
            </w:r>
          </w:p>
        </w:tc>
      </w:tr>
      <w:tr>
        <w:tc>
          <w:tcPr>
            <w:tcW w:type="dxa" w:w="24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Medium</w:t>
            </w:r>
          </w:p>
        </w:tc>
        <w:tc>
          <w:tcPr>
            <w:tcW w:type="dxa" w:w="57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In-force binding obligations + supervisory expectations that are themselves rule-backed (cross-listed regulations).</w:t>
            </w:r>
          </w:p>
        </w:tc>
        <w:tc>
          <w:tcPr>
            <w:tcW w:type="dxa" w:w="1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83</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Broad</w:t>
            </w:r>
          </w:p>
        </w:tc>
        <w:tc>
          <w:tcPr>
            <w:tcW w:type="dxa" w:w="57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All in-force board duties across both layers (binding obligations + all current supervisory expectations).</w:t>
            </w:r>
          </w:p>
        </w:tc>
        <w:tc>
          <w:tcPr>
            <w:tcW w:type="dxa" w:w="1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197</w:t>
            </w:r>
          </w:p>
        </w:tc>
      </w:tr>
      <w:tr>
        <w:tc>
          <w:tcPr>
            <w:tcW w:type="dxa" w:w="24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Consolidated duty-clusters</w:t>
            </w:r>
          </w:p>
        </w:tc>
        <w:tc>
          <w:tcPr>
            <w:tcW w:type="dxa" w:w="57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Distinct functional clusters the duties collapse into (the unit most relevant to reform).</w:t>
            </w:r>
          </w:p>
        </w:tc>
        <w:tc>
          <w:tcPr>
            <w:tcW w:type="dxa" w:w="1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23</w:t>
            </w:r>
          </w:p>
        </w:tc>
      </w:tr>
    </w:tbl>
    <w:p>
      <w:pPr>
        <w:spacing w:after="120" w:before="100"/>
      </w:pPr>
      <w:r>
        <w:rPr>
          <w:rFonts w:ascii="Arial" w:cs="Arial" w:eastAsia="Arial" w:hAnsi="Arial"/>
          <w:i/>
          <w:iCs/>
          <w:color w:val="595959"/>
          <w:sz w:val="19"/>
          <w:szCs w:val="19"/>
        </w:rPr>
        <w:t xml:space="preserve">Note: Counts depend on the unit of analysis and counting granularity (e.g., the risk committee is one duty or seven sub-duties). Figures are a relative map, not an exact statutory tally.</w:t>
      </w:r>
    </w:p>
    <w:p>
      <w:pPr>
        <w:pStyle w:val="Heading1"/>
        <w:spacing w:after="160"/>
      </w:pPr>
      <w:r>
        <w:rPr>
          <w:color w:val="1F3864"/>
        </w:rPr>
        <w:t xml:space="preserve">Part I — Binding Obligations</w:t>
      </w:r>
    </w:p>
    <w:p>
      <w:pPr>
        <w:spacing w:after="120" w:before="0"/>
      </w:pPr>
      <w:r>
        <w:rPr>
          <w:rFonts w:ascii="Arial" w:cs="Arial" w:eastAsia="Arial" w:hAnsi="Arial"/>
          <w:sz w:val="22"/>
          <w:szCs w:val="22"/>
        </w:rPr>
        <w:t xml:space="preserve">The 57 board obligations imposed by federal statute, regulation, and enforceable agency guideline, organized by domain. Regulation YY is the single largest source, followed by the OCC Heightened Standards and the SEC/SOX/listing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00"/>
        <w:gridCol w:w="1760"/>
      </w:tblGrid>
      <w:tr>
        <w:tc>
          <w:tcPr>
            <w:tcW w:type="dxa" w:w="60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Source</w:t>
            </w:r>
          </w:p>
        </w:tc>
        <w:tc>
          <w:tcPr>
            <w:tcW w:type="dxa" w:w="16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Approx. count</w:t>
            </w:r>
          </w:p>
        </w:tc>
        <w:tc>
          <w:tcPr>
            <w:tcW w:type="dxa" w:w="176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Note</w:t>
            </w:r>
          </w:p>
        </w:tc>
      </w:tr>
      <w:tr>
        <w:tc>
          <w:tcPr>
            <w:tcW w:type="dxa" w:w="60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Regulation YY (12 CFR part 252)</w:t>
            </w:r>
          </w:p>
        </w:tc>
        <w:tc>
          <w:tcPr>
            <w:tcW w:type="dxa" w:w="1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16</w:t>
            </w:r>
          </w:p>
        </w:tc>
        <w:tc>
          <w:tcPr>
            <w:tcW w:type="dxa" w:w="17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largest single source</w:t>
            </w:r>
          </w:p>
        </w:tc>
      </w:tr>
      <w:tr>
        <w:tc>
          <w:tcPr>
            <w:tcW w:type="dxa" w:w="60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OCC Heightened Standards (12 CFR 30 App. D)</w:t>
            </w:r>
          </w:p>
        </w:tc>
        <w:tc>
          <w:tcPr>
            <w:tcW w:type="dxa" w:w="1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13</w:t>
            </w:r>
          </w:p>
        </w:tc>
        <w:tc>
          <w:tcPr>
            <w:tcW w:type="dxa" w:w="17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enforceable guidelines</w:t>
            </w:r>
          </w:p>
        </w:tc>
      </w:tr>
      <w:tr>
        <w:tc>
          <w:tcPr>
            <w:tcW w:type="dxa" w:w="60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SEC / SOX / listing standards</w:t>
            </w:r>
          </w:p>
        </w:tc>
        <w:tc>
          <w:tcPr>
            <w:tcW w:type="dxa" w:w="1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11</w:t>
            </w:r>
          </w:p>
        </w:tc>
        <w:tc>
          <w:tcPr>
            <w:tcW w:type="dxa" w:w="17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issuer-level</w:t>
            </w:r>
          </w:p>
        </w:tc>
      </w:tr>
      <w:tr>
        <w:tc>
          <w:tcPr>
            <w:tcW w:type="dxa" w:w="60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FDICIA / Part 363</w:t>
            </w:r>
          </w:p>
        </w:tc>
        <w:tc>
          <w:tcPr>
            <w:tcW w:type="dxa" w:w="1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6</w:t>
            </w:r>
          </w:p>
        </w:tc>
        <w:tc>
          <w:tcPr>
            <w:tcW w:type="dxa" w:w="17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IDI audit</w:t>
            </w:r>
          </w:p>
        </w:tc>
      </w:tr>
      <w:tr>
        <w:tc>
          <w:tcPr>
            <w:tcW w:type="dxa" w:w="60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BSA/AML rules (31 CFR 1010)</w:t>
            </w:r>
          </w:p>
        </w:tc>
        <w:tc>
          <w:tcPr>
            <w:tcW w:type="dxa" w:w="1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5</w:t>
            </w:r>
          </w:p>
        </w:tc>
        <w:tc>
          <w:tcPr>
            <w:tcW w:type="dxa" w:w="17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
            </w:r>
          </w:p>
        </w:tc>
      </w:tr>
      <w:tr>
        <w:tc>
          <w:tcPr>
            <w:tcW w:type="dxa" w:w="60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Dodd-Frank statute (165, 952, 956, Volcker)</w:t>
            </w:r>
          </w:p>
        </w:tc>
        <w:tc>
          <w:tcPr>
            <w:tcW w:type="dxa" w:w="1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7</w:t>
            </w:r>
          </w:p>
        </w:tc>
        <w:tc>
          <w:tcPr>
            <w:tcW w:type="dxa" w:w="17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statutory anchors</w:t>
            </w:r>
          </w:p>
        </w:tc>
      </w:tr>
      <w:tr>
        <w:tc>
          <w:tcPr>
            <w:tcW w:type="dxa" w:w="60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Information security / cyber (GLBA, SEC, incident rule)</w:t>
            </w:r>
          </w:p>
        </w:tc>
        <w:tc>
          <w:tcPr>
            <w:tcW w:type="dxa" w:w="1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4</w:t>
            </w:r>
          </w:p>
        </w:tc>
        <w:tc>
          <w:tcPr>
            <w:tcW w:type="dxa" w:w="17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
            </w:r>
          </w:p>
        </w:tc>
      </w:tr>
      <w:tr>
        <w:tc>
          <w:tcPr>
            <w:tcW w:type="dxa" w:w="60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Reg O / Reg W / source of strength / S&amp;S guidelines</w:t>
            </w:r>
          </w:p>
        </w:tc>
        <w:tc>
          <w:tcPr>
            <w:tcW w:type="dxa" w:w="1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6</w:t>
            </w:r>
          </w:p>
        </w:tc>
        <w:tc>
          <w:tcPr>
            <w:tcW w:type="dxa" w:w="17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
            </w:r>
          </w:p>
        </w:tc>
      </w:tr>
    </w:tbl>
    <w:p>
      <w:pPr>
        <w:sectPr>
          <w:footerReference w:type="default" r:id="rId7"/>
          <w:pgSz w:w="12240" w:h="15840" w:orient="portrait"/>
          <w:pgMar w:top="1440" w:right="1440" w:bottom="1440" w:left="1440" w:header="708" w:footer="708" w:gutter="0"/>
          <w:pgNumType/>
          <w:docGrid w:linePitch="360"/>
        </w:sectPr>
      </w:pPr>
    </w:p>
    <w:p>
      <w:pPr>
        <w:pStyle w:val="Heading1"/>
      </w:pPr>
      <w:r>
        <w:t xml:space="preserve">Obligations matrix — domain × board level</w:t>
      </w:r>
    </w:p>
    <w:p>
      <w:pPr>
        <w:spacing w:after="120" w:before="0"/>
      </w:pPr>
      <w:r>
        <w:rPr>
          <w:rFonts w:ascii="Arial" w:cs="Arial" w:eastAsia="Arial" w:hAnsi="Arial"/>
          <w:i/>
          <w:iCs/>
          <w:color w:val="595959"/>
          <w:sz w:val="20"/>
          <w:szCs w:val="20"/>
        </w:rPr>
        <w:t xml:space="preserve">* = rescinded or not implemented. Entity level (holding company / insured bank / SEC issuer) is in each entry and the workbook.</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500"/>
        <w:gridCol w:w="1597"/>
        <w:gridCol w:w="1597"/>
        <w:gridCol w:w="1597"/>
        <w:gridCol w:w="1597"/>
        <w:gridCol w:w="1597"/>
        <w:gridCol w:w="1597"/>
        <w:gridCol w:w="1597"/>
      </w:tblGrid>
      <w:tr>
        <w:tc>
          <w:tcPr>
            <w:tcW w:type="dxa" w:w="25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Domain</w:t>
            </w:r>
          </w:p>
        </w:tc>
        <w:tc>
          <w:tcPr>
            <w:tcW w:type="dxa" w:w="1597"/>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Full board</w:t>
            </w:r>
          </w:p>
        </w:tc>
        <w:tc>
          <w:tcPr>
            <w:tcW w:type="dxa" w:w="1597"/>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Audit cmte.</w:t>
            </w:r>
          </w:p>
        </w:tc>
        <w:tc>
          <w:tcPr>
            <w:tcW w:type="dxa" w:w="1597"/>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Risk cmte.</w:t>
            </w:r>
          </w:p>
        </w:tc>
        <w:tc>
          <w:tcPr>
            <w:tcW w:type="dxa" w:w="1597"/>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Comp. cmte.</w:t>
            </w:r>
          </w:p>
        </w:tc>
        <w:tc>
          <w:tcPr>
            <w:tcW w:type="dxa" w:w="1597"/>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Nom./Gov. cmte.</w:t>
            </w:r>
          </w:p>
        </w:tc>
        <w:tc>
          <w:tcPr>
            <w:tcW w:type="dxa" w:w="1597"/>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Other cmte.</w:t>
            </w:r>
          </w:p>
        </w:tc>
        <w:tc>
          <w:tcPr>
            <w:tcW w:type="dxa" w:w="1597"/>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Director-type</w:t>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3"/>
                <w:szCs w:val="13"/>
              </w:rPr>
              <w:t xml:space="preserve">Risk governance &amp; risk committee</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RGC-06, RGC-07, RGC-08, RGC-09, RGC-10</w:t>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RGC-01, RGC-02, RGC-03, RGC-04, RGC-05, RGC-07, RGC-08, RGC-09</w:t>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RGC-01, RGC-03, RGC-05</w:t>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3"/>
                <w:szCs w:val="13"/>
              </w:rPr>
              <w:t xml:space="preserve">Capital planning &amp; stress testing</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CAP-01, CAP-02, CAP-03, CAP-04, CAP-05</w:t>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CAP-02, CAP-03</w:t>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3"/>
                <w:szCs w:val="13"/>
              </w:rPr>
              <w:t xml:space="preserve">Liquidity risk management</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LIQ-01, LIQ-02, LIQ-03</w:t>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LIQ-04</w:t>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3"/>
                <w:szCs w:val="13"/>
              </w:rPr>
              <w:t xml:space="preserve">Resolution &amp; recovery planning</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RES-01, RES-02, RES-03*</w:t>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RES-02</w:t>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3"/>
                <w:szCs w:val="13"/>
              </w:rPr>
              <w:t xml:space="preserve">TLAC, single-counterparty &amp; GSIB structural limits</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TLA-01, TLA-02, TLA-03</w:t>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3"/>
                <w:szCs w:val="13"/>
              </w:rPr>
              <w:t xml:space="preserve">Volcker &amp; trading-compliance attestation</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VOL-01</w:t>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3"/>
                <w:szCs w:val="13"/>
              </w:rPr>
              <w:t xml:space="preserve">Board composition &amp; independence</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IND-01, IND-02, IND-03, IND-04, IND-06, IND-08, IND-09</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IND-05, IND-09</w:t>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IND-06, IND-07</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IND-06</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IND-08</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IND-01, IND-02, IND-04, IND-05, IND-06, IND-07, IND-08</w:t>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3"/>
                <w:szCs w:val="13"/>
              </w:rPr>
              <w:t xml:space="preserve">Audit committee &amp; internal control over financial reporting</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AUD-02</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AUD-01, AUD-03, AUD-04, AUD-05, AUD-06, AUD-07, AUD-08</w:t>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AUD-01, AUD-02, AUD-03</w:t>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3"/>
                <w:szCs w:val="13"/>
              </w:rPr>
              <w:t xml:space="preserve">Cybersecurity &amp; information security</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CYB-01, CYB-02, CYB-03, CYB-04</w:t>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CYB-01, CYB-02</w:t>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3"/>
                <w:szCs w:val="13"/>
              </w:rPr>
              <w:t xml:space="preserve">BSA/AML program</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BSA-01, BSA-02, BSA-03, BSA-04, BSA-05</w:t>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BSA-03</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BSA-04, BSA-05</w:t>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3"/>
                <w:szCs w:val="13"/>
              </w:rPr>
              <w:t xml:space="preserve">Insider lending &amp; affiliate transactions (Reg O / Reg W)</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AFF-01, AFF-02</w:t>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AFF-01</w:t>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3"/>
                <w:szCs w:val="13"/>
              </w:rPr>
              <w:t xml:space="preserve">Incentive compensation</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INC-01*</w:t>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3"/>
                <w:szCs w:val="13"/>
              </w:rPr>
              <w:t xml:space="preserve">Cross-cutting safety &amp; soundness / source of strength</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SS-01, SS-02</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SS-01</w:t>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SS-01</w:t>
            </w:r>
          </w:p>
        </w:tc>
      </w:tr>
    </w:tbl>
    <w:p>
      <w:pPr>
        <w:sectPr>
          <w:footerReference w:type="default" r:id="rId8"/>
          <w:type w:val="nextPage"/>
          <w:pgSz w:w="15840" w:h="12240" w:orient="landscape"/>
          <w:pgMar w:top="1080" w:right="1080" w:bottom="1080" w:left="1080" w:header="708" w:footer="708" w:gutter="0"/>
          <w:pgNumType/>
          <w:docGrid w:linePitch="360"/>
        </w:sectPr>
      </w:pPr>
    </w:p>
    <w:p>
      <w:pPr>
        <w:pStyle w:val="Heading1"/>
      </w:pPr>
      <w:r>
        <w:t xml:space="preserve">Obligations — detailed inventory by domain</w:t>
      </w:r>
    </w:p>
    <w:p>
      <w:pPr>
        <w:pStyle w:val="Heading2"/>
      </w:pPr>
      <w:r>
        <w:t xml:space="preserve">1. Risk governance &amp; risk committee</w:t>
      </w:r>
    </w:p>
    <w:p>
      <w:pPr>
        <w:keepNext/>
        <w:spacing w:after="16" w:before="104"/>
      </w:pPr>
      <w:r>
        <w:rPr>
          <w:rFonts w:ascii="Arial" w:cs="Arial" w:eastAsia="Arial" w:hAnsi="Arial"/>
          <w:b/>
          <w:bCs/>
          <w:color w:val="1F3864"/>
          <w:sz w:val="21"/>
          <w:szCs w:val="21"/>
        </w:rPr>
        <w:t xml:space="preserve">RGC-01  —  Risk committee  ·  BHC</w:t>
      </w:r>
      <w:r>
        <w:rPr>
          <w:sz w:val="2"/>
          <w:szCs w:val="2"/>
        </w:rPr>
        <w:t xml:space="preserve"/>
      </w:r>
    </w:p>
    <w:p>
      <w:pPr>
        <w:spacing w:after="24"/>
      </w:pPr>
      <w:r>
        <w:rPr>
          <w:rFonts w:ascii="Arial" w:cs="Arial" w:eastAsia="Arial" w:hAnsi="Arial"/>
          <w:sz w:val="21"/>
          <w:szCs w:val="21"/>
        </w:rPr>
        <w:t xml:space="preserve">Statutory requirement that a publicly traded BHC of the relevant size maintain a board risk committee; the statutory engine for the Regulation YY risk-committee rules.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Dodd-Frank Act section 165(h), 12 U.S.C. 5365(h)(1).</w:t>
      </w:r>
      <w:r>
        <w:rPr>
          <w:rFonts w:ascii="Arial" w:cs="Arial" w:eastAsia="Arial" w:hAnsi="Arial"/>
          <w:i/>
          <w:iCs/>
          <w:color w:val="BF8F00"/>
          <w:sz w:val="15"/>
          <w:szCs w:val="15"/>
        </w:rPr>
        <w:t xml:space="preserve">  [URL not captured]</w:t>
      </w:r>
    </w:p>
    <w:p>
      <w:pPr>
        <w:spacing w:after="6"/>
      </w:pPr>
      <w:r>
        <w:rPr>
          <w:rFonts w:ascii="Arial" w:cs="Arial" w:eastAsia="Arial" w:hAnsi="Arial"/>
          <w:i/>
          <w:iCs/>
          <w:color w:val="7030A0"/>
          <w:sz w:val="17"/>
          <w:szCs w:val="17"/>
        </w:rPr>
        <w:t xml:space="preserve">Legal force: Statute  ·  Consequence: Enforcement (cease-and-desist, CMP); rating downgrade  ·  Cadence: Periodic / ongoing  ·  Cluster: Risk committee architecture  ·  Redundancy: Candidate redundancy  ·  Confidence: High</w:t>
      </w:r>
    </w:p>
    <w:p>
      <w:pPr>
        <w:spacing w:after="104"/>
      </w:pPr>
      <w:r>
        <w:rPr>
          <w:rFonts w:ascii="Arial" w:cs="Arial" w:eastAsia="Arial" w:hAnsi="Arial"/>
          <w:i/>
          <w:iCs/>
          <w:color w:val="595959"/>
          <w:sz w:val="17"/>
          <w:szCs w:val="17"/>
        </w:rPr>
        <w:t xml:space="preserve">Overlap: Duplicates Reg YY 252.33 (implementing rule) and OCC App. D risk-governance framework.  Reform: Treat 165(h) as the single statutory anchor; avoid restating its content in multiple instruments.</w:t>
      </w:r>
    </w:p>
    <w:p>
      <w:pPr>
        <w:keepNext/>
        <w:spacing w:after="16" w:before="104"/>
      </w:pPr>
      <w:r>
        <w:rPr>
          <w:rFonts w:ascii="Arial" w:cs="Arial" w:eastAsia="Arial" w:hAnsi="Arial"/>
          <w:b/>
          <w:bCs/>
          <w:color w:val="1F3864"/>
          <w:sz w:val="21"/>
          <w:szCs w:val="21"/>
        </w:rPr>
        <w:t xml:space="preserve">RGC-02  —  Risk committee  ·  BHC</w:t>
      </w:r>
      <w:r>
        <w:rPr>
          <w:sz w:val="2"/>
          <w:szCs w:val="2"/>
        </w:rPr>
        <w:t xml:space="preserve"/>
      </w:r>
    </w:p>
    <w:p>
      <w:pPr>
        <w:spacing w:after="24"/>
      </w:pPr>
      <w:r>
        <w:rPr>
          <w:rFonts w:ascii="Arial" w:cs="Arial" w:eastAsia="Arial" w:hAnsi="Arial"/>
          <w:sz w:val="21"/>
          <w:szCs w:val="21"/>
        </w:rPr>
        <w:t xml:space="preserve">Risk committee approves and periodically reviews the enterprise risk-management policies of the firm's global operations and oversees the global risk-management framework.</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(EPS), 12 CFR part 252 subpart D, 12 CFR 252.33(a)(1).</w:t>
      </w:r>
      <w:r>
        <w:rPr>
          <w:rFonts w:ascii="Arial" w:cs="Arial" w:eastAsia="Arial" w:hAnsi="Arial"/>
          <w:i/>
          <w:iCs/>
          <w:color w:val="3B6FB0"/>
          <w:sz w:val="15"/>
          <w:szCs w:val="15"/>
        </w:rPr>
        <w:t xml:space="preserve"> [https://www.ecfr.gov/current/title-12/chapter-II/part-252]</w:t>
      </w:r>
    </w:p>
    <w:p>
      <w:pPr>
        <w:spacing w:after="6"/>
      </w:pPr>
      <w:r>
        <w:rPr>
          <w:rFonts w:ascii="Arial" w:cs="Arial" w:eastAsia="Arial" w:hAnsi="Arial"/>
          <w:i/>
          <w:iCs/>
          <w:color w:val="7030A0"/>
          <w:sz w:val="17"/>
          <w:szCs w:val="17"/>
        </w:rPr>
        <w:t xml:space="preserve">Legal force: Regulation  ·  Consequence: Enforcement (cease-and-desist, CMP); rating downgrade  ·  Cadence: Periodic / ongoing  ·  Cluster: Risk committee architecture  ·  Redundancy: Candidate redundancy  ·  Confidence: High</w:t>
      </w:r>
    </w:p>
    <w:p>
      <w:pPr>
        <w:spacing w:after="104"/>
      </w:pPr>
      <w:r>
        <w:rPr>
          <w:rFonts w:ascii="Arial" w:cs="Arial" w:eastAsia="Arial" w:hAnsi="Arial"/>
          <w:i/>
          <w:iCs/>
          <w:color w:val="595959"/>
          <w:sz w:val="17"/>
          <w:szCs w:val="17"/>
        </w:rPr>
        <w:t xml:space="preserve">Overlap: Overlaps OCC App. D II.A (bank-level risk-governance framework).  Reform: Permit one enterprise risk-committee approval to satisfy the parallel IDI framework, with an IDI annex.</w:t>
      </w:r>
    </w:p>
    <w:p>
      <w:pPr>
        <w:keepNext/>
        <w:spacing w:after="16" w:before="104"/>
      </w:pPr>
      <w:r>
        <w:rPr>
          <w:rFonts w:ascii="Arial" w:cs="Arial" w:eastAsia="Arial" w:hAnsi="Arial"/>
          <w:b/>
          <w:bCs/>
          <w:color w:val="1F3864"/>
          <w:sz w:val="21"/>
          <w:szCs w:val="21"/>
        </w:rPr>
        <w:t xml:space="preserve">RGC-03  —  Risk committee  ·  BHC</w:t>
      </w:r>
      <w:r>
        <w:rPr>
          <w:sz w:val="2"/>
          <w:szCs w:val="2"/>
        </w:rPr>
        <w:t xml:space="preserve"/>
      </w:r>
    </w:p>
    <w:p>
      <w:pPr>
        <w:spacing w:after="24"/>
      </w:pPr>
      <w:r>
        <w:rPr>
          <w:rFonts w:ascii="Arial" w:cs="Arial" w:eastAsia="Arial" w:hAnsi="Arial"/>
          <w:sz w:val="21"/>
          <w:szCs w:val="21"/>
        </w:rPr>
        <w:t xml:space="preserve">Risk committee must have a formal written charter approved by the board, be a standalone independent committee, report directly to the board, meet at least quarterly, and fully document its proceedings.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part 252 subpart D, 12 CFR 252.33(a)(3).</w:t>
      </w:r>
      <w:r>
        <w:rPr>
          <w:rFonts w:ascii="Arial" w:cs="Arial" w:eastAsia="Arial" w:hAnsi="Arial"/>
          <w:i/>
          <w:iCs/>
          <w:color w:val="3B6FB0"/>
          <w:sz w:val="15"/>
          <w:szCs w:val="15"/>
        </w:rPr>
        <w:t xml:space="preserve"> [https://www.ecfr.gov/current/title-12/chapter-II/part-252]</w:t>
      </w:r>
    </w:p>
    <w:p>
      <w:pPr>
        <w:spacing w:after="6"/>
      </w:pPr>
      <w:r>
        <w:rPr>
          <w:rFonts w:ascii="Arial" w:cs="Arial" w:eastAsia="Arial" w:hAnsi="Arial"/>
          <w:i/>
          <w:iCs/>
          <w:color w:val="7030A0"/>
          <w:sz w:val="17"/>
          <w:szCs w:val="17"/>
        </w:rPr>
        <w:t xml:space="preserve">Legal force: Regulation  ·  Consequence: Enforcement (cease-and-desist, CMP); rating downgrade  ·  Cadence: Quarterly  ·  Cluster: Risk committee architecture  ·  Redundancy: Candidate redundancy  ·  Confidence: High</w:t>
      </w:r>
    </w:p>
    <w:p>
      <w:pPr>
        <w:spacing w:after="104"/>
      </w:pPr>
      <w:r>
        <w:rPr>
          <w:rFonts w:ascii="Arial" w:cs="Arial" w:eastAsia="Arial" w:hAnsi="Arial"/>
          <w:i/>
          <w:iCs/>
          <w:color w:val="595959"/>
          <w:sz w:val="17"/>
          <w:szCs w:val="17"/>
        </w:rPr>
        <w:t xml:space="preserve">Overlap: Structural duplication with OCC App. D governance-framework expectations.  Reform: Harmonize charter/structure requirements across Fed and OCC at the consolidated level.</w:t>
      </w:r>
    </w:p>
    <w:p>
      <w:pPr>
        <w:keepNext/>
        <w:spacing w:after="16" w:before="104"/>
      </w:pPr>
      <w:r>
        <w:rPr>
          <w:rFonts w:ascii="Arial" w:cs="Arial" w:eastAsia="Arial" w:hAnsi="Arial"/>
          <w:b/>
          <w:bCs/>
          <w:color w:val="1F3864"/>
          <w:sz w:val="21"/>
          <w:szCs w:val="21"/>
        </w:rPr>
        <w:t xml:space="preserve">RGC-04  —  Risk committee  ·  BHC</w:t>
      </w:r>
      <w:r>
        <w:rPr>
          <w:sz w:val="2"/>
          <w:szCs w:val="2"/>
        </w:rPr>
        <w:t xml:space="preserve"/>
      </w:r>
    </w:p>
    <w:p>
      <w:pPr>
        <w:spacing w:after="24"/>
      </w:pPr>
      <w:r>
        <w:rPr>
          <w:rFonts w:ascii="Arial" w:cs="Arial" w:eastAsia="Arial" w:hAnsi="Arial"/>
          <w:sz w:val="21"/>
          <w:szCs w:val="21"/>
        </w:rPr>
        <w:t xml:space="preserve">Risk committee must receive and review reports from the chief risk officer at least quarterly.</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part 252 subpart D, 12 CFR 252.33(a)(3)(iv).</w:t>
      </w:r>
      <w:r>
        <w:rPr>
          <w:rFonts w:ascii="Arial" w:cs="Arial" w:eastAsia="Arial" w:hAnsi="Arial"/>
          <w:i/>
          <w:iCs/>
          <w:color w:val="3B6FB0"/>
          <w:sz w:val="15"/>
          <w:szCs w:val="15"/>
        </w:rPr>
        <w:t xml:space="preserve"> [https://www.ecfr.gov/current/title-12/chapter-II/part-252]</w:t>
      </w:r>
    </w:p>
    <w:p>
      <w:pPr>
        <w:spacing w:after="6"/>
      </w:pPr>
      <w:r>
        <w:rPr>
          <w:rFonts w:ascii="Arial" w:cs="Arial" w:eastAsia="Arial" w:hAnsi="Arial"/>
          <w:i/>
          <w:iCs/>
          <w:color w:val="7030A0"/>
          <w:sz w:val="17"/>
          <w:szCs w:val="17"/>
        </w:rPr>
        <w:t xml:space="preserve">Legal force: Regulation  ·  Consequence: Enforcement (cease-and-desist, CMP); rating downgrade  ·  Cadence: Quarterly  ·  Cluster: Risk committee architecture  ·  Redundancy: Candidate redundancy  ·  Confidence: High</w:t>
      </w:r>
    </w:p>
    <w:p>
      <w:pPr>
        <w:spacing w:after="104"/>
      </w:pPr>
      <w:r>
        <w:rPr>
          <w:rFonts w:ascii="Arial" w:cs="Arial" w:eastAsia="Arial" w:hAnsi="Arial"/>
          <w:i/>
          <w:iCs/>
          <w:color w:val="595959"/>
          <w:sz w:val="17"/>
          <w:szCs w:val="17"/>
        </w:rPr>
        <w:t xml:space="preserve">Overlap: Cadence overlaps OCC App. D quarterly risk monitoring.  Reform: Single quarterly risk-reporting cadence covering both levels.</w:t>
      </w:r>
    </w:p>
    <w:p>
      <w:pPr>
        <w:keepNext/>
        <w:spacing w:after="16" w:before="104"/>
      </w:pPr>
      <w:r>
        <w:rPr>
          <w:rFonts w:ascii="Arial" w:cs="Arial" w:eastAsia="Arial" w:hAnsi="Arial"/>
          <w:b/>
          <w:bCs/>
          <w:color w:val="1F3864"/>
          <w:sz w:val="21"/>
          <w:szCs w:val="21"/>
        </w:rPr>
        <w:t xml:space="preserve">RGC-05  —  Risk committee  ·  BHC</w:t>
      </w:r>
      <w:r>
        <w:rPr>
          <w:sz w:val="2"/>
          <w:szCs w:val="2"/>
        </w:rPr>
        <w:t xml:space="preserve"/>
      </w:r>
    </w:p>
    <w:p>
      <w:pPr>
        <w:spacing w:after="24"/>
      </w:pPr>
      <w:r>
        <w:rPr>
          <w:rFonts w:ascii="Arial" w:cs="Arial" w:eastAsia="Arial" w:hAnsi="Arial"/>
          <w:sz w:val="21"/>
          <w:szCs w:val="21"/>
        </w:rPr>
        <w:t xml:space="preserve">Risk committee must be chaired by an independent director who meets SEC/NYSE independence standards and has risk-management experience.</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part 252 subpart D, 12 CFR 252.33(a)(4)(ii).</w:t>
      </w:r>
      <w:r>
        <w:rPr>
          <w:rFonts w:ascii="Arial" w:cs="Arial" w:eastAsia="Arial" w:hAnsi="Arial"/>
          <w:i/>
          <w:iCs/>
          <w:color w:val="3B6FB0"/>
          <w:sz w:val="15"/>
          <w:szCs w:val="15"/>
        </w:rPr>
        <w:t xml:space="preserve"> [https://www.ecfr.gov/current/title-12/chapter-II/part-252]</w:t>
      </w:r>
    </w:p>
    <w:p>
      <w:pPr>
        <w:spacing w:after="6"/>
      </w:pPr>
      <w:r>
        <w:rPr>
          <w:rFonts w:ascii="Arial" w:cs="Arial" w:eastAsia="Arial" w:hAnsi="Arial"/>
          <w:i/>
          <w:iCs/>
          <w:color w:val="7030A0"/>
          <w:sz w:val="17"/>
          <w:szCs w:val="17"/>
        </w:rPr>
        <w:t xml:space="preserve">Legal force: Regulation  ·  Consequence: Enforcement (cease-and-desist, CMP); rating downgrade  ·  Cadence: Periodic / ongoing  ·  Cluster: Risk committee architecture  ·  Redundancy: Candidate redundancy  ·  Confidence: High</w:t>
      </w:r>
    </w:p>
    <w:p>
      <w:pPr>
        <w:spacing w:after="104"/>
      </w:pPr>
      <w:r>
        <w:rPr>
          <w:rFonts w:ascii="Arial" w:cs="Arial" w:eastAsia="Arial" w:hAnsi="Arial"/>
          <w:i/>
          <w:iCs/>
          <w:color w:val="595959"/>
          <w:sz w:val="17"/>
          <w:szCs w:val="17"/>
        </w:rPr>
        <w:t xml:space="preserve">Overlap: One of six non-uniform independence tests applied to the same directors.  Reform: Adopt a single prudential independence definition (see independence-test table).</w:t>
      </w:r>
    </w:p>
    <w:p>
      <w:pPr>
        <w:keepNext/>
        <w:spacing w:after="16" w:before="104"/>
      </w:pPr>
      <w:r>
        <w:rPr>
          <w:rFonts w:ascii="Arial" w:cs="Arial" w:eastAsia="Arial" w:hAnsi="Arial"/>
          <w:b/>
          <w:bCs/>
          <w:color w:val="1F3864"/>
          <w:sz w:val="21"/>
          <w:szCs w:val="21"/>
        </w:rPr>
        <w:t xml:space="preserve">RGC-06  —  Full board  ·  BHC</w:t>
      </w:r>
      <w:r>
        <w:rPr>
          <w:sz w:val="2"/>
          <w:szCs w:val="2"/>
        </w:rPr>
        <w:t xml:space="preserve"/>
      </w:r>
    </w:p>
    <w:p>
      <w:pPr>
        <w:spacing w:after="24"/>
      </w:pPr>
      <w:r>
        <w:rPr>
          <w:rFonts w:ascii="Arial" w:cs="Arial" w:eastAsia="Arial" w:hAnsi="Arial"/>
          <w:sz w:val="21"/>
          <w:szCs w:val="21"/>
        </w:rPr>
        <w:t xml:space="preserve">Board must appoint a chief risk officer with experience managing risk at large, complex firms.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part 252 subpart D, 12 CFR 252.33(b)(1).</w:t>
      </w:r>
      <w:r>
        <w:rPr>
          <w:rFonts w:ascii="Arial" w:cs="Arial" w:eastAsia="Arial" w:hAnsi="Arial"/>
          <w:i/>
          <w:iCs/>
          <w:color w:val="3B6FB0"/>
          <w:sz w:val="15"/>
          <w:szCs w:val="15"/>
        </w:rPr>
        <w:t xml:space="preserve"> [https://www.ecfr.gov/current/title-12/chapter-II/part-252]</w:t>
      </w:r>
    </w:p>
    <w:p>
      <w:pPr>
        <w:spacing w:after="6"/>
      </w:pPr>
      <w:r>
        <w:rPr>
          <w:rFonts w:ascii="Arial" w:cs="Arial" w:eastAsia="Arial" w:hAnsi="Arial"/>
          <w:i/>
          <w:iCs/>
          <w:color w:val="7030A0"/>
          <w:sz w:val="17"/>
          <w:szCs w:val="17"/>
        </w:rPr>
        <w:t xml:space="preserve">Legal force: Regulation  ·  Consequence: Enforcement (cease-and-desist, CMP); rating downgrade  ·  Cadence: Event-driven  ·  Cluster: CRO / CRE appointment &amp; compensation  ·  Redundancy: Candidate redundancy  ·  Confidence: High</w:t>
      </w:r>
    </w:p>
    <w:p>
      <w:pPr>
        <w:spacing w:after="104"/>
      </w:pPr>
      <w:r>
        <w:rPr>
          <w:rFonts w:ascii="Arial" w:cs="Arial" w:eastAsia="Arial" w:hAnsi="Arial"/>
          <w:i/>
          <w:iCs/>
          <w:color w:val="595959"/>
          <w:sz w:val="17"/>
          <w:szCs w:val="17"/>
        </w:rPr>
        <w:t xml:space="preserve">Overlap: Overlaps OCC App. D CRE appointment/compensation approval.  Reform: Consolidate CRO/CRE appointment into Reg YY; OCC incorporates by reference.</w:t>
      </w:r>
    </w:p>
    <w:p>
      <w:pPr>
        <w:keepNext/>
        <w:spacing w:after="16" w:before="104"/>
      </w:pPr>
      <w:r>
        <w:rPr>
          <w:rFonts w:ascii="Arial" w:cs="Arial" w:eastAsia="Arial" w:hAnsi="Arial"/>
          <w:b/>
          <w:bCs/>
          <w:color w:val="1F3864"/>
          <w:sz w:val="21"/>
          <w:szCs w:val="21"/>
        </w:rPr>
        <w:t xml:space="preserve">RGC-07  —  Full board or risk committee  ·  IDI</w:t>
      </w:r>
      <w:r>
        <w:rPr>
          <w:sz w:val="2"/>
          <w:szCs w:val="2"/>
        </w:rPr>
        <w:t xml:space="preserve"/>
      </w:r>
    </w:p>
    <w:p>
      <w:pPr>
        <w:spacing w:after="24"/>
      </w:pPr>
      <w:r>
        <w:rPr>
          <w:rFonts w:ascii="Arial" w:cs="Arial" w:eastAsia="Arial" w:hAnsi="Arial"/>
          <w:sz w:val="21"/>
          <w:szCs w:val="21"/>
        </w:rPr>
        <w:t xml:space="preserve">Board must require management to establish, and must approve, a formal written risk-governance framework, and approve significant changes.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 II.A.</w:t>
      </w:r>
      <w:r>
        <w:rPr>
          <w:rFonts w:ascii="Arial" w:cs="Arial" w:eastAsia="Arial" w:hAnsi="Arial"/>
          <w:i/>
          <w:iCs/>
          <w:color w:val="3B6FB0"/>
          <w:sz w:val="15"/>
          <w:szCs w:val="15"/>
        </w:rPr>
        <w:t xml:space="preserve"> [https://www.ecfr.gov/current/title-12/chapter-I/part-30/appendix-Appendix%20D%20to%20Part%2030]</w:t>
      </w:r>
    </w:p>
    <w:p>
      <w:pPr>
        <w:spacing w:after="6"/>
      </w:pPr>
      <w:r>
        <w:rPr>
          <w:rFonts w:ascii="Arial" w:cs="Arial" w:eastAsia="Arial" w:hAnsi="Arial"/>
          <w:i/>
          <w:iCs/>
          <w:color w:val="7030A0"/>
          <w:sz w:val="17"/>
          <w:szCs w:val="17"/>
        </w:rPr>
        <w:t xml:space="preserve">Legal force: Enforceable guideline  ·  Consequence: Enforcement (cease-and-desist, CMP); rating downgrade  ·  Cadence: Periodic / ongoing  ·  Cluster: Risk-governance framework / strategy  ·  Redundancy: Candidate redundancy  ·  Confidence: Medium</w:t>
      </w:r>
    </w:p>
    <w:p>
      <w:pPr>
        <w:spacing w:after="104"/>
      </w:pPr>
      <w:r>
        <w:rPr>
          <w:rFonts w:ascii="Arial" w:cs="Arial" w:eastAsia="Arial" w:hAnsi="Arial"/>
          <w:i/>
          <w:iCs/>
          <w:color w:val="595959"/>
          <w:sz w:val="17"/>
          <w:szCs w:val="17"/>
        </w:rPr>
        <w:t xml:space="preserve">Overlap: Parallel to Reg YY 252.33 at the parent level.  Reform: Permit holding-company framework approval to satisfy the IDI framework where boards overlap.  Note: Enforceable via 12 U.S.C. 1831p-1; the OCC can issue enforcement actions without rulemaking process.</w:t>
      </w:r>
    </w:p>
    <w:p>
      <w:pPr>
        <w:keepNext/>
        <w:spacing w:after="16" w:before="104"/>
      </w:pPr>
      <w:r>
        <w:rPr>
          <w:rFonts w:ascii="Arial" w:cs="Arial" w:eastAsia="Arial" w:hAnsi="Arial"/>
          <w:b/>
          <w:bCs/>
          <w:color w:val="1F3864"/>
          <w:sz w:val="21"/>
          <w:szCs w:val="21"/>
        </w:rPr>
        <w:t xml:space="preserve">RGC-08  —  Full board or risk committee  ·  IDI</w:t>
      </w:r>
      <w:r>
        <w:rPr>
          <w:sz w:val="2"/>
          <w:szCs w:val="2"/>
        </w:rPr>
        <w:t xml:space="preserve"/>
      </w:r>
    </w:p>
    <w:p>
      <w:pPr>
        <w:spacing w:after="24"/>
      </w:pPr>
      <w:r>
        <w:rPr>
          <w:rFonts w:ascii="Arial" w:cs="Arial" w:eastAsia="Arial" w:hAnsi="Arial"/>
          <w:sz w:val="21"/>
          <w:szCs w:val="21"/>
        </w:rPr>
        <w:t xml:space="preserve">Board or risk committee reviews and approves the risk-appetite statement at least annually and receives risk monitoring at least quarterly.</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secs. II.E, II.G.</w:t>
      </w:r>
      <w:r>
        <w:rPr>
          <w:rFonts w:ascii="Arial" w:cs="Arial" w:eastAsia="Arial" w:hAnsi="Arial"/>
          <w:i/>
          <w:iCs/>
          <w:color w:val="3B6FB0"/>
          <w:sz w:val="15"/>
          <w:szCs w:val="15"/>
        </w:rPr>
        <w:t xml:space="preserve"> [https://www.ecfr.gov/current/title-12/chapter-I/part-30/appendix-Appendix%20D%20to%20Part%2030]</w:t>
      </w:r>
    </w:p>
    <w:p>
      <w:pPr>
        <w:spacing w:after="6"/>
      </w:pPr>
      <w:r>
        <w:rPr>
          <w:rFonts w:ascii="Arial" w:cs="Arial" w:eastAsia="Arial" w:hAnsi="Arial"/>
          <w:i/>
          <w:iCs/>
          <w:color w:val="7030A0"/>
          <w:sz w:val="17"/>
          <w:szCs w:val="17"/>
        </w:rPr>
        <w:t xml:space="preserve">Legal force: Regulation  ·  Consequence: Enforcement (cease-and-desist, CMP); rating downgrade  ·  Cadence: Annual  ·  Cluster: Risk appetite statement  ·  Redundancy: Candidate redundancy  ·  Confidence: Medium</w:t>
      </w:r>
    </w:p>
    <w:p>
      <w:pPr>
        <w:spacing w:after="104"/>
      </w:pPr>
      <w:r>
        <w:rPr>
          <w:rFonts w:ascii="Arial" w:cs="Arial" w:eastAsia="Arial" w:hAnsi="Arial"/>
          <w:i/>
          <w:iCs/>
          <w:color w:val="595959"/>
          <w:sz w:val="17"/>
          <w:szCs w:val="17"/>
        </w:rPr>
        <w:t xml:space="preserve">Overlap: Risk-appetite approval also arises under SR 21-3 (expectation) and the Reg YY liquidity-tolerance approval — three sources.  Reform: Single interagency risk-appetite template; one board-approved document satisfies all.</w:t>
      </w:r>
    </w:p>
    <w:p>
      <w:pPr>
        <w:keepNext/>
        <w:spacing w:after="16" w:before="104"/>
      </w:pPr>
      <w:r>
        <w:rPr>
          <w:rFonts w:ascii="Arial" w:cs="Arial" w:eastAsia="Arial" w:hAnsi="Arial"/>
          <w:b/>
          <w:bCs/>
          <w:color w:val="1F3864"/>
          <w:sz w:val="21"/>
          <w:szCs w:val="21"/>
        </w:rPr>
        <w:t xml:space="preserve">RGC-09  —  Full board or risk committee  ·  IDI</w:t>
      </w:r>
      <w:r>
        <w:rPr>
          <w:sz w:val="2"/>
          <w:szCs w:val="2"/>
        </w:rPr>
        <w:t xml:space="preserve"/>
      </w:r>
    </w:p>
    <w:p>
      <w:pPr>
        <w:spacing w:after="24"/>
      </w:pPr>
      <w:r>
        <w:rPr>
          <w:rFonts w:ascii="Arial" w:cs="Arial" w:eastAsia="Arial" w:hAnsi="Arial"/>
          <w:sz w:val="21"/>
          <w:szCs w:val="21"/>
        </w:rPr>
        <w:t xml:space="preserve">Board or risk committee approves the appointment, removal, and annual compensation of the chief risk executive(s).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 I.E.7(c).</w:t>
      </w:r>
      <w:r>
        <w:rPr>
          <w:rFonts w:ascii="Arial" w:cs="Arial" w:eastAsia="Arial" w:hAnsi="Arial"/>
          <w:i/>
          <w:iCs/>
          <w:color w:val="3B6FB0"/>
          <w:sz w:val="15"/>
          <w:szCs w:val="15"/>
        </w:rPr>
        <w:t xml:space="preserve"> [https://www.ecfr.gov/current/title-12/chapter-I/part-30/appendix-Appendix%20D%20to%20Part%2030]</w:t>
      </w:r>
    </w:p>
    <w:p>
      <w:pPr>
        <w:spacing w:after="6"/>
      </w:pPr>
      <w:r>
        <w:rPr>
          <w:rFonts w:ascii="Arial" w:cs="Arial" w:eastAsia="Arial" w:hAnsi="Arial"/>
          <w:i/>
          <w:iCs/>
          <w:color w:val="7030A0"/>
          <w:sz w:val="17"/>
          <w:szCs w:val="17"/>
        </w:rPr>
        <w:t xml:space="preserve">Legal force: Regulation  ·  Consequence: Enforcement (cease-and-desist, CMP); rating downgrade  ·  Cadence: Annual  ·  Cluster: CRO / CRE appointment &amp; compensation  ·  Redundancy: Candidate redundancy  ·  Confidence: Medium</w:t>
      </w:r>
    </w:p>
    <w:p>
      <w:pPr>
        <w:spacing w:after="104"/>
      </w:pPr>
      <w:r>
        <w:rPr>
          <w:rFonts w:ascii="Arial" w:cs="Arial" w:eastAsia="Arial" w:hAnsi="Arial"/>
          <w:i/>
          <w:iCs/>
          <w:color w:val="595959"/>
          <w:sz w:val="17"/>
          <w:szCs w:val="17"/>
        </w:rPr>
        <w:t xml:space="preserve">Overlap: Overlaps Reg YY 252.33(b) CRO appointment.  Reform: Consolidate CRO/CRE appointment/pay approval across levels.</w:t>
      </w:r>
    </w:p>
    <w:p>
      <w:pPr>
        <w:keepNext/>
        <w:spacing w:after="16" w:before="104"/>
      </w:pPr>
      <w:r>
        <w:rPr>
          <w:rFonts w:ascii="Arial" w:cs="Arial" w:eastAsia="Arial" w:hAnsi="Arial"/>
          <w:b/>
          <w:bCs/>
          <w:color w:val="1F3864"/>
          <w:sz w:val="21"/>
          <w:szCs w:val="21"/>
        </w:rPr>
        <w:t xml:space="preserve">RGC-10  —  Full board  ·  IDI</w:t>
      </w:r>
      <w:r>
        <w:rPr>
          <w:sz w:val="2"/>
          <w:szCs w:val="2"/>
        </w:rPr>
        <w:t xml:space="preserve"/>
      </w:r>
    </w:p>
    <w:p>
      <w:pPr>
        <w:spacing w:after="24"/>
      </w:pPr>
      <w:r>
        <w:rPr>
          <w:rFonts w:ascii="Arial" w:cs="Arial" w:eastAsia="Arial" w:hAnsi="Arial"/>
          <w:sz w:val="21"/>
          <w:szCs w:val="21"/>
        </w:rPr>
        <w:t xml:space="preserve">Board reviews and approves the bank's three-year strategic plan with a comprehensive risk assessment and monitors implementation at least annually.</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 II.D.</w:t>
      </w:r>
      <w:r>
        <w:rPr>
          <w:rFonts w:ascii="Arial" w:cs="Arial" w:eastAsia="Arial" w:hAnsi="Arial"/>
          <w:i/>
          <w:iCs/>
          <w:color w:val="3B6FB0"/>
          <w:sz w:val="15"/>
          <w:szCs w:val="15"/>
        </w:rPr>
        <w:t xml:space="preserve"> [https://www.ecfr.gov/current/title-12/chapter-I/part-30/appendix-Appendix%20D%20to%20Part%2030]</w:t>
      </w:r>
    </w:p>
    <w:p>
      <w:pPr>
        <w:spacing w:after="6"/>
      </w:pPr>
      <w:r>
        <w:rPr>
          <w:rFonts w:ascii="Arial" w:cs="Arial" w:eastAsia="Arial" w:hAnsi="Arial"/>
          <w:i/>
          <w:iCs/>
          <w:color w:val="7030A0"/>
          <w:sz w:val="17"/>
          <w:szCs w:val="17"/>
        </w:rPr>
        <w:t xml:space="preserve">Legal force: Regulation  ·  Consequence: Enforcement (cease-and-desist, CMP); rating downgrade  ·  Cadence: Annual  ·  Cluster: Risk-governance framework / strategy  ·  Redundancy: Candidate redundancy  ·  Confidence: Medium</w:t>
      </w:r>
    </w:p>
    <w:p>
      <w:pPr>
        <w:spacing w:after="104"/>
      </w:pPr>
      <w:r>
        <w:rPr>
          <w:rFonts w:ascii="Arial" w:cs="Arial" w:eastAsia="Arial" w:hAnsi="Arial"/>
          <w:i/>
          <w:iCs/>
          <w:color w:val="595959"/>
          <w:sz w:val="17"/>
          <w:szCs w:val="17"/>
        </w:rPr>
        <w:t xml:space="preserve">Overlap: Overlaps consolidated strategy expectations (SR 21-3 / SR 12-17).  Reform: Permit one enterprise strategic-plan approval with an IDI addendum.</w:t>
      </w:r>
    </w:p>
    <w:p>
      <w:pPr>
        <w:pStyle w:val="Heading2"/>
      </w:pPr>
      <w:r>
        <w:t xml:space="preserve">2. Capital planning &amp; stress testing</w:t>
      </w:r>
    </w:p>
    <w:p>
      <w:pPr>
        <w:keepNext/>
        <w:spacing w:after="16" w:before="104"/>
      </w:pPr>
      <w:r>
        <w:rPr>
          <w:rFonts w:ascii="Arial" w:cs="Arial" w:eastAsia="Arial" w:hAnsi="Arial"/>
          <w:b/>
          <w:bCs/>
          <w:color w:val="1F3864"/>
          <w:sz w:val="21"/>
          <w:szCs w:val="21"/>
        </w:rPr>
        <w:t xml:space="preserve">CAP-01  —  Full board  ·  BHC</w:t>
      </w:r>
      <w:r>
        <w:rPr>
          <w:sz w:val="2"/>
          <w:szCs w:val="2"/>
        </w:rPr>
        <w:t xml:space="preserve"/>
      </w:r>
    </w:p>
    <w:p>
      <w:pPr>
        <w:spacing w:after="24"/>
      </w:pPr>
      <w:r>
        <w:rPr>
          <w:rFonts w:ascii="Arial" w:cs="Arial" w:eastAsia="Arial" w:hAnsi="Arial"/>
          <w:sz w:val="21"/>
          <w:szCs w:val="21"/>
        </w:rPr>
        <w:t xml:space="preserve">Board oversight that the firm's stress-testing framework is adequate and integrated into capital planning.</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Dodd-Frank Act section 165(i), 12 U.S.C. 5365(i).</w:t>
      </w:r>
      <w:r>
        <w:rPr>
          <w:rFonts w:ascii="Arial" w:cs="Arial" w:eastAsia="Arial" w:hAnsi="Arial"/>
          <w:i/>
          <w:iCs/>
          <w:color w:val="BF8F00"/>
          <w:sz w:val="15"/>
          <w:szCs w:val="15"/>
        </w:rPr>
        <w:t xml:space="preserve">  [URL not captured]</w:t>
      </w:r>
    </w:p>
    <w:p>
      <w:pPr>
        <w:spacing w:after="6"/>
      </w:pPr>
      <w:r>
        <w:rPr>
          <w:rFonts w:ascii="Arial" w:cs="Arial" w:eastAsia="Arial" w:hAnsi="Arial"/>
          <w:i/>
          <w:iCs/>
          <w:color w:val="7030A0"/>
          <w:sz w:val="17"/>
          <w:szCs w:val="17"/>
        </w:rPr>
        <w:t xml:space="preserve">Legal force: Statute  ·  Consequence: Enforcement (cease-and-desist, CMP); rating downgrade  ·  Cadence: Periodic / ongoing  ·  Cluster: Capital planning &amp; stress testing  ·  Redundancy: Candidate redundancy (intra-level)  ·  Confidence: High</w:t>
      </w:r>
    </w:p>
    <w:p>
      <w:pPr>
        <w:spacing w:after="104"/>
      </w:pPr>
      <w:r>
        <w:rPr>
          <w:rFonts w:ascii="Arial" w:cs="Arial" w:eastAsia="Arial" w:hAnsi="Arial"/>
          <w:i/>
          <w:iCs/>
          <w:color w:val="595959"/>
          <w:sz w:val="17"/>
          <w:szCs w:val="17"/>
        </w:rPr>
        <w:t xml:space="preserve">Overlap: Overlaps Reg YY company-run stress test and the SOX/FDICIA controls cycles.  Reform: Align stress-test, CCAR, and SOX cycles; one integrated board review.</w:t>
      </w:r>
    </w:p>
    <w:p>
      <w:pPr>
        <w:keepNext/>
        <w:spacing w:after="16" w:before="104"/>
      </w:pPr>
      <w:r>
        <w:rPr>
          <w:rFonts w:ascii="Arial" w:cs="Arial" w:eastAsia="Arial" w:hAnsi="Arial"/>
          <w:b/>
          <w:bCs/>
          <w:color w:val="1F3864"/>
          <w:sz w:val="21"/>
          <w:szCs w:val="21"/>
        </w:rPr>
        <w:t xml:space="preserve">CAP-02  —  Full board or designated committee  ·  BHC</w:t>
      </w:r>
      <w:r>
        <w:rPr>
          <w:sz w:val="2"/>
          <w:szCs w:val="2"/>
        </w:rPr>
        <w:t xml:space="preserve"/>
      </w:r>
    </w:p>
    <w:p>
      <w:pPr>
        <w:spacing w:after="24"/>
      </w:pPr>
      <w:r>
        <w:rPr>
          <w:rFonts w:ascii="Arial" w:cs="Arial" w:eastAsia="Arial" w:hAnsi="Arial"/>
          <w:sz w:val="21"/>
          <w:szCs w:val="21"/>
        </w:rPr>
        <w:t xml:space="preserve">Board or a designated committee must, at least annually and before submission, review the robustness of the capital-adequacy process, ensure deficiencies are remedied, and approve the capital plan.</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Capital plan rule, 12 CFR 225.8 (Reg Y), 12 CFR 225.8(e)(1)(iii).</w:t>
      </w:r>
      <w:r>
        <w:rPr>
          <w:rFonts w:ascii="Arial" w:cs="Arial" w:eastAsia="Arial" w:hAnsi="Arial"/>
          <w:i/>
          <w:iCs/>
          <w:color w:val="3B6FB0"/>
          <w:sz w:val="15"/>
          <w:szCs w:val="15"/>
        </w:rPr>
        <w:t xml:space="preserve"> [https://www.ecfr.gov/current/title-12/chapter-II/part-225/section-225.8]</w:t>
      </w:r>
    </w:p>
    <w:p>
      <w:pPr>
        <w:spacing w:after="6"/>
      </w:pPr>
      <w:r>
        <w:rPr>
          <w:rFonts w:ascii="Arial" w:cs="Arial" w:eastAsia="Arial" w:hAnsi="Arial"/>
          <w:i/>
          <w:iCs/>
          <w:color w:val="7030A0"/>
          <w:sz w:val="17"/>
          <w:szCs w:val="17"/>
        </w:rPr>
        <w:t xml:space="preserve">Legal force: Regulation  ·  Consequence: Enforcement (cease-and-desist, CMP); rating downgrade  ·  Cadence: Annual  ·  Cluster: Capital planning &amp; stress testing  ·  Redundancy: Candidate redundancy (intra-level)  ·  Confidence: High</w:t>
      </w:r>
    </w:p>
    <w:p>
      <w:pPr>
        <w:spacing w:after="104"/>
      </w:pPr>
      <w:r>
        <w:rPr>
          <w:rFonts w:ascii="Arial" w:cs="Arial" w:eastAsia="Arial" w:hAnsi="Arial"/>
          <w:i/>
          <w:iCs/>
          <w:color w:val="595959"/>
          <w:sz w:val="17"/>
          <w:szCs w:val="17"/>
        </w:rPr>
        <w:t xml:space="preserve">Overlap: Elaborated by SR 15-18 (expectation): quarterly briefings, capital-policy review.  Reform: Separate board capital-action decisions from technical methodology reporting (push methodology to management).  Note: CCAR FR Y-14A carries a CFO (officer) attestation, not a board attestation.</w:t>
      </w:r>
    </w:p>
    <w:p>
      <w:pPr>
        <w:keepNext/>
        <w:spacing w:after="16" w:before="104"/>
      </w:pPr>
      <w:r>
        <w:rPr>
          <w:rFonts w:ascii="Arial" w:cs="Arial" w:eastAsia="Arial" w:hAnsi="Arial"/>
          <w:b/>
          <w:bCs/>
          <w:color w:val="1F3864"/>
          <w:sz w:val="21"/>
          <w:szCs w:val="21"/>
        </w:rPr>
        <w:t xml:space="preserve">CAP-03  —  Full board or designated committee  ·  BHC</w:t>
      </w:r>
      <w:r>
        <w:rPr>
          <w:sz w:val="2"/>
          <w:szCs w:val="2"/>
        </w:rPr>
        <w:t xml:space="preserve"/>
      </w:r>
    </w:p>
    <w:p>
      <w:pPr>
        <w:spacing w:after="24"/>
      </w:pPr>
      <w:r>
        <w:rPr>
          <w:rFonts w:ascii="Arial" w:cs="Arial" w:eastAsia="Arial" w:hAnsi="Arial"/>
          <w:sz w:val="21"/>
          <w:szCs w:val="21"/>
        </w:rPr>
        <w:t xml:space="preserve">The capital plan must contain a board-approved capital policy.</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Capital plan rule, 12 CFR 225.8 (Reg Y), 12 CFR 225.8(d).</w:t>
      </w:r>
      <w:r>
        <w:rPr>
          <w:rFonts w:ascii="Arial" w:cs="Arial" w:eastAsia="Arial" w:hAnsi="Arial"/>
          <w:i/>
          <w:iCs/>
          <w:color w:val="3B6FB0"/>
          <w:sz w:val="15"/>
          <w:szCs w:val="15"/>
        </w:rPr>
        <w:t xml:space="preserve"> [https://www.ecfr.gov/current/title-12/chapter-II/part-225/section-225.8]</w:t>
      </w:r>
    </w:p>
    <w:p>
      <w:pPr>
        <w:spacing w:after="6"/>
      </w:pPr>
      <w:r>
        <w:rPr>
          <w:rFonts w:ascii="Arial" w:cs="Arial" w:eastAsia="Arial" w:hAnsi="Arial"/>
          <w:i/>
          <w:iCs/>
          <w:color w:val="7030A0"/>
          <w:sz w:val="17"/>
          <w:szCs w:val="17"/>
        </w:rPr>
        <w:t xml:space="preserve">Legal force: Regulation  ·  Consequence: Enforcement (cease-and-desist, CMP); rating downgrade  ·  Cadence: Periodic / ongoing  ·  Cluster: Capital planning &amp; stress testing  ·  Redundancy: Candidate redundancy (intra-level)  ·  Confidence: High</w:t>
      </w:r>
    </w:p>
    <w:p>
      <w:pPr>
        <w:spacing w:after="104"/>
      </w:pPr>
      <w:r>
        <w:rPr>
          <w:rFonts w:ascii="Arial" w:cs="Arial" w:eastAsia="Arial" w:hAnsi="Arial"/>
          <w:i/>
          <w:iCs/>
          <w:color w:val="595959"/>
          <w:sz w:val="17"/>
          <w:szCs w:val="17"/>
        </w:rPr>
        <w:t xml:space="preserve">Overlap: Capital-policy approval also stated in SR 15-18 (expectation).  Reform: One board-approved capital policy satisfies rule and guidance.</w:t>
      </w:r>
    </w:p>
    <w:p>
      <w:pPr>
        <w:keepNext/>
        <w:spacing w:after="16" w:before="104"/>
      </w:pPr>
      <w:r>
        <w:rPr>
          <w:rFonts w:ascii="Arial" w:cs="Arial" w:eastAsia="Arial" w:hAnsi="Arial"/>
          <w:b/>
          <w:bCs/>
          <w:color w:val="1F3864"/>
          <w:sz w:val="21"/>
          <w:szCs w:val="21"/>
        </w:rPr>
        <w:t xml:space="preserve">CAP-04  —  Full board  ·  BHC</w:t>
      </w:r>
      <w:r>
        <w:rPr>
          <w:sz w:val="2"/>
          <w:szCs w:val="2"/>
        </w:rPr>
        <w:t xml:space="preserve"/>
      </w:r>
    </w:p>
    <w:p>
      <w:pPr>
        <w:spacing w:after="24"/>
      </w:pPr>
      <w:r>
        <w:rPr>
          <w:rFonts w:ascii="Arial" w:cs="Arial" w:eastAsia="Arial" w:hAnsi="Arial"/>
          <w:sz w:val="21"/>
          <w:szCs w:val="21"/>
        </w:rPr>
        <w:t xml:space="preserve">Board (and senior management) oversee the company-run stress-testing processes and results.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part 252 subpart F, 12 CFR 252.54.</w:t>
      </w:r>
      <w:r>
        <w:rPr>
          <w:rFonts w:ascii="Arial" w:cs="Arial" w:eastAsia="Arial" w:hAnsi="Arial"/>
          <w:i/>
          <w:iCs/>
          <w:color w:val="3B6FB0"/>
          <w:sz w:val="15"/>
          <w:szCs w:val="15"/>
        </w:rPr>
        <w:t xml:space="preserve"> [https://www.ecfr.gov/current/title-12/chapter-II/part-252]</w:t>
      </w:r>
    </w:p>
    <w:p>
      <w:pPr>
        <w:spacing w:after="6"/>
      </w:pPr>
      <w:r>
        <w:rPr>
          <w:rFonts w:ascii="Arial" w:cs="Arial" w:eastAsia="Arial" w:hAnsi="Arial"/>
          <w:i/>
          <w:iCs/>
          <w:color w:val="7030A0"/>
          <w:sz w:val="17"/>
          <w:szCs w:val="17"/>
        </w:rPr>
        <w:t xml:space="preserve">Legal force: Regulation  ·  Consequence: Enforcement (cease-and-desist, CMP); rating downgrade  ·  Cadence: Periodic / ongoing  ·  Cluster: Capital planning &amp; stress testing  ·  Redundancy: Candidate redundancy (intra-level)  ·  Confidence: High</w:t>
      </w:r>
    </w:p>
    <w:p>
      <w:pPr>
        <w:spacing w:after="104"/>
      </w:pPr>
      <w:r>
        <w:rPr>
          <w:rFonts w:ascii="Arial" w:cs="Arial" w:eastAsia="Arial" w:hAnsi="Arial"/>
          <w:i/>
          <w:iCs/>
          <w:color w:val="595959"/>
          <w:sz w:val="17"/>
          <w:szCs w:val="17"/>
        </w:rPr>
        <w:t xml:space="preserve">Overlap: Overlaps 165(i) and capital-plan governance.  Reform: Consolidate stress-test governance into the capital-plan board cycle.</w:t>
      </w:r>
    </w:p>
    <w:p>
      <w:pPr>
        <w:keepNext/>
        <w:spacing w:after="16" w:before="104"/>
      </w:pPr>
      <w:r>
        <w:rPr>
          <w:rFonts w:ascii="Arial" w:cs="Arial" w:eastAsia="Arial" w:hAnsi="Arial"/>
          <w:b/>
          <w:bCs/>
          <w:color w:val="1F3864"/>
          <w:sz w:val="21"/>
          <w:szCs w:val="21"/>
        </w:rPr>
        <w:t xml:space="preserve">CAP-05  —  Full board  ·  BHC</w:t>
      </w:r>
      <w:r>
        <w:rPr>
          <w:sz w:val="2"/>
          <w:szCs w:val="2"/>
        </w:rPr>
        <w:t xml:space="preserve"/>
      </w:r>
    </w:p>
    <w:p>
      <w:pPr>
        <w:spacing w:after="24"/>
      </w:pPr>
      <w:r>
        <w:rPr>
          <w:rFonts w:ascii="Arial" w:cs="Arial" w:eastAsia="Arial" w:hAnsi="Arial"/>
          <w:sz w:val="21"/>
          <w:szCs w:val="21"/>
        </w:rPr>
        <w:t xml:space="preserve">Board (firm) must ensure submission of the data required for the Federal Reserve's supervisory stress tests.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part 252 subpart E, 12 CFR 252.44.</w:t>
      </w:r>
      <w:r>
        <w:rPr>
          <w:rFonts w:ascii="Arial" w:cs="Arial" w:eastAsia="Arial" w:hAnsi="Arial"/>
          <w:i/>
          <w:iCs/>
          <w:color w:val="3B6FB0"/>
          <w:sz w:val="15"/>
          <w:szCs w:val="15"/>
        </w:rPr>
        <w:t xml:space="preserve"> [https://www.ecfr.gov/current/title-12/chapter-II/part-252]</w:t>
      </w:r>
    </w:p>
    <w:p>
      <w:pPr>
        <w:spacing w:after="6"/>
      </w:pPr>
      <w:r>
        <w:rPr>
          <w:rFonts w:ascii="Arial" w:cs="Arial" w:eastAsia="Arial" w:hAnsi="Arial"/>
          <w:i/>
          <w:iCs/>
          <w:color w:val="7030A0"/>
          <w:sz w:val="17"/>
          <w:szCs w:val="17"/>
        </w:rPr>
        <w:t xml:space="preserve">Legal force: Regulation  ·  Consequence: Enforcement (cease-and-desist, CMP); rating downgrade  ·  Cadence: Periodic / ongoing  ·  Cluster: Capital planning &amp; stress testing  ·  Redundancy: Candidate redundancy (intra-level)  ·  Confidence: High</w:t>
      </w:r>
    </w:p>
    <w:p>
      <w:pPr>
        <w:spacing w:after="104"/>
      </w:pPr>
      <w:r>
        <w:rPr>
          <w:rFonts w:ascii="Arial" w:cs="Arial" w:eastAsia="Arial" w:hAnsi="Arial"/>
          <w:i/>
          <w:iCs/>
          <w:color w:val="595959"/>
          <w:sz w:val="17"/>
          <w:szCs w:val="17"/>
        </w:rPr>
        <w:t xml:space="preserve">Overlap: FR Y-14 documentation overlaps capital-plan and model-risk records.  Reform: FR Y-14 documentation-reduction proposal (2025) trims supporting workpapers.</w:t>
      </w:r>
    </w:p>
    <w:p>
      <w:pPr>
        <w:pStyle w:val="Heading2"/>
      </w:pPr>
      <w:r>
        <w:t xml:space="preserve">3. Liquidity risk management</w:t>
      </w:r>
    </w:p>
    <w:p>
      <w:pPr>
        <w:keepNext/>
        <w:spacing w:after="16" w:before="104"/>
      </w:pPr>
      <w:r>
        <w:rPr>
          <w:rFonts w:ascii="Arial" w:cs="Arial" w:eastAsia="Arial" w:hAnsi="Arial"/>
          <w:b/>
          <w:bCs/>
          <w:color w:val="1F3864"/>
          <w:sz w:val="21"/>
          <w:szCs w:val="21"/>
        </w:rPr>
        <w:t xml:space="preserve">LIQ-01  —  Full board  ·  BHC</w:t>
      </w:r>
      <w:r>
        <w:rPr>
          <w:sz w:val="2"/>
          <w:szCs w:val="2"/>
        </w:rPr>
        <w:t xml:space="preserve"/>
      </w:r>
    </w:p>
    <w:p>
      <w:pPr>
        <w:spacing w:after="24"/>
      </w:pPr>
      <w:r>
        <w:rPr>
          <w:rFonts w:ascii="Arial" w:cs="Arial" w:eastAsia="Arial" w:hAnsi="Arial"/>
          <w:sz w:val="21"/>
          <w:szCs w:val="21"/>
        </w:rPr>
        <w:t xml:space="preserve">Board must approve the firm's liquidity risk tolerance at least annually.</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part 252 subpart D, 12 CFR 252.34(a)(1).</w:t>
      </w:r>
      <w:r>
        <w:rPr>
          <w:rFonts w:ascii="Arial" w:cs="Arial" w:eastAsia="Arial" w:hAnsi="Arial"/>
          <w:i/>
          <w:iCs/>
          <w:color w:val="3B6FB0"/>
          <w:sz w:val="15"/>
          <w:szCs w:val="15"/>
        </w:rPr>
        <w:t xml:space="preserve"> [https://www.ecfr.gov/current/title-12/chapter-II/part-252]</w:t>
      </w:r>
    </w:p>
    <w:p>
      <w:pPr>
        <w:spacing w:after="6"/>
      </w:pPr>
      <w:r>
        <w:rPr>
          <w:rFonts w:ascii="Arial" w:cs="Arial" w:eastAsia="Arial" w:hAnsi="Arial"/>
          <w:i/>
          <w:iCs/>
          <w:color w:val="7030A0"/>
          <w:sz w:val="17"/>
          <w:szCs w:val="17"/>
        </w:rPr>
        <w:t xml:space="preserve">Legal force: Regulation  ·  Consequence: Enforcement (cease-and-desist, CMP); rating downgrade  ·  Cadence: Annual  ·  Cluster: Liquidity risk management  ·  Redundancy: Candidate redundancy  ·  Confidence: High</w:t>
      </w:r>
    </w:p>
    <w:p>
      <w:pPr>
        <w:spacing w:after="104"/>
      </w:pPr>
      <w:r>
        <w:rPr>
          <w:rFonts w:ascii="Arial" w:cs="Arial" w:eastAsia="Arial" w:hAnsi="Arial"/>
          <w:i/>
          <w:iCs/>
          <w:color w:val="595959"/>
          <w:sz w:val="17"/>
          <w:szCs w:val="17"/>
        </w:rPr>
        <w:t xml:space="preserve">Overlap: Overlaps SR 10-6 (expectation) board ownership of liquidity risk and OCC liquidity expectations.  Reform: One board liquidity-risk-tolerance approval satisfies rule and guidance.</w:t>
      </w:r>
    </w:p>
    <w:p>
      <w:pPr>
        <w:keepNext/>
        <w:spacing w:after="16" w:before="104"/>
      </w:pPr>
      <w:r>
        <w:rPr>
          <w:rFonts w:ascii="Arial" w:cs="Arial" w:eastAsia="Arial" w:hAnsi="Arial"/>
          <w:b/>
          <w:bCs/>
          <w:color w:val="1F3864"/>
          <w:sz w:val="21"/>
          <w:szCs w:val="21"/>
        </w:rPr>
        <w:t xml:space="preserve">LIQ-02  —  Full board  ·  BHC</w:t>
      </w:r>
      <w:r>
        <w:rPr>
          <w:sz w:val="2"/>
          <w:szCs w:val="2"/>
        </w:rPr>
        <w:t xml:space="preserve"/>
      </w:r>
    </w:p>
    <w:p>
      <w:pPr>
        <w:spacing w:after="24"/>
      </w:pPr>
      <w:r>
        <w:rPr>
          <w:rFonts w:ascii="Arial" w:cs="Arial" w:eastAsia="Arial" w:hAnsi="Arial"/>
          <w:sz w:val="21"/>
          <w:szCs w:val="21"/>
        </w:rPr>
        <w:t xml:space="preserve">Board must review, at least semi-annually, whether the firm is operating within its established liquidity risk tolerance.</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part 252 subpart D, 12 CFR 252.34(a)(1)(ii).</w:t>
      </w:r>
      <w:r>
        <w:rPr>
          <w:rFonts w:ascii="Arial" w:cs="Arial" w:eastAsia="Arial" w:hAnsi="Arial"/>
          <w:i/>
          <w:iCs/>
          <w:color w:val="3B6FB0"/>
          <w:sz w:val="15"/>
          <w:szCs w:val="15"/>
        </w:rPr>
        <w:t xml:space="preserve"> [https://www.ecfr.gov/current/title-12/chapter-II/part-252]</w:t>
      </w:r>
    </w:p>
    <w:p>
      <w:pPr>
        <w:spacing w:after="6"/>
      </w:pPr>
      <w:r>
        <w:rPr>
          <w:rFonts w:ascii="Arial" w:cs="Arial" w:eastAsia="Arial" w:hAnsi="Arial"/>
          <w:i/>
          <w:iCs/>
          <w:color w:val="7030A0"/>
          <w:sz w:val="17"/>
          <w:szCs w:val="17"/>
        </w:rPr>
        <w:t xml:space="preserve">Legal force: Regulation  ·  Consequence: Enforcement (cease-and-desist, CMP); rating downgrade  ·  Cadence: Annual  ·  Cluster: Liquidity risk management  ·  Redundancy: Candidate redundancy  ·  Confidence: High</w:t>
      </w:r>
    </w:p>
    <w:p>
      <w:pPr>
        <w:spacing w:after="104"/>
      </w:pPr>
      <w:r>
        <w:rPr>
          <w:rFonts w:ascii="Arial" w:cs="Arial" w:eastAsia="Arial" w:hAnsi="Arial"/>
          <w:i/>
          <w:iCs/>
          <w:color w:val="595959"/>
          <w:sz w:val="17"/>
          <w:szCs w:val="17"/>
        </w:rPr>
        <w:t xml:space="preserve">Overlap: Cadence overlaps quarterly liquidity reporting under SR 10-6.  Reform: Single liquidity reporting/review cadence.</w:t>
      </w:r>
    </w:p>
    <w:p>
      <w:pPr>
        <w:keepNext/>
        <w:spacing w:after="16" w:before="104"/>
      </w:pPr>
      <w:r>
        <w:rPr>
          <w:rFonts w:ascii="Arial" w:cs="Arial" w:eastAsia="Arial" w:hAnsi="Arial"/>
          <w:b/>
          <w:bCs/>
          <w:color w:val="1F3864"/>
          <w:sz w:val="21"/>
          <w:szCs w:val="21"/>
        </w:rPr>
        <w:t xml:space="preserve">LIQ-03  —  Full board  ·  BHC</w:t>
      </w:r>
      <w:r>
        <w:rPr>
          <w:sz w:val="2"/>
          <w:szCs w:val="2"/>
        </w:rPr>
        <w:t xml:space="preserve"/>
      </w:r>
    </w:p>
    <w:p>
      <w:pPr>
        <w:spacing w:after="24"/>
      </w:pPr>
      <w:r>
        <w:rPr>
          <w:rFonts w:ascii="Arial" w:cs="Arial" w:eastAsia="Arial" w:hAnsi="Arial"/>
          <w:sz w:val="21"/>
          <w:szCs w:val="21"/>
        </w:rPr>
        <w:t xml:space="preserve">Board must approve and periodically review the liquidity risk-management strategies, policies, and procedures.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part 252 subpart D, 12 CFR 252.34(a)(2).</w:t>
      </w:r>
      <w:r>
        <w:rPr>
          <w:rFonts w:ascii="Arial" w:cs="Arial" w:eastAsia="Arial" w:hAnsi="Arial"/>
          <w:i/>
          <w:iCs/>
          <w:color w:val="3B6FB0"/>
          <w:sz w:val="15"/>
          <w:szCs w:val="15"/>
        </w:rPr>
        <w:t xml:space="preserve"> [https://www.ecfr.gov/current/title-12/chapter-II/part-252]</w:t>
      </w:r>
    </w:p>
    <w:p>
      <w:pPr>
        <w:spacing w:after="6"/>
      </w:pPr>
      <w:r>
        <w:rPr>
          <w:rFonts w:ascii="Arial" w:cs="Arial" w:eastAsia="Arial" w:hAnsi="Arial"/>
          <w:i/>
          <w:iCs/>
          <w:color w:val="7030A0"/>
          <w:sz w:val="17"/>
          <w:szCs w:val="17"/>
        </w:rPr>
        <w:t xml:space="preserve">Legal force: Regulation  ·  Consequence: Enforcement (cease-and-desist, CMP); rating downgrade  ·  Cadence: Periodic / ongoing  ·  Cluster: Liquidity risk management  ·  Redundancy: Candidate redundancy  ·  Confidence: High</w:t>
      </w:r>
    </w:p>
    <w:p>
      <w:pPr>
        <w:spacing w:after="104"/>
      </w:pPr>
      <w:r>
        <w:rPr>
          <w:rFonts w:ascii="Arial" w:cs="Arial" w:eastAsia="Arial" w:hAnsi="Arial"/>
          <w:i/>
          <w:iCs/>
          <w:color w:val="595959"/>
          <w:sz w:val="17"/>
          <w:szCs w:val="17"/>
        </w:rPr>
        <w:t xml:space="preserve">Overlap: Substantially the same duty stated in SR 10-6 (expectation) at two levels.  Reform: Consolidate; cross-reference rather than restate.</w:t>
      </w:r>
    </w:p>
    <w:p>
      <w:pPr>
        <w:keepNext/>
        <w:spacing w:after="16" w:before="104"/>
      </w:pPr>
      <w:r>
        <w:rPr>
          <w:rFonts w:ascii="Arial" w:cs="Arial" w:eastAsia="Arial" w:hAnsi="Arial"/>
          <w:b/>
          <w:bCs/>
          <w:color w:val="1F3864"/>
          <w:sz w:val="21"/>
          <w:szCs w:val="21"/>
        </w:rPr>
        <w:t xml:space="preserve">LIQ-04  —  Risk committee  ·  BHC</w:t>
      </w:r>
      <w:r>
        <w:rPr>
          <w:sz w:val="2"/>
          <w:szCs w:val="2"/>
        </w:rPr>
        <w:t xml:space="preserve"/>
      </w:r>
    </w:p>
    <w:p>
      <w:pPr>
        <w:spacing w:after="24"/>
      </w:pPr>
      <w:r>
        <w:rPr>
          <w:rFonts w:ascii="Arial" w:cs="Arial" w:eastAsia="Arial" w:hAnsi="Arial"/>
          <w:sz w:val="21"/>
          <w:szCs w:val="21"/>
        </w:rPr>
        <w:t xml:space="preserve">Risk committee (or a designated subcommittee of board members) must approve the contingency funding plan at least annually and approve material revisions before implementation.</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part 252 subpart D, 12 CFR 252.34(b).</w:t>
      </w:r>
      <w:r>
        <w:rPr>
          <w:rFonts w:ascii="Arial" w:cs="Arial" w:eastAsia="Arial" w:hAnsi="Arial"/>
          <w:i/>
          <w:iCs/>
          <w:color w:val="3B6FB0"/>
          <w:sz w:val="15"/>
          <w:szCs w:val="15"/>
        </w:rPr>
        <w:t xml:space="preserve"> [https://www.ecfr.gov/current/title-12/chapter-II/part-252]</w:t>
      </w:r>
    </w:p>
    <w:p>
      <w:pPr>
        <w:spacing w:after="6"/>
      </w:pPr>
      <w:r>
        <w:rPr>
          <w:rFonts w:ascii="Arial" w:cs="Arial" w:eastAsia="Arial" w:hAnsi="Arial"/>
          <w:i/>
          <w:iCs/>
          <w:color w:val="7030A0"/>
          <w:sz w:val="17"/>
          <w:szCs w:val="17"/>
        </w:rPr>
        <w:t xml:space="preserve">Legal force: Regulation  ·  Consequence: Enforcement (cease-and-desist, CMP); rating downgrade  ·  Cadence: Annual  ·  Cluster: Resolution, recovery &amp; contingency funding  ·  Redundancy: Mixed (parallel-but-justified + candidate redundancy)  ·  Confidence: High</w:t>
      </w:r>
    </w:p>
    <w:p>
      <w:pPr>
        <w:spacing w:after="104"/>
      </w:pPr>
      <w:r>
        <w:rPr>
          <w:rFonts w:ascii="Arial" w:cs="Arial" w:eastAsia="Arial" w:hAnsi="Arial"/>
          <w:i/>
          <w:iCs/>
          <w:color w:val="595959"/>
          <w:sz w:val="17"/>
          <w:szCs w:val="17"/>
        </w:rPr>
        <w:t xml:space="preserve">Overlap: One of three related resilience plans (CFP / recovery / resolution) on different cycles.  Reform: Integrate CFP, recovery, and resolution into a single 'resilience planning' board cycle.</w:t>
      </w:r>
    </w:p>
    <w:p>
      <w:pPr>
        <w:pStyle w:val="Heading2"/>
      </w:pPr>
      <w:r>
        <w:t xml:space="preserve">4. Resolution &amp; recovery planning</w:t>
      </w:r>
    </w:p>
    <w:p>
      <w:pPr>
        <w:keepNext/>
        <w:spacing w:after="16" w:before="104"/>
      </w:pPr>
      <w:r>
        <w:rPr>
          <w:rFonts w:ascii="Arial" w:cs="Arial" w:eastAsia="Arial" w:hAnsi="Arial"/>
          <w:b/>
          <w:bCs/>
          <w:color w:val="1F3864"/>
          <w:sz w:val="21"/>
          <w:szCs w:val="21"/>
        </w:rPr>
        <w:t xml:space="preserve">RES-01  —  Full board  ·  BHC</w:t>
      </w:r>
      <w:r>
        <w:rPr>
          <w:sz w:val="2"/>
          <w:szCs w:val="2"/>
        </w:rPr>
        <w:t xml:space="preserve"/>
      </w:r>
    </w:p>
    <w:p>
      <w:pPr>
        <w:spacing w:after="24"/>
      </w:pPr>
      <w:r>
        <w:rPr>
          <w:rFonts w:ascii="Arial" w:cs="Arial" w:eastAsia="Arial" w:hAnsi="Arial"/>
          <w:sz w:val="21"/>
          <w:szCs w:val="21"/>
        </w:rPr>
        <w:t xml:space="preserve">The Title I resolution plan (living will) must be approved by the board of directors and noted in the minutes before submission. Non-delegable; applies to a document that can exceed 100,000 pages.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Dodd-Frank section 165(d); Regulation QQ, 12 CFR part 243, 12 U.S.C. 5365(d); 12 CFR 243.4(f).</w:t>
      </w:r>
      <w:r>
        <w:rPr>
          <w:rFonts w:ascii="Arial" w:cs="Arial" w:eastAsia="Arial" w:hAnsi="Arial"/>
          <w:i/>
          <w:iCs/>
          <w:color w:val="3B6FB0"/>
          <w:sz w:val="15"/>
          <w:szCs w:val="15"/>
        </w:rPr>
        <w:t xml:space="preserve"> [https://www.ecfr.gov/current/title-12/chapter-II/part-243]</w:t>
      </w:r>
    </w:p>
    <w:p>
      <w:pPr>
        <w:spacing w:after="6"/>
      </w:pPr>
      <w:r>
        <w:rPr>
          <w:rFonts w:ascii="Arial" w:cs="Arial" w:eastAsia="Arial" w:hAnsi="Arial"/>
          <w:i/>
          <w:iCs/>
          <w:color w:val="7030A0"/>
          <w:sz w:val="17"/>
          <w:szCs w:val="17"/>
        </w:rPr>
        <w:t xml:space="preserve">Legal force: Regulation  ·  Consequence: Enforcement (cease-and-desist, CMP); rating downgrade  ·  Cadence: Event-driven  ·  Cluster: Resolution, recovery &amp; contingency funding  ·  Redundancy: Parallel but justified (distinct FDIC interest)  ·  Confidence: High</w:t>
      </w:r>
    </w:p>
    <w:p>
      <w:pPr>
        <w:spacing w:after="104"/>
      </w:pPr>
      <w:r>
        <w:rPr>
          <w:rFonts w:ascii="Arial" w:cs="Arial" w:eastAsia="Arial" w:hAnsi="Arial"/>
          <w:i/>
          <w:iCs/>
          <w:color w:val="595959"/>
          <w:sz w:val="17"/>
          <w:szCs w:val="17"/>
        </w:rPr>
        <w:t xml:space="preserve">Overlap: Parallel to the FDIC IDI resolution plan (RES-02): two minuted approvals, two cadences, two rules, overlapping content.  Reform: Permit a single board approval covering both the Title I and IDI submissions, with an IDI annex.</w:t>
      </w:r>
    </w:p>
    <w:p>
      <w:pPr>
        <w:keepNext/>
        <w:spacing w:after="16" w:before="104"/>
      </w:pPr>
      <w:r>
        <w:rPr>
          <w:rFonts w:ascii="Arial" w:cs="Arial" w:eastAsia="Arial" w:hAnsi="Arial"/>
          <w:b/>
          <w:bCs/>
          <w:color w:val="1F3864"/>
          <w:sz w:val="21"/>
          <w:szCs w:val="21"/>
        </w:rPr>
        <w:t xml:space="preserve">RES-02  —  Full board or appropriate committee  ·  IDI</w:t>
      </w:r>
      <w:r>
        <w:rPr>
          <w:sz w:val="2"/>
          <w:szCs w:val="2"/>
        </w:rPr>
        <w:t xml:space="preserve"/>
      </w:r>
    </w:p>
    <w:p>
      <w:pPr>
        <w:spacing w:after="24"/>
      </w:pPr>
      <w:r>
        <w:rPr>
          <w:rFonts w:ascii="Arial" w:cs="Arial" w:eastAsia="Arial" w:hAnsi="Arial"/>
          <w:sz w:val="21"/>
          <w:szCs w:val="21"/>
        </w:rPr>
        <w:t xml:space="preserve">The covered IDI's resolution submission must include board/committee escalation procedures and (per the rule's governance content) board approval of the submission.</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FDIC IDI Resolution Plan Rule, 12 CFR 360.10, 12 CFR 360.10(c)(5).</w:t>
      </w:r>
      <w:r>
        <w:rPr>
          <w:rFonts w:ascii="Arial" w:cs="Arial" w:eastAsia="Arial" w:hAnsi="Arial"/>
          <w:i/>
          <w:iCs/>
          <w:color w:val="3B6FB0"/>
          <w:sz w:val="15"/>
          <w:szCs w:val="15"/>
        </w:rPr>
        <w:t xml:space="preserve"> [https://www.ecfr.gov/current/title-12/chapter-III/part-360/section-360.10]</w:t>
      </w:r>
    </w:p>
    <w:p>
      <w:pPr>
        <w:spacing w:after="6"/>
      </w:pPr>
      <w:r>
        <w:rPr>
          <w:rFonts w:ascii="Arial" w:cs="Arial" w:eastAsia="Arial" w:hAnsi="Arial"/>
          <w:i/>
          <w:iCs/>
          <w:color w:val="7030A0"/>
          <w:sz w:val="17"/>
          <w:szCs w:val="17"/>
        </w:rPr>
        <w:t xml:space="preserve">Legal force: Regulation  ·  Consequence: Enforcement (cease-and-desist, CMP); rating downgrade  ·  Cadence: Periodic / ongoing  ·  Cluster: Resolution, recovery &amp; contingency funding  ·  Redundancy: Parallel but justified (distinct FDIC interest)  ·  Confidence: High</w:t>
      </w:r>
    </w:p>
    <w:p>
      <w:pPr>
        <w:spacing w:after="104"/>
      </w:pPr>
      <w:r>
        <w:rPr>
          <w:rFonts w:ascii="Arial" w:cs="Arial" w:eastAsia="Arial" w:hAnsi="Arial"/>
          <w:i/>
          <w:iCs/>
          <w:color w:val="595959"/>
          <w:sz w:val="17"/>
          <w:szCs w:val="17"/>
        </w:rPr>
        <w:t xml:space="preserve">Overlap: Direct duplication with the parent Title I plan for GSIB-owned banks.  Reform: Shared resolution submission; one board approval.</w:t>
      </w:r>
    </w:p>
    <w:p>
      <w:pPr>
        <w:keepNext/>
        <w:spacing w:after="16" w:before="104"/>
      </w:pPr>
      <w:r>
        <w:rPr>
          <w:rFonts w:ascii="Arial" w:cs="Arial" w:eastAsia="Arial" w:hAnsi="Arial"/>
          <w:b/>
          <w:bCs/>
          <w:color w:val="1F3864"/>
          <w:sz w:val="21"/>
          <w:szCs w:val="21"/>
        </w:rPr>
        <w:t xml:space="preserve">RES-03  —  n/a (rescinded)  ·  IDI</w:t>
      </w:r>
      <w:r>
        <w:rPr>
          <w:rFonts w:ascii="Arial" w:cs="Arial" w:eastAsia="Arial" w:hAnsi="Arial"/>
          <w:b/>
          <w:bCs/>
          <w:color w:val="C00000"/>
          <w:sz w:val="17"/>
          <w:szCs w:val="17"/>
        </w:rPr>
        <w:t xml:space="preserve">  [RESCINDED EFFECTIVE MAY 1, 2026 (91 FR DOC. 2026-06281; OCC BULLETIN 2026-10)]</w:t>
      </w:r>
    </w:p>
    <w:p>
      <w:pPr>
        <w:spacing w:after="24"/>
      </w:pPr>
      <w:r>
        <w:rPr>
          <w:rFonts w:ascii="Arial" w:cs="Arial" w:eastAsia="Arial" w:hAnsi="Arial"/>
          <w:sz w:val="21"/>
          <w:szCs w:val="21"/>
        </w:rPr>
        <w:t xml:space="preserve">RESCINDED: the board's duty to review and approve the IDI recovery plan at least annually no longer exists. The only remaining recovery-planning hook is the holding-company SR 14-8 oversight expectation (catalogued in the supervisory-expectations inventory).</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Recovery Planning Guidelines, 12 CFR part 30, App. E, App. E (rescinded).</w:t>
      </w:r>
      <w:r>
        <w:rPr>
          <w:rFonts w:ascii="Arial" w:cs="Arial" w:eastAsia="Arial" w:hAnsi="Arial"/>
          <w:i/>
          <w:iCs/>
          <w:color w:val="3B6FB0"/>
          <w:sz w:val="15"/>
          <w:szCs w:val="15"/>
        </w:rPr>
        <w:t xml:space="preserve"> [https://www.occ.gov/news-issuances/bulletins/2026/bulletin-2026-10.html]</w:t>
      </w:r>
    </w:p>
    <w:p>
      <w:pPr>
        <w:spacing w:after="6"/>
      </w:pPr>
      <w:r>
        <w:rPr>
          <w:rFonts w:ascii="Arial" w:cs="Arial" w:eastAsia="Arial" w:hAnsi="Arial"/>
          <w:i/>
          <w:iCs/>
          <w:color w:val="7030A0"/>
          <w:sz w:val="17"/>
          <w:szCs w:val="17"/>
        </w:rPr>
        <w:t xml:space="preserve">Legal force: Rescinded  ·  Consequence: None (not in force)  ·  Cadence: Annual  ·  Cluster: Resolution, recovery &amp; contingency funding  ·  Redundancy: Mixed (parallel-but-justified + candidate redundancy)  ·  Confidence: High (web-verified)</w:t>
      </w:r>
    </w:p>
    <w:p>
      <w:pPr>
        <w:spacing w:after="104"/>
      </w:pPr>
      <w:r>
        <w:rPr>
          <w:rFonts w:ascii="Arial" w:cs="Arial" w:eastAsia="Arial" w:hAnsi="Arial"/>
          <w:i/>
          <w:iCs/>
          <w:color w:val="595959"/>
          <w:sz w:val="17"/>
          <w:szCs w:val="17"/>
        </w:rPr>
        <w:t xml:space="preserve">Overlap: Was duplicative of SR 14-8 until rescission; now parent-only and guidance-only.  Reform: Already removed; confirm no residual re-imposition via the Heightened Standards.</w:t>
      </w:r>
    </w:p>
    <w:p>
      <w:pPr>
        <w:pStyle w:val="Heading2"/>
      </w:pPr>
      <w:r>
        <w:t xml:space="preserve">5. TLAC, single-counterparty &amp; GSIB structural limits</w:t>
      </w:r>
    </w:p>
    <w:p>
      <w:pPr>
        <w:keepNext/>
        <w:spacing w:after="16" w:before="104"/>
      </w:pPr>
      <w:r>
        <w:rPr>
          <w:rFonts w:ascii="Arial" w:cs="Arial" w:eastAsia="Arial" w:hAnsi="Arial"/>
          <w:b/>
          <w:bCs/>
          <w:color w:val="1F3864"/>
          <w:sz w:val="21"/>
          <w:szCs w:val="21"/>
        </w:rPr>
        <w:t xml:space="preserve">TLA-01  —  Full board  ·  BHC</w:t>
      </w:r>
      <w:r>
        <w:rPr>
          <w:sz w:val="2"/>
          <w:szCs w:val="2"/>
        </w:rPr>
        <w:t xml:space="preserve"/>
      </w:r>
    </w:p>
    <w:p>
      <w:pPr>
        <w:spacing w:after="24"/>
      </w:pPr>
      <w:r>
        <w:rPr>
          <w:rFonts w:ascii="Arial" w:cs="Arial" w:eastAsia="Arial" w:hAnsi="Arial"/>
          <w:sz w:val="21"/>
          <w:szCs w:val="21"/>
        </w:rPr>
        <w:t xml:space="preserve">Board oversight of compliance with external long-term debt and total loss-absorbing capacity (TLAC) requirements.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part 252 subpart G, 12 CFR 252.62-252.63.</w:t>
      </w:r>
      <w:r>
        <w:rPr>
          <w:rFonts w:ascii="Arial" w:cs="Arial" w:eastAsia="Arial" w:hAnsi="Arial"/>
          <w:i/>
          <w:iCs/>
          <w:color w:val="3B6FB0"/>
          <w:sz w:val="15"/>
          <w:szCs w:val="15"/>
        </w:rPr>
        <w:t xml:space="preserve"> [https://www.ecfr.gov/current/title-12/chapter-II/part-252]</w:t>
      </w:r>
    </w:p>
    <w:p>
      <w:pPr>
        <w:spacing w:after="6"/>
      </w:pPr>
      <w:r>
        <w:rPr>
          <w:rFonts w:ascii="Arial" w:cs="Arial" w:eastAsia="Arial" w:hAnsi="Arial"/>
          <w:i/>
          <w:iCs/>
          <w:color w:val="7030A0"/>
          <w:sz w:val="17"/>
          <w:szCs w:val="17"/>
        </w:rPr>
        <w:t xml:space="preserve">Legal force: Regulation  ·  Consequence: Enforcement (cease-and-desist, CMP); rating downgrade  ·  Cadence: Periodic / ongoing  ·  Cluster: Unique structural duties  ·  Redundancy: Unique / limited overlap  ·  Confidence: High</w:t>
      </w:r>
    </w:p>
    <w:p>
      <w:pPr>
        <w:spacing w:after="104"/>
      </w:pPr>
      <w:r>
        <w:rPr>
          <w:rFonts w:ascii="Arial" w:cs="Arial" w:eastAsia="Arial" w:hAnsi="Arial"/>
          <w:i/>
          <w:iCs/>
          <w:color w:val="595959"/>
          <w:sz w:val="17"/>
          <w:szCs w:val="17"/>
        </w:rPr>
        <w:t xml:space="preserve">Overlap: Oversight folds into capital/resolution governance.  Reform: Fold into the capital-plan board cycle.</w:t>
      </w:r>
    </w:p>
    <w:p>
      <w:pPr>
        <w:keepNext/>
        <w:spacing w:after="16" w:before="104"/>
      </w:pPr>
      <w:r>
        <w:rPr>
          <w:rFonts w:ascii="Arial" w:cs="Arial" w:eastAsia="Arial" w:hAnsi="Arial"/>
          <w:b/>
          <w:bCs/>
          <w:color w:val="1F3864"/>
          <w:sz w:val="21"/>
          <w:szCs w:val="21"/>
        </w:rPr>
        <w:t xml:space="preserve">TLA-02  —  Full board  ·  BHC</w:t>
      </w:r>
      <w:r>
        <w:rPr>
          <w:sz w:val="2"/>
          <w:szCs w:val="2"/>
        </w:rPr>
        <w:t xml:space="preserve"/>
      </w:r>
    </w:p>
    <w:p>
      <w:pPr>
        <w:spacing w:after="24"/>
      </w:pPr>
      <w:r>
        <w:rPr>
          <w:rFonts w:ascii="Arial" w:cs="Arial" w:eastAsia="Arial" w:hAnsi="Arial"/>
          <w:sz w:val="21"/>
          <w:szCs w:val="21"/>
        </w:rPr>
        <w:t xml:space="preserve">Board oversight of compliance with the clean-holding-company restrictions on the corporate practices of U.S. GSIBs.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part 252 subpart G, 12 CFR 252.64.</w:t>
      </w:r>
      <w:r>
        <w:rPr>
          <w:rFonts w:ascii="Arial" w:cs="Arial" w:eastAsia="Arial" w:hAnsi="Arial"/>
          <w:i/>
          <w:iCs/>
          <w:color w:val="3B6FB0"/>
          <w:sz w:val="15"/>
          <w:szCs w:val="15"/>
        </w:rPr>
        <w:t xml:space="preserve"> [https://www.ecfr.gov/current/title-12/chapter-II/part-252]</w:t>
      </w:r>
    </w:p>
    <w:p>
      <w:pPr>
        <w:spacing w:after="6"/>
      </w:pPr>
      <w:r>
        <w:rPr>
          <w:rFonts w:ascii="Arial" w:cs="Arial" w:eastAsia="Arial" w:hAnsi="Arial"/>
          <w:i/>
          <w:iCs/>
          <w:color w:val="7030A0"/>
          <w:sz w:val="17"/>
          <w:szCs w:val="17"/>
        </w:rPr>
        <w:t xml:space="preserve">Legal force: Regulation  ·  Consequence: Enforcement (cease-and-desist, CMP); rating downgrade  ·  Cadence: Periodic / ongoing  ·  Cluster: Unique structural duties  ·  Redundancy: Unique / limited overlap  ·  Confidence: High</w:t>
      </w:r>
    </w:p>
    <w:p>
      <w:pPr>
        <w:spacing w:after="104"/>
      </w:pPr>
      <w:r>
        <w:rPr>
          <w:rFonts w:ascii="Arial" w:cs="Arial" w:eastAsia="Arial" w:hAnsi="Arial"/>
          <w:i/>
          <w:iCs/>
          <w:color w:val="595959"/>
          <w:sz w:val="17"/>
          <w:szCs w:val="17"/>
        </w:rPr>
        <w:t xml:space="preserve">Overlap: Minimal; GSIB-specific.  Reform: Retain; distinct structural purpose.</w:t>
      </w:r>
    </w:p>
    <w:p>
      <w:pPr>
        <w:keepNext/>
        <w:spacing w:after="16" w:before="104"/>
      </w:pPr>
      <w:r>
        <w:rPr>
          <w:rFonts w:ascii="Arial" w:cs="Arial" w:eastAsia="Arial" w:hAnsi="Arial"/>
          <w:b/>
          <w:bCs/>
          <w:color w:val="1F3864"/>
          <w:sz w:val="21"/>
          <w:szCs w:val="21"/>
        </w:rPr>
        <w:t xml:space="preserve">TLA-03  —  Full board  ·  BHC</w:t>
      </w:r>
      <w:r>
        <w:rPr>
          <w:sz w:val="2"/>
          <w:szCs w:val="2"/>
        </w:rPr>
        <w:t xml:space="preserve"/>
      </w:r>
    </w:p>
    <w:p>
      <w:pPr>
        <w:spacing w:after="24"/>
      </w:pPr>
      <w:r>
        <w:rPr>
          <w:rFonts w:ascii="Arial" w:cs="Arial" w:eastAsia="Arial" w:hAnsi="Arial"/>
          <w:sz w:val="21"/>
          <w:szCs w:val="21"/>
        </w:rPr>
        <w:t xml:space="preserve">Board oversight of compliance with single-counterparty credit-exposure limits.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part 252 subpart H, 12 CFR 252.70-252.78.</w:t>
      </w:r>
      <w:r>
        <w:rPr>
          <w:rFonts w:ascii="Arial" w:cs="Arial" w:eastAsia="Arial" w:hAnsi="Arial"/>
          <w:i/>
          <w:iCs/>
          <w:color w:val="3B6FB0"/>
          <w:sz w:val="15"/>
          <w:szCs w:val="15"/>
        </w:rPr>
        <w:t xml:space="preserve"> [https://www.ecfr.gov/current/title-12/chapter-II/part-252]</w:t>
      </w:r>
    </w:p>
    <w:p>
      <w:pPr>
        <w:spacing w:after="6"/>
      </w:pPr>
      <w:r>
        <w:rPr>
          <w:rFonts w:ascii="Arial" w:cs="Arial" w:eastAsia="Arial" w:hAnsi="Arial"/>
          <w:i/>
          <w:iCs/>
          <w:color w:val="7030A0"/>
          <w:sz w:val="17"/>
          <w:szCs w:val="17"/>
        </w:rPr>
        <w:t xml:space="preserve">Legal force: Regulation  ·  Consequence: Enforcement (cease-and-desist, CMP); rating downgrade  ·  Cadence: Periodic / ongoing  ·  Cluster: Unique structural duties  ·  Redundancy: Unique / limited overlap  ·  Confidence: High</w:t>
      </w:r>
    </w:p>
    <w:p>
      <w:pPr>
        <w:spacing w:after="104"/>
      </w:pPr>
      <w:r>
        <w:rPr>
          <w:rFonts w:ascii="Arial" w:cs="Arial" w:eastAsia="Arial" w:hAnsi="Arial"/>
          <w:i/>
          <w:iCs/>
          <w:color w:val="595959"/>
          <w:sz w:val="17"/>
          <w:szCs w:val="17"/>
        </w:rPr>
        <w:t xml:space="preserve">Overlap: Oversight overlaps enterprise risk-limit monitoring.  Reform: Cover within risk-committee limit monitoring.</w:t>
      </w:r>
    </w:p>
    <w:p>
      <w:pPr>
        <w:pStyle w:val="Heading2"/>
      </w:pPr>
      <w:r>
        <w:t xml:space="preserve">6. Volcker &amp; trading-compliance attestation</w:t>
      </w:r>
    </w:p>
    <w:p>
      <w:pPr>
        <w:keepNext/>
        <w:spacing w:after="16" w:before="104"/>
      </w:pPr>
      <w:r>
        <w:rPr>
          <w:rFonts w:ascii="Arial" w:cs="Arial" w:eastAsia="Arial" w:hAnsi="Arial"/>
          <w:b/>
          <w:bCs/>
          <w:color w:val="1F3864"/>
          <w:sz w:val="21"/>
          <w:szCs w:val="21"/>
        </w:rPr>
        <w:t xml:space="preserve">VOL-01  —  Full board  ·  BHC &amp; IDI</w:t>
      </w:r>
      <w:r>
        <w:rPr>
          <w:sz w:val="2"/>
          <w:szCs w:val="2"/>
        </w:rPr>
        <w:t xml:space="preserve"/>
      </w:r>
    </w:p>
    <w:p>
      <w:pPr>
        <w:spacing w:after="24"/>
      </w:pPr>
      <w:r>
        <w:rPr>
          <w:rFonts w:ascii="Arial" w:cs="Arial" w:eastAsia="Arial" w:hAnsi="Arial"/>
          <w:sz w:val="21"/>
          <w:szCs w:val="21"/>
        </w:rPr>
        <w:t xml:space="preserve">Board must approve and oversee a Volcker Rule compliance program; for the largest firms the CEO must attest annually to the program's effectiveness.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Bank Holding Company Act section 13 (Volcker Rule), 12 U.S.C. 1851; 12 CFR part 248 (subpart D).</w:t>
      </w:r>
      <w:r>
        <w:rPr>
          <w:rFonts w:ascii="Arial" w:cs="Arial" w:eastAsia="Arial" w:hAnsi="Arial"/>
          <w:i/>
          <w:iCs/>
          <w:color w:val="3B6FB0"/>
          <w:sz w:val="15"/>
          <w:szCs w:val="15"/>
        </w:rPr>
        <w:t xml:space="preserve"> [https://www.ecfr.gov/current/title-12/chapter-II/part-248]</w:t>
      </w:r>
    </w:p>
    <w:p>
      <w:pPr>
        <w:spacing w:after="6"/>
      </w:pPr>
      <w:r>
        <w:rPr>
          <w:rFonts w:ascii="Arial" w:cs="Arial" w:eastAsia="Arial" w:hAnsi="Arial"/>
          <w:i/>
          <w:iCs/>
          <w:color w:val="7030A0"/>
          <w:sz w:val="17"/>
          <w:szCs w:val="17"/>
        </w:rPr>
        <w:t xml:space="preserve">Legal force: Regulation  ·  Consequence: Enforcement (cease-and-desist, CMP); rating downgrade  ·  Cadence: Annual  ·  Cluster: Unique structural duties  ·  Redundancy: Unique / limited overlap  ·  Confidence: High</w:t>
      </w:r>
    </w:p>
    <w:p>
      <w:pPr>
        <w:spacing w:after="104"/>
      </w:pPr>
      <w:r>
        <w:rPr>
          <w:rFonts w:ascii="Arial" w:cs="Arial" w:eastAsia="Arial" w:hAnsi="Arial"/>
          <w:i/>
          <w:iCs/>
          <w:color w:val="595959"/>
          <w:sz w:val="17"/>
          <w:szCs w:val="17"/>
        </w:rPr>
        <w:t xml:space="preserve">Overlap: CEO attestation overlaps the resolution-plan and SOX certification cycles.  Reform: Align the Volcker attestation cycle with other annual board certifications.</w:t>
      </w:r>
    </w:p>
    <w:p>
      <w:pPr>
        <w:pStyle w:val="Heading2"/>
      </w:pPr>
      <w:r>
        <w:t xml:space="preserve">7. Board composition &amp; independence</w:t>
      </w:r>
    </w:p>
    <w:p>
      <w:pPr>
        <w:keepNext/>
        <w:spacing w:after="16" w:before="104"/>
      </w:pPr>
      <w:r>
        <w:rPr>
          <w:rFonts w:ascii="Arial" w:cs="Arial" w:eastAsia="Arial" w:hAnsi="Arial"/>
          <w:b/>
          <w:bCs/>
          <w:color w:val="1F3864"/>
          <w:sz w:val="21"/>
          <w:szCs w:val="21"/>
        </w:rPr>
        <w:t xml:space="preserve">IND-01  —  Full board (composition)  ·  IDI</w:t>
      </w:r>
      <w:r>
        <w:rPr>
          <w:sz w:val="2"/>
          <w:szCs w:val="2"/>
        </w:rPr>
        <w:t xml:space="preserve"/>
      </w:r>
    </w:p>
    <w:p>
      <w:pPr>
        <w:spacing w:after="24"/>
      </w:pPr>
      <w:r>
        <w:rPr>
          <w:rFonts w:ascii="Arial" w:cs="Arial" w:eastAsia="Arial" w:hAnsi="Arial"/>
          <w:sz w:val="21"/>
          <w:szCs w:val="21"/>
        </w:rPr>
        <w:t xml:space="preserve">At least two members of the board must be independent (3-year no-officer/employee test; no immediate-family executive tie; independent under a national exchange's listing standards).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 III.D.</w:t>
      </w:r>
      <w:r>
        <w:rPr>
          <w:rFonts w:ascii="Arial" w:cs="Arial" w:eastAsia="Arial" w:hAnsi="Arial"/>
          <w:i/>
          <w:iCs/>
          <w:color w:val="3B6FB0"/>
          <w:sz w:val="15"/>
          <w:szCs w:val="15"/>
        </w:rPr>
        <w:t xml:space="preserve"> [https://www.ecfr.gov/current/title-12/chapter-I/part-30/appendix-Appendix%20D%20to%20Part%2030]</w:t>
      </w:r>
    </w:p>
    <w:p>
      <w:pPr>
        <w:spacing w:after="6"/>
      </w:pPr>
      <w:r>
        <w:rPr>
          <w:rFonts w:ascii="Arial" w:cs="Arial" w:eastAsia="Arial" w:hAnsi="Arial"/>
          <w:i/>
          <w:iCs/>
          <w:color w:val="7030A0"/>
          <w:sz w:val="17"/>
          <w:szCs w:val="17"/>
        </w:rPr>
        <w:t xml:space="preserve">Legal force: Regulation  ·  Consequence: Enforcement (cease-and-desist, CMP); rating downgrade  ·  Cadence: Periodic / ongoing  ·  Cluster: Director independence (cross-cutting)  ·  Redundancy: Candidate redundancy  ·  Confidence: Medium</w:t>
      </w:r>
    </w:p>
    <w:p>
      <w:pPr>
        <w:spacing w:after="104"/>
      </w:pPr>
      <w:r>
        <w:rPr>
          <w:rFonts w:ascii="Arial" w:cs="Arial" w:eastAsia="Arial" w:hAnsi="Arial"/>
          <w:i/>
          <w:iCs/>
          <w:color w:val="595959"/>
          <w:sz w:val="17"/>
          <w:szCs w:val="17"/>
        </w:rPr>
        <w:t xml:space="preserve">Overlap: One of six non-uniform independence tests.  Reform: Single prudential independence definition.</w:t>
      </w:r>
    </w:p>
    <w:p>
      <w:pPr>
        <w:keepNext/>
        <w:spacing w:after="16" w:before="104"/>
      </w:pPr>
      <w:r>
        <w:rPr>
          <w:rFonts w:ascii="Arial" w:cs="Arial" w:eastAsia="Arial" w:hAnsi="Arial"/>
          <w:b/>
          <w:bCs/>
          <w:color w:val="1F3864"/>
          <w:sz w:val="21"/>
          <w:szCs w:val="21"/>
        </w:rPr>
        <w:t xml:space="preserve">IND-02  —  Full board  ·  IDI</w:t>
      </w:r>
      <w:r>
        <w:rPr>
          <w:sz w:val="2"/>
          <w:szCs w:val="2"/>
        </w:rPr>
        <w:t xml:space="preserve"/>
      </w:r>
    </w:p>
    <w:p>
      <w:pPr>
        <w:spacing w:after="24"/>
      </w:pPr>
      <w:r>
        <w:rPr>
          <w:rFonts w:ascii="Arial" w:cs="Arial" w:eastAsia="Arial" w:hAnsi="Arial"/>
          <w:sz w:val="21"/>
          <w:szCs w:val="21"/>
        </w:rPr>
        <w:t xml:space="preserve">Board must establish and adhere to a formal, ongoing training program for all directors.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 III.E.</w:t>
      </w:r>
      <w:r>
        <w:rPr>
          <w:rFonts w:ascii="Arial" w:cs="Arial" w:eastAsia="Arial" w:hAnsi="Arial"/>
          <w:i/>
          <w:iCs/>
          <w:color w:val="3B6FB0"/>
          <w:sz w:val="15"/>
          <w:szCs w:val="15"/>
        </w:rPr>
        <w:t xml:space="preserve"> [https://www.ecfr.gov/current/title-12/chapter-I/part-30/appendix-Appendix%20D%20to%20Part%2030]</w:t>
      </w:r>
    </w:p>
    <w:p>
      <w:pPr>
        <w:spacing w:after="6"/>
      </w:pPr>
      <w:r>
        <w:rPr>
          <w:rFonts w:ascii="Arial" w:cs="Arial" w:eastAsia="Arial" w:hAnsi="Arial"/>
          <w:i/>
          <w:iCs/>
          <w:color w:val="7030A0"/>
          <w:sz w:val="17"/>
          <w:szCs w:val="17"/>
        </w:rPr>
        <w:t xml:space="preserve">Legal force: Regulation  ·  Consequence: Enforcement (cease-and-desist, CMP); rating downgrade  ·  Cadence: Periodic / ongoing  ·  Cluster: Director training  ·  Redundancy: Candidate redundancy  ·  Confidence: Medium</w:t>
      </w:r>
    </w:p>
    <w:p>
      <w:pPr>
        <w:spacing w:after="104"/>
      </w:pPr>
      <w:r>
        <w:rPr>
          <w:rFonts w:ascii="Arial" w:cs="Arial" w:eastAsia="Arial" w:hAnsi="Arial"/>
          <w:i/>
          <w:iCs/>
          <w:color w:val="595959"/>
          <w:sz w:val="17"/>
          <w:szCs w:val="17"/>
        </w:rPr>
        <w:t xml:space="preserve">Overlap: Overlaps SR 21-3 / Director's Book training expectations and BSA training.  Reform: One consolidated director-training program.</w:t>
      </w:r>
    </w:p>
    <w:p>
      <w:pPr>
        <w:keepNext/>
        <w:spacing w:after="16" w:before="104"/>
      </w:pPr>
      <w:r>
        <w:rPr>
          <w:rFonts w:ascii="Arial" w:cs="Arial" w:eastAsia="Arial" w:hAnsi="Arial"/>
          <w:b/>
          <w:bCs/>
          <w:color w:val="1F3864"/>
          <w:sz w:val="21"/>
          <w:szCs w:val="21"/>
        </w:rPr>
        <w:t xml:space="preserve">IND-03  —  Full board  ·  IDI</w:t>
      </w:r>
      <w:r>
        <w:rPr>
          <w:sz w:val="2"/>
          <w:szCs w:val="2"/>
        </w:rPr>
        <w:t xml:space="preserve"/>
      </w:r>
    </w:p>
    <w:p>
      <w:pPr>
        <w:spacing w:after="24"/>
      </w:pPr>
      <w:r>
        <w:rPr>
          <w:rFonts w:ascii="Arial" w:cs="Arial" w:eastAsia="Arial" w:hAnsi="Arial"/>
          <w:sz w:val="21"/>
          <w:szCs w:val="21"/>
        </w:rPr>
        <w:t xml:space="preserve">Board must conduct an annual self-assessment of its effectiveness in meeting the Section III standards.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 III.F.</w:t>
      </w:r>
      <w:r>
        <w:rPr>
          <w:rFonts w:ascii="Arial" w:cs="Arial" w:eastAsia="Arial" w:hAnsi="Arial"/>
          <w:i/>
          <w:iCs/>
          <w:color w:val="3B6FB0"/>
          <w:sz w:val="15"/>
          <w:szCs w:val="15"/>
        </w:rPr>
        <w:t xml:space="preserve"> [https://www.ecfr.gov/current/title-12/chapter-I/part-30/appendix-Appendix%20D%20to%20Part%2030]</w:t>
      </w:r>
    </w:p>
    <w:p>
      <w:pPr>
        <w:spacing w:after="6"/>
      </w:pPr>
      <w:r>
        <w:rPr>
          <w:rFonts w:ascii="Arial" w:cs="Arial" w:eastAsia="Arial" w:hAnsi="Arial"/>
          <w:i/>
          <w:iCs/>
          <w:color w:val="7030A0"/>
          <w:sz w:val="17"/>
          <w:szCs w:val="17"/>
        </w:rPr>
        <w:t xml:space="preserve">Legal force: Regulation  ·  Consequence: Enforcement (cease-and-desist, CMP); rating downgrade  ·  Cadence: Annual  ·  Cluster: Board self-assessment / effectiveness  ·  Redundancy: Candidate redundancy  ·  Confidence: Medium</w:t>
      </w:r>
    </w:p>
    <w:p>
      <w:pPr>
        <w:spacing w:after="104"/>
      </w:pPr>
      <w:r>
        <w:rPr>
          <w:rFonts w:ascii="Arial" w:cs="Arial" w:eastAsia="Arial" w:hAnsi="Arial"/>
          <w:i/>
          <w:iCs/>
          <w:color w:val="595959"/>
          <w:sz w:val="17"/>
          <w:szCs w:val="17"/>
        </w:rPr>
        <w:t xml:space="preserve">Overlap: Overlaps SR 21-3 board self-assessment (expectation).  Reform: Single interagency board-effectiveness self-assessment.</w:t>
      </w:r>
    </w:p>
    <w:p>
      <w:pPr>
        <w:keepNext/>
        <w:spacing w:after="16" w:before="104"/>
      </w:pPr>
      <w:r>
        <w:rPr>
          <w:rFonts w:ascii="Arial" w:cs="Arial" w:eastAsia="Arial" w:hAnsi="Arial"/>
          <w:b/>
          <w:bCs/>
          <w:color w:val="1F3864"/>
          <w:sz w:val="21"/>
          <w:szCs w:val="21"/>
        </w:rPr>
        <w:t xml:space="preserve">IND-04  —  Each director  ·  IDI</w:t>
      </w:r>
      <w:r>
        <w:rPr>
          <w:sz w:val="2"/>
          <w:szCs w:val="2"/>
        </w:rPr>
        <w:t xml:space="preserve"/>
      </w:r>
    </w:p>
    <w:p>
      <w:pPr>
        <w:spacing w:after="24"/>
      </w:pPr>
      <w:r>
        <w:rPr>
          <w:rFonts w:ascii="Arial" w:cs="Arial" w:eastAsia="Arial" w:hAnsi="Arial"/>
          <w:sz w:val="21"/>
          <w:szCs w:val="21"/>
        </w:rPr>
        <w:t xml:space="preserve">Each member of the board should exercise sound, independent judgment.</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 III.C.</w:t>
      </w:r>
      <w:r>
        <w:rPr>
          <w:rFonts w:ascii="Arial" w:cs="Arial" w:eastAsia="Arial" w:hAnsi="Arial"/>
          <w:i/>
          <w:iCs/>
          <w:color w:val="3B6FB0"/>
          <w:sz w:val="15"/>
          <w:szCs w:val="15"/>
        </w:rPr>
        <w:t xml:space="preserve"> [https://www.ecfr.gov/current/title-12/chapter-I/part-30/appendix-Appendix%20D%20to%20Part%2030]</w:t>
      </w:r>
    </w:p>
    <w:p>
      <w:pPr>
        <w:spacing w:after="6"/>
      </w:pPr>
      <w:r>
        <w:rPr>
          <w:rFonts w:ascii="Arial" w:cs="Arial" w:eastAsia="Arial" w:hAnsi="Arial"/>
          <w:i/>
          <w:iCs/>
          <w:color w:val="7030A0"/>
          <w:sz w:val="17"/>
          <w:szCs w:val="17"/>
        </w:rPr>
        <w:t xml:space="preserve">Legal force: Regulation  ·  Consequence: Enforcement (cease-and-desist, CMP); rating downgrade  ·  Cadence: Periodic / ongoing  ·  Cluster: Director independence (cross-cutting)  ·  Redundancy: Candidate redundancy  ·  Confidence: Medium</w:t>
      </w:r>
    </w:p>
    <w:p>
      <w:pPr>
        <w:spacing w:after="104"/>
      </w:pPr>
      <w:r>
        <w:rPr>
          <w:rFonts w:ascii="Arial" w:cs="Arial" w:eastAsia="Arial" w:hAnsi="Arial"/>
          <w:i/>
          <w:iCs/>
          <w:color w:val="595959"/>
          <w:sz w:val="17"/>
          <w:szCs w:val="17"/>
        </w:rPr>
        <w:t xml:space="preserve">Overlap: Conceptual overlap with FDIC director-duty standards.  Reform: Retain as principle.</w:t>
      </w:r>
    </w:p>
    <w:p>
      <w:pPr>
        <w:keepNext/>
        <w:spacing w:after="16" w:before="104"/>
      </w:pPr>
      <w:r>
        <w:rPr>
          <w:rFonts w:ascii="Arial" w:cs="Arial" w:eastAsia="Arial" w:hAnsi="Arial"/>
          <w:b/>
          <w:bCs/>
          <w:color w:val="1F3864"/>
          <w:sz w:val="21"/>
          <w:szCs w:val="21"/>
        </w:rPr>
        <w:t xml:space="preserve">IND-05  —  Audit committee  ·  Issuer</w:t>
      </w:r>
      <w:r>
        <w:rPr>
          <w:sz w:val="2"/>
          <w:szCs w:val="2"/>
        </w:rPr>
        <w:t xml:space="preserve"/>
      </w:r>
    </w:p>
    <w:p>
      <w:pPr>
        <w:spacing w:after="24"/>
      </w:pPr>
      <w:r>
        <w:rPr>
          <w:rFonts w:ascii="Arial" w:cs="Arial" w:eastAsia="Arial" w:hAnsi="Arial"/>
          <w:sz w:val="21"/>
          <w:szCs w:val="21"/>
        </w:rPr>
        <w:t xml:space="preserve">All audit-committee members must be independent, and the committee must have authority to engage independent counsel and advisers.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Sarbanes-Oxley section 301, SOX sec. 301; 17 CFR 240.10A-3.</w:t>
      </w:r>
      <w:r>
        <w:rPr>
          <w:rFonts w:ascii="Arial" w:cs="Arial" w:eastAsia="Arial" w:hAnsi="Arial"/>
          <w:i/>
          <w:iCs/>
          <w:color w:val="3B6FB0"/>
          <w:sz w:val="15"/>
          <w:szCs w:val="15"/>
        </w:rPr>
        <w:t xml:space="preserve"> [https://www.govinfo.gov/content/pkg/PLAW-107publ204/pdf/PLAW-107publ204.pdf]</w:t>
      </w:r>
    </w:p>
    <w:p>
      <w:pPr>
        <w:spacing w:after="6"/>
      </w:pPr>
      <w:r>
        <w:rPr>
          <w:rFonts w:ascii="Arial" w:cs="Arial" w:eastAsia="Arial" w:hAnsi="Arial"/>
          <w:i/>
          <w:iCs/>
          <w:color w:val="7030A0"/>
          <w:sz w:val="17"/>
          <w:szCs w:val="17"/>
        </w:rPr>
        <w:t xml:space="preserve">Legal force: Regulation  ·  Consequence: SEC enforcement; disclosure/securities liability  ·  Cadence: Periodic / ongoing  ·  Cluster: Director independence (cross-cutting)  ·  Redundancy: Candidate redundancy  ·  Confidence: High</w:t>
      </w:r>
    </w:p>
    <w:p>
      <w:pPr>
        <w:spacing w:after="104"/>
      </w:pPr>
      <w:r>
        <w:rPr>
          <w:rFonts w:ascii="Arial" w:cs="Arial" w:eastAsia="Arial" w:hAnsi="Arial"/>
          <w:i/>
          <w:iCs/>
          <w:color w:val="595959"/>
          <w:sz w:val="17"/>
          <w:szCs w:val="17"/>
        </w:rPr>
        <w:t xml:space="preserve">Overlap: Different independence test than FDICIA 'outside director' and Reg YY chair test.  Reform: Harmonize independence definitions across SEC and banking agencies.</w:t>
      </w:r>
    </w:p>
    <w:p>
      <w:pPr>
        <w:keepNext/>
        <w:spacing w:after="16" w:before="104"/>
      </w:pPr>
      <w:r>
        <w:rPr>
          <w:rFonts w:ascii="Arial" w:cs="Arial" w:eastAsia="Arial" w:hAnsi="Arial"/>
          <w:b/>
          <w:bCs/>
          <w:color w:val="1F3864"/>
          <w:sz w:val="21"/>
          <w:szCs w:val="21"/>
        </w:rPr>
        <w:t xml:space="preserve">IND-06  —  Full board; compensation committee; nominating committee  ·  Issuer</w:t>
      </w:r>
      <w:r>
        <w:rPr>
          <w:sz w:val="2"/>
          <w:szCs w:val="2"/>
        </w:rPr>
        <w:t xml:space="preserve"/>
      </w:r>
    </w:p>
    <w:p>
      <w:pPr>
        <w:spacing w:after="24"/>
      </w:pPr>
      <w:r>
        <w:rPr>
          <w:rFonts w:ascii="Arial" w:cs="Arial" w:eastAsia="Arial" w:hAnsi="Arial"/>
          <w:sz w:val="21"/>
          <w:szCs w:val="21"/>
        </w:rPr>
        <w:t xml:space="preserve">Majority-independent board; compensation committee fully independent; director nominations by independent directors or a nominating committee.</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NYSE / Nasdaq listing standards, NYSE Listed Company Manual 303A; Nasdaq Rule 5600.</w:t>
      </w:r>
      <w:r>
        <w:rPr>
          <w:rFonts w:ascii="Arial" w:cs="Arial" w:eastAsia="Arial" w:hAnsi="Arial"/>
          <w:i/>
          <w:iCs/>
          <w:color w:val="BF8F00"/>
          <w:sz w:val="15"/>
          <w:szCs w:val="15"/>
        </w:rPr>
        <w:t xml:space="preserve">  [URL not captured]</w:t>
      </w:r>
    </w:p>
    <w:p>
      <w:pPr>
        <w:spacing w:after="6"/>
      </w:pPr>
      <w:r>
        <w:rPr>
          <w:rFonts w:ascii="Arial" w:cs="Arial" w:eastAsia="Arial" w:hAnsi="Arial"/>
          <w:i/>
          <w:iCs/>
          <w:color w:val="7030A0"/>
          <w:sz w:val="17"/>
          <w:szCs w:val="17"/>
        </w:rPr>
        <w:t xml:space="preserve">Legal force: SRO listing standard  ·  Consequence: SEC enforcement; disclosure/securities liability  ·  Cadence: Periodic / ongoing  ·  Cluster: Director independence (cross-cutting)  ·  Redundancy: Candidate redundancy  ·  Confidence: Medium</w:t>
      </w:r>
    </w:p>
    <w:p>
      <w:pPr>
        <w:spacing w:after="104"/>
      </w:pPr>
      <w:r>
        <w:rPr>
          <w:rFonts w:ascii="Arial" w:cs="Arial" w:eastAsia="Arial" w:hAnsi="Arial"/>
          <w:i/>
          <w:iCs/>
          <w:color w:val="595959"/>
          <w:sz w:val="17"/>
          <w:szCs w:val="17"/>
        </w:rPr>
        <w:t xml:space="preserve">Overlap: Overlaps SOX, DFA 952, and banking independence tests.  Reform: Cross-reference exchange independence to satisfy prudential committee-independence expectations.</w:t>
      </w:r>
    </w:p>
    <w:p>
      <w:pPr>
        <w:keepNext/>
        <w:spacing w:after="16" w:before="104"/>
      </w:pPr>
      <w:r>
        <w:rPr>
          <w:rFonts w:ascii="Arial" w:cs="Arial" w:eastAsia="Arial" w:hAnsi="Arial"/>
          <w:b/>
          <w:bCs/>
          <w:color w:val="1F3864"/>
          <w:sz w:val="21"/>
          <w:szCs w:val="21"/>
        </w:rPr>
        <w:t xml:space="preserve">IND-07  —  Compensation committee  ·  Issuer</w:t>
      </w:r>
      <w:r>
        <w:rPr>
          <w:sz w:val="2"/>
          <w:szCs w:val="2"/>
        </w:rPr>
        <w:t xml:space="preserve"/>
      </w:r>
    </w:p>
    <w:p>
      <w:pPr>
        <w:spacing w:after="24"/>
      </w:pPr>
      <w:r>
        <w:rPr>
          <w:rFonts w:ascii="Arial" w:cs="Arial" w:eastAsia="Arial" w:hAnsi="Arial"/>
          <w:sz w:val="21"/>
          <w:szCs w:val="21"/>
        </w:rPr>
        <w:t xml:space="preserve">Compensation committee must be independent and may retain independent compensation advisers (with independence factors considered).</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Dodd-Frank section 952, 15 U.S.C. 78j-3; 17 CFR 240.10C-1.</w:t>
      </w:r>
      <w:r>
        <w:rPr>
          <w:rFonts w:ascii="Arial" w:cs="Arial" w:eastAsia="Arial" w:hAnsi="Arial"/>
          <w:i/>
          <w:iCs/>
          <w:color w:val="3B6FB0"/>
          <w:sz w:val="15"/>
          <w:szCs w:val="15"/>
        </w:rPr>
        <w:t xml:space="preserve"> [https://www.ecfr.gov/current/title-17/chapter-II/part-240/section-240.10C-1]</w:t>
      </w:r>
    </w:p>
    <w:p>
      <w:pPr>
        <w:spacing w:after="6"/>
      </w:pPr>
      <w:r>
        <w:rPr>
          <w:rFonts w:ascii="Arial" w:cs="Arial" w:eastAsia="Arial" w:hAnsi="Arial"/>
          <w:i/>
          <w:iCs/>
          <w:color w:val="7030A0"/>
          <w:sz w:val="17"/>
          <w:szCs w:val="17"/>
        </w:rPr>
        <w:t xml:space="preserve">Legal force: Regulation  ·  Consequence: SEC enforcement; disclosure/securities liability  ·  Cadence: Periodic / ongoing  ·  Cluster: Incentive compensation  ·  Redundancy: Candidate redundancy  ·  Confidence: High</w:t>
      </w:r>
    </w:p>
    <w:p>
      <w:pPr>
        <w:spacing w:after="104"/>
      </w:pPr>
      <w:r>
        <w:rPr>
          <w:rFonts w:ascii="Arial" w:cs="Arial" w:eastAsia="Arial" w:hAnsi="Arial"/>
          <w:i/>
          <w:iCs/>
          <w:color w:val="595959"/>
          <w:sz w:val="17"/>
          <w:szCs w:val="17"/>
        </w:rPr>
        <w:t xml:space="preserve">Overlap: Overlaps NYSE/Nasdaq comp-committee independence and incentive-comp governance.  Reform: Treat 952 independence as satisfying prudential comp-governance independence.</w:t>
      </w:r>
    </w:p>
    <w:p>
      <w:pPr>
        <w:keepNext/>
        <w:spacing w:after="16" w:before="104"/>
      </w:pPr>
      <w:r>
        <w:rPr>
          <w:rFonts w:ascii="Arial" w:cs="Arial" w:eastAsia="Arial" w:hAnsi="Arial"/>
          <w:b/>
          <w:bCs/>
          <w:color w:val="1F3864"/>
          <w:sz w:val="21"/>
          <w:szCs w:val="21"/>
        </w:rPr>
        <w:t xml:space="preserve">IND-08  —  Full board / audit &amp; comp committees  ·  Issuer</w:t>
      </w:r>
      <w:r>
        <w:rPr>
          <w:sz w:val="2"/>
          <w:szCs w:val="2"/>
        </w:rPr>
        <w:t xml:space="preserve"/>
      </w:r>
    </w:p>
    <w:p>
      <w:pPr>
        <w:spacing w:after="24"/>
      </w:pPr>
      <w:r>
        <w:rPr>
          <w:rFonts w:ascii="Arial" w:cs="Arial" w:eastAsia="Arial" w:hAnsi="Arial"/>
          <w:sz w:val="21"/>
          <w:szCs w:val="21"/>
        </w:rPr>
        <w:t xml:space="preserve">Board must disclose audit-committee financial expert(s) and compensation-committee independence and processes.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SEC Regulation S-K Item 407, 17 CFR 229.407.</w:t>
      </w:r>
      <w:r>
        <w:rPr>
          <w:rFonts w:ascii="Arial" w:cs="Arial" w:eastAsia="Arial" w:hAnsi="Arial"/>
          <w:i/>
          <w:iCs/>
          <w:color w:val="3B6FB0"/>
          <w:sz w:val="15"/>
          <w:szCs w:val="15"/>
        </w:rPr>
        <w:t xml:space="preserve"> [https://www.ecfr.gov/current/title-17/chapter-II/part-229/section-229.407]</w:t>
      </w:r>
    </w:p>
    <w:p>
      <w:pPr>
        <w:spacing w:after="6"/>
      </w:pPr>
      <w:r>
        <w:rPr>
          <w:rFonts w:ascii="Arial" w:cs="Arial" w:eastAsia="Arial" w:hAnsi="Arial"/>
          <w:i/>
          <w:iCs/>
          <w:color w:val="7030A0"/>
          <w:sz w:val="17"/>
          <w:szCs w:val="17"/>
        </w:rPr>
        <w:t xml:space="preserve">Legal force: Regulation  ·  Consequence: SEC enforcement; disclosure/securities liability  ·  Cadence: Periodic / ongoing  ·  Cluster: Director independence (cross-cutting)  ·  Redundancy: Candidate redundancy  ·  Confidence: High</w:t>
      </w:r>
    </w:p>
    <w:p>
      <w:pPr>
        <w:spacing w:after="104"/>
      </w:pPr>
      <w:r>
        <w:rPr>
          <w:rFonts w:ascii="Arial" w:cs="Arial" w:eastAsia="Arial" w:hAnsi="Arial"/>
          <w:i/>
          <w:iCs/>
          <w:color w:val="595959"/>
          <w:sz w:val="17"/>
          <w:szCs w:val="17"/>
        </w:rPr>
        <w:t xml:space="preserve">Overlap: Disclosure layer over the substantive independence rules.  Reform: Retain; disclosure-only.</w:t>
      </w:r>
    </w:p>
    <w:p>
      <w:pPr>
        <w:keepNext/>
        <w:spacing w:after="16" w:before="104"/>
      </w:pPr>
      <w:r>
        <w:rPr>
          <w:rFonts w:ascii="Arial" w:cs="Arial" w:eastAsia="Arial" w:hAnsi="Arial"/>
          <w:b/>
          <w:bCs/>
          <w:color w:val="1F3864"/>
          <w:sz w:val="21"/>
          <w:szCs w:val="21"/>
        </w:rPr>
        <w:t xml:space="preserve">IND-09  —  Full board / audit committee  ·  Issuer</w:t>
      </w:r>
      <w:r>
        <w:rPr>
          <w:sz w:val="2"/>
          <w:szCs w:val="2"/>
        </w:rPr>
        <w:t xml:space="preserve"/>
      </w:r>
    </w:p>
    <w:p>
      <w:pPr>
        <w:spacing w:after="24"/>
      </w:pPr>
      <w:r>
        <w:rPr>
          <w:rFonts w:ascii="Arial" w:cs="Arial" w:eastAsia="Arial" w:hAnsi="Arial"/>
          <w:sz w:val="21"/>
          <w:szCs w:val="21"/>
        </w:rPr>
        <w:t xml:space="preserve">Board must review and approve (and disclose) related-party transactions.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SEC Regulation S-K Item 404, 17 CFR 229.404.</w:t>
      </w:r>
      <w:r>
        <w:rPr>
          <w:rFonts w:ascii="Arial" w:cs="Arial" w:eastAsia="Arial" w:hAnsi="Arial"/>
          <w:i/>
          <w:iCs/>
          <w:color w:val="3B6FB0"/>
          <w:sz w:val="15"/>
          <w:szCs w:val="15"/>
        </w:rPr>
        <w:t xml:space="preserve"> [https://www.ecfr.gov/current/title-17/chapter-II/part-229/section-229.404]</w:t>
      </w:r>
    </w:p>
    <w:p>
      <w:pPr>
        <w:spacing w:after="6"/>
      </w:pPr>
      <w:r>
        <w:rPr>
          <w:rFonts w:ascii="Arial" w:cs="Arial" w:eastAsia="Arial" w:hAnsi="Arial"/>
          <w:i/>
          <w:iCs/>
          <w:color w:val="7030A0"/>
          <w:sz w:val="17"/>
          <w:szCs w:val="17"/>
        </w:rPr>
        <w:t xml:space="preserve">Legal force: Regulation  ·  Consequence: SEC enforcement; disclosure/securities liability  ·  Cadence: Periodic / ongoing  ·  Cluster: Insider / affiliate / related-party  ·  Redundancy: Limited overlap  ·  Confidence: High</w:t>
      </w:r>
    </w:p>
    <w:p>
      <w:pPr>
        <w:spacing w:after="104"/>
      </w:pPr>
      <w:r>
        <w:rPr>
          <w:rFonts w:ascii="Arial" w:cs="Arial" w:eastAsia="Arial" w:hAnsi="Arial"/>
          <w:i/>
          <w:iCs/>
          <w:color w:val="595959"/>
          <w:sz w:val="17"/>
          <w:szCs w:val="17"/>
        </w:rPr>
        <w:t xml:space="preserve">Overlap: Overlaps Reg O insider-lending and Reg W affiliate-transaction controls.  Reform: Coordinate related-party review with Reg O/W board processes.</w:t>
      </w:r>
    </w:p>
    <w:p>
      <w:pPr>
        <w:pStyle w:val="Heading2"/>
      </w:pPr>
      <w:r>
        <w:t xml:space="preserve">8. Audit committee &amp; internal control over financial reporting</w:t>
      </w:r>
    </w:p>
    <w:p>
      <w:pPr>
        <w:keepNext/>
        <w:spacing w:after="16" w:before="104"/>
      </w:pPr>
      <w:r>
        <w:rPr>
          <w:rFonts w:ascii="Arial" w:cs="Arial" w:eastAsia="Arial" w:hAnsi="Arial"/>
          <w:b/>
          <w:bCs/>
          <w:color w:val="1F3864"/>
          <w:sz w:val="21"/>
          <w:szCs w:val="21"/>
        </w:rPr>
        <w:t xml:space="preserve">AUD-01  —  Audit committee  ·  IDI</w:t>
      </w:r>
      <w:r>
        <w:rPr>
          <w:sz w:val="2"/>
          <w:szCs w:val="2"/>
        </w:rPr>
        <w:t xml:space="preserve"/>
      </w:r>
    </w:p>
    <w:p>
      <w:pPr>
        <w:spacing w:after="24"/>
      </w:pPr>
      <w:r>
        <w:rPr>
          <w:rFonts w:ascii="Arial" w:cs="Arial" w:eastAsia="Arial" w:hAnsi="Arial"/>
          <w:sz w:val="21"/>
          <w:szCs w:val="21"/>
        </w:rPr>
        <w:t xml:space="preserve">Insured institution must establish an audit committee composed entirely of outside directors.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FDICIA section 36; FDIC Part 363, 12 U.S.C. 1831m; 12 CFR 363.5.</w:t>
      </w:r>
      <w:r>
        <w:rPr>
          <w:rFonts w:ascii="Arial" w:cs="Arial" w:eastAsia="Arial" w:hAnsi="Arial"/>
          <w:i/>
          <w:iCs/>
          <w:color w:val="3B6FB0"/>
          <w:sz w:val="15"/>
          <w:szCs w:val="15"/>
        </w:rPr>
        <w:t xml:space="preserve"> [https://www.ecfr.gov/current/title-12/chapter-III/part-363]</w:t>
      </w:r>
    </w:p>
    <w:p>
      <w:pPr>
        <w:spacing w:after="6"/>
      </w:pPr>
      <w:r>
        <w:rPr>
          <w:rFonts w:ascii="Arial" w:cs="Arial" w:eastAsia="Arial" w:hAnsi="Arial"/>
          <w:i/>
          <w:iCs/>
          <w:color w:val="7030A0"/>
          <w:sz w:val="17"/>
          <w:szCs w:val="17"/>
        </w:rPr>
        <w:t xml:space="preserve">Legal force: Regulation  ·  Consequence: Enforcement (cease-and-desist, CMP); rating downgrade  ·  Cadence: Periodic / ongoing  ·  Cluster: Audit committee &amp; independence  ·  Redundancy: Candidate redundancy  ·  Confidence: High</w:t>
      </w:r>
    </w:p>
    <w:p>
      <w:pPr>
        <w:spacing w:after="104"/>
      </w:pPr>
      <w:r>
        <w:rPr>
          <w:rFonts w:ascii="Arial" w:cs="Arial" w:eastAsia="Arial" w:hAnsi="Arial"/>
          <w:i/>
          <w:iCs/>
          <w:color w:val="595959"/>
          <w:sz w:val="17"/>
          <w:szCs w:val="17"/>
        </w:rPr>
        <w:t xml:space="preserve">Overlap: Parallel to SOX 301 audit-committee independence at the issuer level.  Reform: Permit one audit committee to satisfy both regimes with reconciled independence.</w:t>
      </w:r>
    </w:p>
    <w:p>
      <w:pPr>
        <w:keepNext/>
        <w:spacing w:after="16" w:before="104"/>
      </w:pPr>
      <w:r>
        <w:rPr>
          <w:rFonts w:ascii="Arial" w:cs="Arial" w:eastAsia="Arial" w:hAnsi="Arial"/>
          <w:b/>
          <w:bCs/>
          <w:color w:val="1F3864"/>
          <w:sz w:val="21"/>
          <w:szCs w:val="21"/>
        </w:rPr>
        <w:t xml:space="preserve">AUD-02  —  Full board  ·  IDI</w:t>
      </w:r>
      <w:r>
        <w:rPr>
          <w:sz w:val="2"/>
          <w:szCs w:val="2"/>
        </w:rPr>
        <w:t xml:space="preserve"/>
      </w:r>
    </w:p>
    <w:p>
      <w:pPr>
        <w:spacing w:after="24"/>
      </w:pPr>
      <w:r>
        <w:rPr>
          <w:rFonts w:ascii="Arial" w:cs="Arial" w:eastAsia="Arial" w:hAnsi="Arial"/>
          <w:sz w:val="21"/>
          <w:szCs w:val="21"/>
        </w:rPr>
        <w:t xml:space="preserve">Board must annually determine whether audit-committee members are independent of management.</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FDIC Part 363, 12 CFR 363.5(a); App. A.</w:t>
      </w:r>
      <w:r>
        <w:rPr>
          <w:rFonts w:ascii="Arial" w:cs="Arial" w:eastAsia="Arial" w:hAnsi="Arial"/>
          <w:i/>
          <w:iCs/>
          <w:color w:val="3B6FB0"/>
          <w:sz w:val="15"/>
          <w:szCs w:val="15"/>
        </w:rPr>
        <w:t xml:space="preserve"> [https://www.ecfr.gov/current/title-12/chapter-I/part-30/appendix-Appendix%20A%20to%20Part%2030]</w:t>
      </w:r>
    </w:p>
    <w:p>
      <w:pPr>
        <w:spacing w:after="6"/>
      </w:pPr>
      <w:r>
        <w:rPr>
          <w:rFonts w:ascii="Arial" w:cs="Arial" w:eastAsia="Arial" w:hAnsi="Arial"/>
          <w:i/>
          <w:iCs/>
          <w:color w:val="7030A0"/>
          <w:sz w:val="17"/>
          <w:szCs w:val="17"/>
        </w:rPr>
        <w:t xml:space="preserve">Legal force: Regulation  ·  Consequence: Enforcement (cease-and-desist, CMP); rating downgrade  ·  Cadence: Annual  ·  Cluster: Audit committee &amp; independence  ·  Redundancy: Candidate redundancy  ·  Confidence: High</w:t>
      </w:r>
    </w:p>
    <w:p>
      <w:pPr>
        <w:spacing w:after="104"/>
      </w:pPr>
      <w:r>
        <w:rPr>
          <w:rFonts w:ascii="Arial" w:cs="Arial" w:eastAsia="Arial" w:hAnsi="Arial"/>
          <w:i/>
          <w:iCs/>
          <w:color w:val="595959"/>
          <w:sz w:val="17"/>
          <w:szCs w:val="17"/>
        </w:rPr>
        <w:t xml:space="preserve">Overlap: Duplicates SEC/exchange annual independence determinations.  Reform: Single annual independence determination across regimes.</w:t>
      </w:r>
    </w:p>
    <w:p>
      <w:pPr>
        <w:keepNext/>
        <w:spacing w:after="16" w:before="104"/>
      </w:pPr>
      <w:r>
        <w:rPr>
          <w:rFonts w:ascii="Arial" w:cs="Arial" w:eastAsia="Arial" w:hAnsi="Arial"/>
          <w:b/>
          <w:bCs/>
          <w:color w:val="1F3864"/>
          <w:sz w:val="21"/>
          <w:szCs w:val="21"/>
        </w:rPr>
        <w:t xml:space="preserve">AUD-03  —  Audit committee  ·  IDI</w:t>
      </w:r>
      <w:r>
        <w:rPr>
          <w:sz w:val="2"/>
          <w:szCs w:val="2"/>
        </w:rPr>
        <w:t xml:space="preserve"/>
      </w:r>
    </w:p>
    <w:p>
      <w:pPr>
        <w:spacing w:after="24"/>
      </w:pPr>
      <w:r>
        <w:rPr>
          <w:rFonts w:ascii="Arial" w:cs="Arial" w:eastAsia="Arial" w:hAnsi="Arial"/>
          <w:sz w:val="21"/>
          <w:szCs w:val="21"/>
        </w:rPr>
        <w:t xml:space="preserve">For large IDIs, the audit committee must include members with banking/financial-management expertise, have access to its own outside counsel, and exclude large customers.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FDIC Part 363, 12 CFR 363.5(b)(2); App. A Guidelines 32, 34.</w:t>
      </w:r>
      <w:r>
        <w:rPr>
          <w:rFonts w:ascii="Arial" w:cs="Arial" w:eastAsia="Arial" w:hAnsi="Arial"/>
          <w:i/>
          <w:iCs/>
          <w:color w:val="3B6FB0"/>
          <w:sz w:val="15"/>
          <w:szCs w:val="15"/>
        </w:rPr>
        <w:t xml:space="preserve"> [https://www.ecfr.gov/current/title-12/chapter-I/part-30/appendix-Appendix%20A%20to%20Part%2030]</w:t>
      </w:r>
    </w:p>
    <w:p>
      <w:pPr>
        <w:spacing w:after="6"/>
      </w:pPr>
      <w:r>
        <w:rPr>
          <w:rFonts w:ascii="Arial" w:cs="Arial" w:eastAsia="Arial" w:hAnsi="Arial"/>
          <w:i/>
          <w:iCs/>
          <w:color w:val="7030A0"/>
          <w:sz w:val="17"/>
          <w:szCs w:val="17"/>
        </w:rPr>
        <w:t xml:space="preserve">Legal force: Regulation  ·  Consequence: Enforcement (cease-and-desist, CMP); rating downgrade  ·  Cadence: Periodic / ongoing  ·  Cluster: Audit committee &amp; independence  ·  Redundancy: Candidate redundancy  ·  Confidence: High</w:t>
      </w:r>
    </w:p>
    <w:p>
      <w:pPr>
        <w:spacing w:after="104"/>
      </w:pPr>
      <w:r>
        <w:rPr>
          <w:rFonts w:ascii="Arial" w:cs="Arial" w:eastAsia="Arial" w:hAnsi="Arial"/>
          <w:i/>
          <w:iCs/>
          <w:color w:val="595959"/>
          <w:sz w:val="17"/>
          <w:szCs w:val="17"/>
        </w:rPr>
        <w:t xml:space="preserve">Overlap: Overlaps SOX financial-expert and OCC App. D audit standards.  Reform: Reconcile expertise/independence criteria.</w:t>
      </w:r>
    </w:p>
    <w:p>
      <w:pPr>
        <w:keepNext/>
        <w:spacing w:after="16" w:before="104"/>
      </w:pPr>
      <w:r>
        <w:rPr>
          <w:rFonts w:ascii="Arial" w:cs="Arial" w:eastAsia="Arial" w:hAnsi="Arial"/>
          <w:b/>
          <w:bCs/>
          <w:color w:val="1F3864"/>
          <w:sz w:val="21"/>
          <w:szCs w:val="21"/>
        </w:rPr>
        <w:t xml:space="preserve">AUD-04  —  Audit committee  ·  IDI</w:t>
      </w:r>
      <w:r>
        <w:rPr>
          <w:sz w:val="2"/>
          <w:szCs w:val="2"/>
        </w:rPr>
        <w:t xml:space="preserve"/>
      </w:r>
    </w:p>
    <w:p>
      <w:pPr>
        <w:spacing w:after="24"/>
      </w:pPr>
      <w:r>
        <w:rPr>
          <w:rFonts w:ascii="Arial" w:cs="Arial" w:eastAsia="Arial" w:hAnsi="Arial"/>
          <w:sz w:val="21"/>
          <w:szCs w:val="21"/>
        </w:rPr>
        <w:t xml:space="preserve">Audit committee oversees the independent public accountant and reviews management's ICFR assessment and compliance with designated safety-and-soundness laws.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FDIC Part 363, 12 CFR 363.2, 363.3; App. A Guideline 31.</w:t>
      </w:r>
      <w:r>
        <w:rPr>
          <w:rFonts w:ascii="Arial" w:cs="Arial" w:eastAsia="Arial" w:hAnsi="Arial"/>
          <w:i/>
          <w:iCs/>
          <w:color w:val="3B6FB0"/>
          <w:sz w:val="15"/>
          <w:szCs w:val="15"/>
        </w:rPr>
        <w:t xml:space="preserve"> [https://www.ecfr.gov/current/title-12/chapter-I/part-30/appendix-Appendix%20A%20to%20Part%2030]</w:t>
      </w:r>
    </w:p>
    <w:p>
      <w:pPr>
        <w:spacing w:after="6"/>
      </w:pPr>
      <w:r>
        <w:rPr>
          <w:rFonts w:ascii="Arial" w:cs="Arial" w:eastAsia="Arial" w:hAnsi="Arial"/>
          <w:i/>
          <w:iCs/>
          <w:color w:val="7030A0"/>
          <w:sz w:val="17"/>
          <w:szCs w:val="17"/>
        </w:rPr>
        <w:t xml:space="preserve">Legal force: Regulation  ·  Consequence: Enforcement (cease-and-desist, CMP); rating downgrade  ·  Cadence: Event-driven  ·  Cluster: Internal control over financial reporting  ·  Redundancy: Candidate redundancy  ·  Confidence: High</w:t>
      </w:r>
    </w:p>
    <w:p>
      <w:pPr>
        <w:spacing w:after="104"/>
      </w:pPr>
      <w:r>
        <w:rPr>
          <w:rFonts w:ascii="Arial" w:cs="Arial" w:eastAsia="Arial" w:hAnsi="Arial"/>
          <w:i/>
          <w:iCs/>
          <w:color w:val="595959"/>
          <w:sz w:val="17"/>
          <w:szCs w:val="17"/>
        </w:rPr>
        <w:t xml:space="preserve">Overlap: Operates on a calendar-year cycle parallel to (and unaligned with) the SOX fiscal-year ICFR cycle.  Reform: Permit SOX 404 program to satisfy FDICIA ICFR by cross-reference.</w:t>
      </w:r>
    </w:p>
    <w:p>
      <w:pPr>
        <w:keepNext/>
        <w:spacing w:after="16" w:before="104"/>
      </w:pPr>
      <w:r>
        <w:rPr>
          <w:rFonts w:ascii="Arial" w:cs="Arial" w:eastAsia="Arial" w:hAnsi="Arial"/>
          <w:b/>
          <w:bCs/>
          <w:color w:val="1F3864"/>
          <w:sz w:val="21"/>
          <w:szCs w:val="21"/>
        </w:rPr>
        <w:t xml:space="preserve">AUD-05  —  Audit committee  ·  Issuer</w:t>
      </w:r>
      <w:r>
        <w:rPr>
          <w:sz w:val="2"/>
          <w:szCs w:val="2"/>
        </w:rPr>
        <w:t xml:space="preserve"/>
      </w:r>
    </w:p>
    <w:p>
      <w:pPr>
        <w:spacing w:after="24"/>
      </w:pPr>
      <w:r>
        <w:rPr>
          <w:rFonts w:ascii="Arial" w:cs="Arial" w:eastAsia="Arial" w:hAnsi="Arial"/>
          <w:sz w:val="21"/>
          <w:szCs w:val="21"/>
        </w:rPr>
        <w:t xml:space="preserve">Management's annual assessment of internal control over financial reporting, overseen by the board through the audit committee.</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Sarbanes-Oxley section 404(a), SOX sec. 404(a); 15 U.S.C. 7262(a).</w:t>
      </w:r>
      <w:r>
        <w:rPr>
          <w:rFonts w:ascii="Arial" w:cs="Arial" w:eastAsia="Arial" w:hAnsi="Arial"/>
          <w:i/>
          <w:iCs/>
          <w:color w:val="3B6FB0"/>
          <w:sz w:val="15"/>
          <w:szCs w:val="15"/>
        </w:rPr>
        <w:t xml:space="preserve"> [https://www.govinfo.gov/content/pkg/PLAW-107publ204/pdf/PLAW-107publ204.pdf]</w:t>
      </w:r>
    </w:p>
    <w:p>
      <w:pPr>
        <w:spacing w:after="6"/>
      </w:pPr>
      <w:r>
        <w:rPr>
          <w:rFonts w:ascii="Arial" w:cs="Arial" w:eastAsia="Arial" w:hAnsi="Arial"/>
          <w:i/>
          <w:iCs/>
          <w:color w:val="7030A0"/>
          <w:sz w:val="17"/>
          <w:szCs w:val="17"/>
        </w:rPr>
        <w:t xml:space="preserve">Legal force: Statute  ·  Consequence: SEC enforcement; disclosure/securities liability  ·  Cadence: Annual  ·  Cluster: Internal control over financial reporting  ·  Redundancy: Candidate redundancy  ·  Confidence: High</w:t>
      </w:r>
    </w:p>
    <w:p>
      <w:pPr>
        <w:spacing w:after="104"/>
      </w:pPr>
      <w:r>
        <w:rPr>
          <w:rFonts w:ascii="Arial" w:cs="Arial" w:eastAsia="Arial" w:hAnsi="Arial"/>
          <w:i/>
          <w:iCs/>
          <w:color w:val="595959"/>
          <w:sz w:val="17"/>
          <w:szCs w:val="17"/>
        </w:rPr>
        <w:t xml:space="preserve">Overlap: Parallel to FDICIA Part 363 ICFR on a different cycle.  Reform: Cross-reference to eliminate duplicate assessment.</w:t>
      </w:r>
    </w:p>
    <w:p>
      <w:pPr>
        <w:keepNext/>
        <w:spacing w:after="16" w:before="104"/>
      </w:pPr>
      <w:r>
        <w:rPr>
          <w:rFonts w:ascii="Arial" w:cs="Arial" w:eastAsia="Arial" w:hAnsi="Arial"/>
          <w:b/>
          <w:bCs/>
          <w:color w:val="1F3864"/>
          <w:sz w:val="21"/>
          <w:szCs w:val="21"/>
        </w:rPr>
        <w:t xml:space="preserve">AUD-06  —  Audit committee  ·  Issuer</w:t>
      </w:r>
      <w:r>
        <w:rPr>
          <w:sz w:val="2"/>
          <w:szCs w:val="2"/>
        </w:rPr>
        <w:t xml:space="preserve"/>
      </w:r>
    </w:p>
    <w:p>
      <w:pPr>
        <w:spacing w:after="24"/>
      </w:pPr>
      <w:r>
        <w:rPr>
          <w:rFonts w:ascii="Arial" w:cs="Arial" w:eastAsia="Arial" w:hAnsi="Arial"/>
          <w:sz w:val="21"/>
          <w:szCs w:val="21"/>
        </w:rPr>
        <w:t xml:space="preserve">External auditor attestation on management's ICFR assessment.</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Sarbanes-Oxley section 404(b), SOX sec. 404(b); 15 U.S.C. 7262(b).</w:t>
      </w:r>
      <w:r>
        <w:rPr>
          <w:rFonts w:ascii="Arial" w:cs="Arial" w:eastAsia="Arial" w:hAnsi="Arial"/>
          <w:i/>
          <w:iCs/>
          <w:color w:val="3B6FB0"/>
          <w:sz w:val="15"/>
          <w:szCs w:val="15"/>
        </w:rPr>
        <w:t xml:space="preserve"> [https://www.govinfo.gov/content/pkg/PLAW-107publ204/pdf/PLAW-107publ204.pdf]</w:t>
      </w:r>
    </w:p>
    <w:p>
      <w:pPr>
        <w:spacing w:after="6"/>
      </w:pPr>
      <w:r>
        <w:rPr>
          <w:rFonts w:ascii="Arial" w:cs="Arial" w:eastAsia="Arial" w:hAnsi="Arial"/>
          <w:i/>
          <w:iCs/>
          <w:color w:val="7030A0"/>
          <w:sz w:val="17"/>
          <w:szCs w:val="17"/>
        </w:rPr>
        <w:t xml:space="preserve">Legal force: Statute  ·  Consequence: SEC enforcement; disclosure/securities liability  ·  Cadence: Periodic / ongoing  ·  Cluster: Internal control over financial reporting  ·  Redundancy: Candidate redundancy  ·  Confidence: High</w:t>
      </w:r>
    </w:p>
    <w:p>
      <w:pPr>
        <w:spacing w:after="104"/>
      </w:pPr>
      <w:r>
        <w:rPr>
          <w:rFonts w:ascii="Arial" w:cs="Arial" w:eastAsia="Arial" w:hAnsi="Arial"/>
          <w:i/>
          <w:iCs/>
          <w:color w:val="595959"/>
          <w:sz w:val="17"/>
          <w:szCs w:val="17"/>
        </w:rPr>
        <w:t xml:space="preserve">Overlap: Overlaps FDICIA external-audit requirements.  Reform: Single external-audit attestation satisfies both.</w:t>
      </w:r>
    </w:p>
    <w:p>
      <w:pPr>
        <w:keepNext/>
        <w:spacing w:after="16" w:before="104"/>
      </w:pPr>
      <w:r>
        <w:rPr>
          <w:rFonts w:ascii="Arial" w:cs="Arial" w:eastAsia="Arial" w:hAnsi="Arial"/>
          <w:b/>
          <w:bCs/>
          <w:color w:val="1F3864"/>
          <w:sz w:val="21"/>
          <w:szCs w:val="21"/>
        </w:rPr>
        <w:t xml:space="preserve">AUD-07  —  Audit committee  ·  Issuer</w:t>
      </w:r>
      <w:r>
        <w:rPr>
          <w:sz w:val="2"/>
          <w:szCs w:val="2"/>
        </w:rPr>
        <w:t xml:space="preserve"/>
      </w:r>
    </w:p>
    <w:p>
      <w:pPr>
        <w:spacing w:after="24"/>
      </w:pPr>
      <w:r>
        <w:rPr>
          <w:rFonts w:ascii="Arial" w:cs="Arial" w:eastAsia="Arial" w:hAnsi="Arial"/>
          <w:sz w:val="21"/>
          <w:szCs w:val="21"/>
        </w:rPr>
        <w:t xml:space="preserve">CEO/CFO quarterly certification of financial reports, overseen by the audit committee.</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Sarbanes-Oxley section 302, SOX sec. 302; 17 CFR 240.13a-14.</w:t>
      </w:r>
      <w:r>
        <w:rPr>
          <w:rFonts w:ascii="Arial" w:cs="Arial" w:eastAsia="Arial" w:hAnsi="Arial"/>
          <w:i/>
          <w:iCs/>
          <w:color w:val="3B6FB0"/>
          <w:sz w:val="15"/>
          <w:szCs w:val="15"/>
        </w:rPr>
        <w:t xml:space="preserve"> [https://www.govinfo.gov/content/pkg/PLAW-107publ204/pdf/PLAW-107publ204.pdf]</w:t>
      </w:r>
    </w:p>
    <w:p>
      <w:pPr>
        <w:spacing w:after="6"/>
      </w:pPr>
      <w:r>
        <w:rPr>
          <w:rFonts w:ascii="Arial" w:cs="Arial" w:eastAsia="Arial" w:hAnsi="Arial"/>
          <w:i/>
          <w:iCs/>
          <w:color w:val="7030A0"/>
          <w:sz w:val="17"/>
          <w:szCs w:val="17"/>
        </w:rPr>
        <w:t xml:space="preserve">Legal force: Regulation  ·  Consequence: SEC enforcement; disclosure/securities liability  ·  Cadence: Quarterly  ·  Cluster: Internal control over financial reporting  ·  Redundancy: Candidate redundancy  ·  Confidence: High</w:t>
      </w:r>
    </w:p>
    <w:p>
      <w:pPr>
        <w:spacing w:after="104"/>
      </w:pPr>
      <w:r>
        <w:rPr>
          <w:rFonts w:ascii="Arial" w:cs="Arial" w:eastAsia="Arial" w:hAnsi="Arial"/>
          <w:i/>
          <w:iCs/>
          <w:color w:val="595959"/>
          <w:sz w:val="17"/>
          <w:szCs w:val="17"/>
        </w:rPr>
        <w:t xml:space="preserve">Overlap: Adds to the array of periodic management certifications the board oversees.  Reform: Retain; statutory.</w:t>
      </w:r>
    </w:p>
    <w:p>
      <w:pPr>
        <w:keepNext/>
        <w:spacing w:after="16" w:before="104"/>
      </w:pPr>
      <w:r>
        <w:rPr>
          <w:rFonts w:ascii="Arial" w:cs="Arial" w:eastAsia="Arial" w:hAnsi="Arial"/>
          <w:b/>
          <w:bCs/>
          <w:color w:val="1F3864"/>
          <w:sz w:val="21"/>
          <w:szCs w:val="21"/>
        </w:rPr>
        <w:t xml:space="preserve">AUD-08  —  Audit committee  ·  IDI</w:t>
      </w:r>
      <w:r>
        <w:rPr>
          <w:sz w:val="2"/>
          <w:szCs w:val="2"/>
        </w:rPr>
        <w:t xml:space="preserve"/>
      </w:r>
    </w:p>
    <w:p>
      <w:pPr>
        <w:spacing w:after="24"/>
      </w:pPr>
      <w:r>
        <w:rPr>
          <w:rFonts w:ascii="Arial" w:cs="Arial" w:eastAsia="Arial" w:hAnsi="Arial"/>
          <w:sz w:val="21"/>
          <w:szCs w:val="21"/>
        </w:rPr>
        <w:t xml:space="preserve">Audit committee approves the chief audit executive's appointment, removal, and compensation, and the internal-audit charter and plan.</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secs. I.E.8(b),(c).</w:t>
      </w:r>
      <w:r>
        <w:rPr>
          <w:rFonts w:ascii="Arial" w:cs="Arial" w:eastAsia="Arial" w:hAnsi="Arial"/>
          <w:i/>
          <w:iCs/>
          <w:color w:val="3B6FB0"/>
          <w:sz w:val="15"/>
          <w:szCs w:val="15"/>
        </w:rPr>
        <w:t xml:space="preserve"> [https://www.ecfr.gov/current/title-12/chapter-I/part-30/appendix-Appendix%20D%20to%20Part%2030]</w:t>
      </w:r>
    </w:p>
    <w:p>
      <w:pPr>
        <w:spacing w:after="6"/>
      </w:pPr>
      <w:r>
        <w:rPr>
          <w:rFonts w:ascii="Arial" w:cs="Arial" w:eastAsia="Arial" w:hAnsi="Arial"/>
          <w:i/>
          <w:iCs/>
          <w:color w:val="7030A0"/>
          <w:sz w:val="17"/>
          <w:szCs w:val="17"/>
        </w:rPr>
        <w:t xml:space="preserve">Legal force: Regulation  ·  Consequence: Enforcement (cease-and-desist, CMP); rating downgrade  ·  Cadence: Event-driven  ·  Cluster: Audit committee &amp; independence  ·  Redundancy: Candidate redundancy  ·  Confidence: Medium</w:t>
      </w:r>
    </w:p>
    <w:p>
      <w:pPr>
        <w:spacing w:after="104"/>
      </w:pPr>
      <w:r>
        <w:rPr>
          <w:rFonts w:ascii="Arial" w:cs="Arial" w:eastAsia="Arial" w:hAnsi="Arial"/>
          <w:i/>
          <w:iCs/>
          <w:color w:val="595959"/>
          <w:sz w:val="17"/>
          <w:szCs w:val="17"/>
        </w:rPr>
        <w:t xml:space="preserve">Overlap: Parallel to SR 13-1 (expectation) CAE/audit-committee duties.  Reform: One CAE-oversight standard across Fed guidance and OCC rule.</w:t>
      </w:r>
    </w:p>
    <w:p>
      <w:pPr>
        <w:pStyle w:val="Heading2"/>
      </w:pPr>
      <w:r>
        <w:t xml:space="preserve">9. Cybersecurity &amp; information security</w:t>
      </w:r>
    </w:p>
    <w:p>
      <w:pPr>
        <w:keepNext/>
        <w:spacing w:after="16" w:before="104"/>
      </w:pPr>
      <w:r>
        <w:rPr>
          <w:rFonts w:ascii="Arial" w:cs="Arial" w:eastAsia="Arial" w:hAnsi="Arial"/>
          <w:b/>
          <w:bCs/>
          <w:color w:val="1F3864"/>
          <w:sz w:val="21"/>
          <w:szCs w:val="21"/>
        </w:rPr>
        <w:t xml:space="preserve">CYB-01  —  Full board or committee  ·  BHC &amp; IDI</w:t>
      </w:r>
      <w:r>
        <w:rPr>
          <w:sz w:val="2"/>
          <w:szCs w:val="2"/>
        </w:rPr>
        <w:t xml:space="preserve"/>
      </w:r>
    </w:p>
    <w:p>
      <w:pPr>
        <w:spacing w:after="24"/>
      </w:pPr>
      <w:r>
        <w:rPr>
          <w:rFonts w:ascii="Arial" w:cs="Arial" w:eastAsia="Arial" w:hAnsi="Arial"/>
          <w:sz w:val="21"/>
          <w:szCs w:val="21"/>
        </w:rPr>
        <w:t xml:space="preserve">Board (or an appropriate committee) must approve the written information-security program and oversee its development, implementation, and maintenance.</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GLBA section 501(b); Interagency Information Security Standards, 12 CFR part 30 App. B; part 208 App. D-2; part 225 App. F; part 364 App. B.</w:t>
      </w:r>
      <w:r>
        <w:rPr>
          <w:rFonts w:ascii="Arial" w:cs="Arial" w:eastAsia="Arial" w:hAnsi="Arial"/>
          <w:i/>
          <w:iCs/>
          <w:color w:val="3B6FB0"/>
          <w:sz w:val="15"/>
          <w:szCs w:val="15"/>
        </w:rPr>
        <w:t xml:space="preserve"> [https://www.ecfr.gov/current/title-12/chapter-I/part-30/appendix-Appendix%20D%20to%20Part%2030]</w:t>
      </w:r>
    </w:p>
    <w:p>
      <w:pPr>
        <w:spacing w:after="6"/>
      </w:pPr>
      <w:r>
        <w:rPr>
          <w:rFonts w:ascii="Arial" w:cs="Arial" w:eastAsia="Arial" w:hAnsi="Arial"/>
          <w:i/>
          <w:iCs/>
          <w:color w:val="7030A0"/>
          <w:sz w:val="17"/>
          <w:szCs w:val="17"/>
        </w:rPr>
        <w:t xml:space="preserve">Legal force: Regulation  ·  Consequence: Enforcement (cease-and-desist, CMP); rating downgrade  ·  Cadence: Periodic / ongoing  ·  Cluster: Information security &amp; cybersecurity  ·  Redundancy: Candidate redundancy  ·  Confidence: High</w:t>
      </w:r>
    </w:p>
    <w:p>
      <w:pPr>
        <w:spacing w:after="104"/>
      </w:pPr>
      <w:r>
        <w:rPr>
          <w:rFonts w:ascii="Arial" w:cs="Arial" w:eastAsia="Arial" w:hAnsi="Arial"/>
          <w:i/>
          <w:iCs/>
          <w:color w:val="595959"/>
          <w:sz w:val="17"/>
          <w:szCs w:val="17"/>
        </w:rPr>
        <w:t xml:space="preserve">Overlap: Same program approved at both BHC and IDI levels; the single most clearly duplicative cross-level approval (codified in four parallel appendices).  Reform: One enterprise information-security program approval satisfies all four appendices.</w:t>
      </w:r>
    </w:p>
    <w:p>
      <w:pPr>
        <w:keepNext/>
        <w:spacing w:after="16" w:before="104"/>
      </w:pPr>
      <w:r>
        <w:rPr>
          <w:rFonts w:ascii="Arial" w:cs="Arial" w:eastAsia="Arial" w:hAnsi="Arial"/>
          <w:b/>
          <w:bCs/>
          <w:color w:val="1F3864"/>
          <w:sz w:val="21"/>
          <w:szCs w:val="21"/>
        </w:rPr>
        <w:t xml:space="preserve">CYB-02  —  Full board or committee  ·  BHC &amp; IDI</w:t>
      </w:r>
      <w:r>
        <w:rPr>
          <w:sz w:val="2"/>
          <w:szCs w:val="2"/>
        </w:rPr>
        <w:t xml:space="preserve"/>
      </w:r>
    </w:p>
    <w:p>
      <w:pPr>
        <w:spacing w:after="24"/>
      </w:pPr>
      <w:r>
        <w:rPr>
          <w:rFonts w:ascii="Arial" w:cs="Arial" w:eastAsia="Arial" w:hAnsi="Arial"/>
          <w:sz w:val="21"/>
          <w:szCs w:val="21"/>
        </w:rPr>
        <w:t xml:space="preserve">Board (or committee) must receive a report on the information-security program at least annually.</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Interagency Information Security Standards, 12 CFR part 30 App. B, sec. III.F.</w:t>
      </w:r>
      <w:r>
        <w:rPr>
          <w:rFonts w:ascii="Arial" w:cs="Arial" w:eastAsia="Arial" w:hAnsi="Arial"/>
          <w:i/>
          <w:iCs/>
          <w:color w:val="3B6FB0"/>
          <w:sz w:val="15"/>
          <w:szCs w:val="15"/>
        </w:rPr>
        <w:t xml:space="preserve"> [https://www.ecfr.gov/current/title-12/chapter-I/part-30/appendix-Appendix%20B%20to%20Part%2030]</w:t>
      </w:r>
    </w:p>
    <w:p>
      <w:pPr>
        <w:spacing w:after="6"/>
      </w:pPr>
      <w:r>
        <w:rPr>
          <w:rFonts w:ascii="Arial" w:cs="Arial" w:eastAsia="Arial" w:hAnsi="Arial"/>
          <w:i/>
          <w:iCs/>
          <w:color w:val="7030A0"/>
          <w:sz w:val="17"/>
          <w:szCs w:val="17"/>
        </w:rPr>
        <w:t xml:space="preserve">Legal force: Regulation  ·  Consequence: Enforcement (cease-and-desist, CMP); rating downgrade  ·  Cadence: Annual  ·  Cluster: Information security &amp; cybersecurity  ·  Redundancy: Candidate redundancy  ·  Confidence: High</w:t>
      </w:r>
    </w:p>
    <w:p>
      <w:pPr>
        <w:spacing w:after="104"/>
      </w:pPr>
      <w:r>
        <w:rPr>
          <w:rFonts w:ascii="Arial" w:cs="Arial" w:eastAsia="Arial" w:hAnsi="Arial"/>
          <w:i/>
          <w:iCs/>
          <w:color w:val="595959"/>
          <w:sz w:val="17"/>
          <w:szCs w:val="17"/>
        </w:rPr>
        <w:t xml:space="preserve">Overlap: Annual report duplicated across appendices and overlaps FFIEC IT expectations.  Reform: Single annual information-security board report.</w:t>
      </w:r>
    </w:p>
    <w:p>
      <w:pPr>
        <w:keepNext/>
        <w:spacing w:after="16" w:before="104"/>
      </w:pPr>
      <w:r>
        <w:rPr>
          <w:rFonts w:ascii="Arial" w:cs="Arial" w:eastAsia="Arial" w:hAnsi="Arial"/>
          <w:b/>
          <w:bCs/>
          <w:color w:val="1F3864"/>
          <w:sz w:val="21"/>
          <w:szCs w:val="21"/>
        </w:rPr>
        <w:t xml:space="preserve">CYB-03  —  Full board  ·  Issuer</w:t>
      </w:r>
      <w:r>
        <w:rPr>
          <w:sz w:val="2"/>
          <w:szCs w:val="2"/>
        </w:rPr>
        <w:t xml:space="preserve"/>
      </w:r>
    </w:p>
    <w:p>
      <w:pPr>
        <w:spacing w:after="24"/>
      </w:pPr>
      <w:r>
        <w:rPr>
          <w:rFonts w:ascii="Arial" w:cs="Arial" w:eastAsia="Arial" w:hAnsi="Arial"/>
          <w:sz w:val="21"/>
          <w:szCs w:val="21"/>
        </w:rPr>
        <w:t xml:space="preserve">Board oversight of cybersecurity risk must be disclosed; material cybersecurity incidents must be disclosed on Form 8-K.</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SEC Cybersecurity Disclosure rules, 17 CFR 229.106 (Reg S-K Item 106); Form 8-K Item 1.05.</w:t>
      </w:r>
      <w:r>
        <w:rPr>
          <w:rFonts w:ascii="Arial" w:cs="Arial" w:eastAsia="Arial" w:hAnsi="Arial"/>
          <w:i/>
          <w:iCs/>
          <w:color w:val="3B6FB0"/>
          <w:sz w:val="15"/>
          <w:szCs w:val="15"/>
        </w:rPr>
        <w:t xml:space="preserve"> [https://www.ecfr.gov/current/title-17/chapter-II/part-229/section-229.106]</w:t>
      </w:r>
    </w:p>
    <w:p>
      <w:pPr>
        <w:spacing w:after="6"/>
      </w:pPr>
      <w:r>
        <w:rPr>
          <w:rFonts w:ascii="Arial" w:cs="Arial" w:eastAsia="Arial" w:hAnsi="Arial"/>
          <w:i/>
          <w:iCs/>
          <w:color w:val="7030A0"/>
          <w:sz w:val="17"/>
          <w:szCs w:val="17"/>
        </w:rPr>
        <w:t xml:space="preserve">Legal force: Regulation  ·  Consequence: SEC enforcement; disclosure/securities liability  ·  Cadence: Event-driven  ·  Cluster: Information security &amp; cybersecurity  ·  Redundancy: Candidate redundancy  ·  Confidence: High</w:t>
      </w:r>
    </w:p>
    <w:p>
      <w:pPr>
        <w:spacing w:after="104"/>
      </w:pPr>
      <w:r>
        <w:rPr>
          <w:rFonts w:ascii="Arial" w:cs="Arial" w:eastAsia="Arial" w:hAnsi="Arial"/>
          <w:i/>
          <w:iCs/>
          <w:color w:val="595959"/>
          <w:sz w:val="17"/>
          <w:szCs w:val="17"/>
        </w:rPr>
        <w:t xml:space="preserve">Overlap: Overlaps FFIEC IT and information-security expectations and the incident-notification rule.  Reform: Joint SEC/banking-agency statement that one cyber-oversight framework satisfies disclosure and safety-and-soundness.</w:t>
      </w:r>
    </w:p>
    <w:p>
      <w:pPr>
        <w:keepNext/>
        <w:spacing w:after="16" w:before="104"/>
      </w:pPr>
      <w:r>
        <w:rPr>
          <w:rFonts w:ascii="Arial" w:cs="Arial" w:eastAsia="Arial" w:hAnsi="Arial"/>
          <w:b/>
          <w:bCs/>
          <w:color w:val="1F3864"/>
          <w:sz w:val="21"/>
          <w:szCs w:val="21"/>
        </w:rPr>
        <w:t xml:space="preserve">CYB-04  —  Entity-level (board-overseen escalation)  ·  BHC &amp; IDI</w:t>
      </w:r>
      <w:r>
        <w:rPr>
          <w:sz w:val="2"/>
          <w:szCs w:val="2"/>
        </w:rPr>
        <w:t xml:space="preserve"/>
      </w:r>
    </w:p>
    <w:p>
      <w:pPr>
        <w:spacing w:after="24"/>
      </w:pPr>
      <w:r>
        <w:rPr>
          <w:rFonts w:ascii="Arial" w:cs="Arial" w:eastAsia="Arial" w:hAnsi="Arial"/>
          <w:sz w:val="21"/>
          <w:szCs w:val="21"/>
        </w:rPr>
        <w:t xml:space="preserve">Entity must notify its primary federal regulator within 36 hours of a 'notification incident'; the determination relies on board-overseen incident-response governance.</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Computer-Security Incident Notification Rule, 12 CFR part 53 (OCC); part 225 subpart N (FRB); part 304 subpart C (FDIC).</w:t>
      </w:r>
      <w:r>
        <w:rPr>
          <w:rFonts w:ascii="Arial" w:cs="Arial" w:eastAsia="Arial" w:hAnsi="Arial"/>
          <w:i/>
          <w:iCs/>
          <w:color w:val="BF8F00"/>
          <w:sz w:val="15"/>
          <w:szCs w:val="15"/>
        </w:rPr>
        <w:t xml:space="preserve">  [URL not captured]</w:t>
      </w:r>
    </w:p>
    <w:p>
      <w:pPr>
        <w:spacing w:after="6"/>
      </w:pPr>
      <w:r>
        <w:rPr>
          <w:rFonts w:ascii="Arial" w:cs="Arial" w:eastAsia="Arial" w:hAnsi="Arial"/>
          <w:i/>
          <w:iCs/>
          <w:color w:val="7030A0"/>
          <w:sz w:val="17"/>
          <w:szCs w:val="17"/>
        </w:rPr>
        <w:t xml:space="preserve">Legal force: Regulation  ·  Consequence: Enforcement (cease-and-desist, CMP); rating downgrade  ·  Cadence: Event-driven  ·  Cluster: Information security &amp; cybersecurity  ·  Redundancy: Candidate redundancy  ·  Confidence: High</w:t>
      </w:r>
    </w:p>
    <w:p>
      <w:pPr>
        <w:spacing w:after="104"/>
      </w:pPr>
      <w:r>
        <w:rPr>
          <w:rFonts w:ascii="Arial" w:cs="Arial" w:eastAsia="Arial" w:hAnsi="Arial"/>
          <w:i/>
          <w:iCs/>
          <w:color w:val="595959"/>
          <w:sz w:val="17"/>
          <w:szCs w:val="17"/>
        </w:rPr>
        <w:t xml:space="preserve">Overlap: Interacts with SEC incident disclosure and info-security program.  Reform: Align incident-notification triggers/timing with SEC disclosure.</w:t>
      </w:r>
    </w:p>
    <w:p>
      <w:pPr>
        <w:pStyle w:val="Heading2"/>
      </w:pPr>
      <w:r>
        <w:t xml:space="preserve">10. BSA/AML program</w:t>
      </w:r>
    </w:p>
    <w:p>
      <w:pPr>
        <w:keepNext/>
        <w:spacing w:after="16" w:before="104"/>
      </w:pPr>
      <w:r>
        <w:rPr>
          <w:rFonts w:ascii="Arial" w:cs="Arial" w:eastAsia="Arial" w:hAnsi="Arial"/>
          <w:b/>
          <w:bCs/>
          <w:color w:val="1F3864"/>
          <w:sz w:val="21"/>
          <w:szCs w:val="21"/>
        </w:rPr>
        <w:t xml:space="preserve">BSA-01  —  Full board  ·  IDI (and BHC where applicable)</w:t>
      </w:r>
      <w:r>
        <w:rPr>
          <w:sz w:val="2"/>
          <w:szCs w:val="2"/>
        </w:rPr>
        <w:t xml:space="preserve"/>
      </w:r>
    </w:p>
    <w:p>
      <w:pPr>
        <w:spacing w:after="24"/>
      </w:pPr>
      <w:r>
        <w:rPr>
          <w:rFonts w:ascii="Arial" w:cs="Arial" w:eastAsia="Arial" w:hAnsi="Arial"/>
          <w:sz w:val="21"/>
          <w:szCs w:val="21"/>
        </w:rPr>
        <w:t xml:space="preserve">Board must approve a written BSA/AML compliance program, with approval noted in the minutes.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Bank Secrecy Act program rules, 31 CFR 1010.210 / 1020.210; 12 CFR 21.21, 208.63, 326.8.</w:t>
      </w:r>
      <w:r>
        <w:rPr>
          <w:rFonts w:ascii="Arial" w:cs="Arial" w:eastAsia="Arial" w:hAnsi="Arial"/>
          <w:i/>
          <w:iCs/>
          <w:color w:val="3B6FB0"/>
          <w:sz w:val="15"/>
          <w:szCs w:val="15"/>
        </w:rPr>
        <w:t xml:space="preserve"> [https://www.ecfr.gov/current/title-31/subtitle-B/chapter-X/part-1010/subpart-B/section-1010.210]</w:t>
      </w:r>
    </w:p>
    <w:p>
      <w:pPr>
        <w:spacing w:after="6"/>
      </w:pPr>
      <w:r>
        <w:rPr>
          <w:rFonts w:ascii="Arial" w:cs="Arial" w:eastAsia="Arial" w:hAnsi="Arial"/>
          <w:i/>
          <w:iCs/>
          <w:color w:val="7030A0"/>
          <w:sz w:val="17"/>
          <w:szCs w:val="17"/>
        </w:rPr>
        <w:t xml:space="preserve">Legal force: Regulation  ·  Consequence: Enforcement (cease-and-desist, CMP); rating downgrade  ·  Cadence: Event-driven  ·  Cluster: BSA/AML program  ·  Redundancy: Candidate redundancy (intra-program)  ·  Confidence: High</w:t>
      </w:r>
    </w:p>
    <w:p>
      <w:pPr>
        <w:spacing w:after="104"/>
      </w:pPr>
      <w:r>
        <w:rPr>
          <w:rFonts w:ascii="Arial" w:cs="Arial" w:eastAsia="Arial" w:hAnsi="Arial"/>
          <w:i/>
          <w:iCs/>
          <w:color w:val="595959"/>
          <w:sz w:val="17"/>
          <w:szCs w:val="17"/>
        </w:rPr>
        <w:t xml:space="preserve">Overlap: The 'approve a program / oversee / receive reporting' template recurs across at least eight domains.  Reform: Consolidated risk-governance approval with program-specific management certifications.  Note: The clearest full-board, written, approved, minuted duty in the framework.</w:t>
      </w:r>
    </w:p>
    <w:p>
      <w:pPr>
        <w:keepNext/>
        <w:spacing w:after="16" w:before="104"/>
      </w:pPr>
      <w:r>
        <w:rPr>
          <w:rFonts w:ascii="Arial" w:cs="Arial" w:eastAsia="Arial" w:hAnsi="Arial"/>
          <w:b/>
          <w:bCs/>
          <w:color w:val="1F3864"/>
          <w:sz w:val="21"/>
          <w:szCs w:val="21"/>
        </w:rPr>
        <w:t xml:space="preserve">BSA-02  —  Full board  ·  IDI</w:t>
      </w:r>
      <w:r>
        <w:rPr>
          <w:sz w:val="2"/>
          <w:szCs w:val="2"/>
        </w:rPr>
        <w:t xml:space="preserve"/>
      </w:r>
    </w:p>
    <w:p>
      <w:pPr>
        <w:spacing w:after="24"/>
      </w:pPr>
      <w:r>
        <w:rPr>
          <w:rFonts w:ascii="Arial" w:cs="Arial" w:eastAsia="Arial" w:hAnsi="Arial"/>
          <w:sz w:val="21"/>
          <w:szCs w:val="21"/>
        </w:rPr>
        <w:t xml:space="preserve">Board must designate a qualified BSA/AML compliance officer with appropriate authority, independence, and resources.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Bank Secrecy Act program rules, 31 CFR 1010.210(a)(2); 12 CFR 21.21(c)(3).</w:t>
      </w:r>
      <w:r>
        <w:rPr>
          <w:rFonts w:ascii="Arial" w:cs="Arial" w:eastAsia="Arial" w:hAnsi="Arial"/>
          <w:i/>
          <w:iCs/>
          <w:color w:val="3B6FB0"/>
          <w:sz w:val="15"/>
          <w:szCs w:val="15"/>
        </w:rPr>
        <w:t xml:space="preserve"> [https://www.ecfr.gov/current/title-31/subtitle-B/chapter-X/part-1010/subpart-B/section-1010.210]</w:t>
      </w:r>
    </w:p>
    <w:p>
      <w:pPr>
        <w:spacing w:after="6"/>
      </w:pPr>
      <w:r>
        <w:rPr>
          <w:rFonts w:ascii="Arial" w:cs="Arial" w:eastAsia="Arial" w:hAnsi="Arial"/>
          <w:i/>
          <w:iCs/>
          <w:color w:val="7030A0"/>
          <w:sz w:val="17"/>
          <w:szCs w:val="17"/>
        </w:rPr>
        <w:t xml:space="preserve">Legal force: Regulation  ·  Consequence: Enforcement (cease-and-desist, CMP); rating downgrade  ·  Cadence: Event-driven  ·  Cluster: BSA/AML program  ·  Redundancy: Candidate redundancy (intra-program)  ·  Confidence: High</w:t>
      </w:r>
    </w:p>
    <w:p>
      <w:pPr>
        <w:spacing w:after="104"/>
      </w:pPr>
      <w:r>
        <w:rPr>
          <w:rFonts w:ascii="Arial" w:cs="Arial" w:eastAsia="Arial" w:hAnsi="Arial"/>
          <w:i/>
          <w:iCs/>
          <w:color w:val="595959"/>
          <w:sz w:val="17"/>
          <w:szCs w:val="17"/>
        </w:rPr>
        <w:t xml:space="preserve">Overlap: Overlaps OCC App. D officer-appointment standards.  Reform: Single officer-designation record.</w:t>
      </w:r>
    </w:p>
    <w:p>
      <w:pPr>
        <w:keepNext/>
        <w:spacing w:after="16" w:before="104"/>
      </w:pPr>
      <w:r>
        <w:rPr>
          <w:rFonts w:ascii="Arial" w:cs="Arial" w:eastAsia="Arial" w:hAnsi="Arial"/>
          <w:b/>
          <w:bCs/>
          <w:color w:val="1F3864"/>
          <w:sz w:val="21"/>
          <w:szCs w:val="21"/>
        </w:rPr>
        <w:t xml:space="preserve">BSA-03  —  Full board or designated committee  ·  IDI</w:t>
      </w:r>
      <w:r>
        <w:rPr>
          <w:sz w:val="2"/>
          <w:szCs w:val="2"/>
        </w:rPr>
        <w:t xml:space="preserve"/>
      </w:r>
    </w:p>
    <w:p>
      <w:pPr>
        <w:spacing w:after="24"/>
      </w:pPr>
      <w:r>
        <w:rPr>
          <w:rFonts w:ascii="Arial" w:cs="Arial" w:eastAsia="Arial" w:hAnsi="Arial"/>
          <w:sz w:val="21"/>
          <w:szCs w:val="21"/>
        </w:rPr>
        <w:t xml:space="preserve">Board must receive and review BSA/AML reporting, including SAR-filing notification, CTR, and risk-assessment information.</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Bank Secrecy Act program rules; FFIEC manual, 31 CFR 1010.210.</w:t>
      </w:r>
      <w:r>
        <w:rPr>
          <w:rFonts w:ascii="Arial" w:cs="Arial" w:eastAsia="Arial" w:hAnsi="Arial"/>
          <w:i/>
          <w:iCs/>
          <w:color w:val="3B6FB0"/>
          <w:sz w:val="15"/>
          <w:szCs w:val="15"/>
        </w:rPr>
        <w:t xml:space="preserve"> [https://www.ecfr.gov/current/title-31/subtitle-B/chapter-X/part-1010/subpart-B/section-1010.210]</w:t>
      </w:r>
    </w:p>
    <w:p>
      <w:pPr>
        <w:spacing w:after="6"/>
      </w:pPr>
      <w:r>
        <w:rPr>
          <w:rFonts w:ascii="Arial" w:cs="Arial" w:eastAsia="Arial" w:hAnsi="Arial"/>
          <w:i/>
          <w:iCs/>
          <w:color w:val="7030A0"/>
          <w:sz w:val="17"/>
          <w:szCs w:val="17"/>
        </w:rPr>
        <w:t xml:space="preserve">Legal force: Regulation  ·  Consequence: Enforcement (cease-and-desist, CMP); rating downgrade  ·  Cadence: Periodic / ongoing  ·  Cluster: BSA/AML program  ·  Redundancy: Candidate redundancy (intra-program)  ·  Confidence: High</w:t>
      </w:r>
    </w:p>
    <w:p>
      <w:pPr>
        <w:spacing w:after="104"/>
      </w:pPr>
      <w:r>
        <w:rPr>
          <w:rFonts w:ascii="Arial" w:cs="Arial" w:eastAsia="Arial" w:hAnsi="Arial"/>
          <w:i/>
          <w:iCs/>
          <w:color w:val="595959"/>
          <w:sz w:val="17"/>
          <w:szCs w:val="17"/>
        </w:rPr>
        <w:t xml:space="preserve">Overlap: Reporting overlaps enterprise compliance and financial-crimes governance.  Reform: Coordinated compliance reporting calendar.</w:t>
      </w:r>
    </w:p>
    <w:p>
      <w:pPr>
        <w:keepNext/>
        <w:spacing w:after="16" w:before="104"/>
      </w:pPr>
      <w:r>
        <w:rPr>
          <w:rFonts w:ascii="Arial" w:cs="Arial" w:eastAsia="Arial" w:hAnsi="Arial"/>
          <w:b/>
          <w:bCs/>
          <w:color w:val="1F3864"/>
          <w:sz w:val="21"/>
          <w:szCs w:val="21"/>
        </w:rPr>
        <w:t xml:space="preserve">BSA-04  —  Full board  ·  IDI</w:t>
      </w:r>
      <w:r>
        <w:rPr>
          <w:sz w:val="2"/>
          <w:szCs w:val="2"/>
        </w:rPr>
        <w:t xml:space="preserve"/>
      </w:r>
    </w:p>
    <w:p>
      <w:pPr>
        <w:spacing w:after="24"/>
      </w:pPr>
      <w:r>
        <w:rPr>
          <w:rFonts w:ascii="Arial" w:cs="Arial" w:eastAsia="Arial" w:hAnsi="Arial"/>
          <w:sz w:val="21"/>
          <w:szCs w:val="21"/>
        </w:rPr>
        <w:t xml:space="preserve">Board must ensure independent testing of the BSA/AML program.</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Bank Secrecy Act program rules, 31 CFR 1010.210(a)(5).</w:t>
      </w:r>
      <w:r>
        <w:rPr>
          <w:rFonts w:ascii="Arial" w:cs="Arial" w:eastAsia="Arial" w:hAnsi="Arial"/>
          <w:i/>
          <w:iCs/>
          <w:color w:val="3B6FB0"/>
          <w:sz w:val="15"/>
          <w:szCs w:val="15"/>
        </w:rPr>
        <w:t xml:space="preserve"> [https://www.ecfr.gov/current/title-31/subtitle-B/chapter-X/part-1010/subpart-B/section-1010.210]</w:t>
      </w:r>
    </w:p>
    <w:p>
      <w:pPr>
        <w:spacing w:after="6"/>
      </w:pPr>
      <w:r>
        <w:rPr>
          <w:rFonts w:ascii="Arial" w:cs="Arial" w:eastAsia="Arial" w:hAnsi="Arial"/>
          <w:i/>
          <w:iCs/>
          <w:color w:val="7030A0"/>
          <w:sz w:val="17"/>
          <w:szCs w:val="17"/>
        </w:rPr>
        <w:t xml:space="preserve">Legal force: Regulation  ·  Consequence: Enforcement (cease-and-desist, CMP); rating downgrade  ·  Cadence: Periodic / ongoing  ·  Cluster: BSA/AML program  ·  Redundancy: Candidate redundancy (intra-program)  ·  Confidence: High</w:t>
      </w:r>
    </w:p>
    <w:p>
      <w:pPr>
        <w:spacing w:after="104"/>
      </w:pPr>
      <w:r>
        <w:rPr>
          <w:rFonts w:ascii="Arial" w:cs="Arial" w:eastAsia="Arial" w:hAnsi="Arial"/>
          <w:i/>
          <w:iCs/>
          <w:color w:val="595959"/>
          <w:sz w:val="17"/>
          <w:szCs w:val="17"/>
        </w:rPr>
        <w:t xml:space="preserve">Overlap: Overlaps internal-audit oversight.  Reform: Coordinate independent testing with internal audit.</w:t>
      </w:r>
    </w:p>
    <w:p>
      <w:pPr>
        <w:keepNext/>
        <w:spacing w:after="16" w:before="104"/>
      </w:pPr>
      <w:r>
        <w:rPr>
          <w:rFonts w:ascii="Arial" w:cs="Arial" w:eastAsia="Arial" w:hAnsi="Arial"/>
          <w:b/>
          <w:bCs/>
          <w:color w:val="1F3864"/>
          <w:sz w:val="21"/>
          <w:szCs w:val="21"/>
        </w:rPr>
        <w:t xml:space="preserve">BSA-05  —  Full board  ·  IDI</w:t>
      </w:r>
      <w:r>
        <w:rPr>
          <w:sz w:val="2"/>
          <w:szCs w:val="2"/>
        </w:rPr>
        <w:t xml:space="preserve"/>
      </w:r>
    </w:p>
    <w:p>
      <w:pPr>
        <w:spacing w:after="24"/>
      </w:pPr>
      <w:r>
        <w:rPr>
          <w:rFonts w:ascii="Arial" w:cs="Arial" w:eastAsia="Arial" w:hAnsi="Arial"/>
          <w:sz w:val="21"/>
          <w:szCs w:val="21"/>
        </w:rPr>
        <w:t xml:space="preserve">Board must ensure BSA/AML training, including for directors, tailored to the risk profile.</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Bank Secrecy Act program rules, 31 CFR 1010.210(a)(4).</w:t>
      </w:r>
      <w:r>
        <w:rPr>
          <w:rFonts w:ascii="Arial" w:cs="Arial" w:eastAsia="Arial" w:hAnsi="Arial"/>
          <w:i/>
          <w:iCs/>
          <w:color w:val="3B6FB0"/>
          <w:sz w:val="15"/>
          <w:szCs w:val="15"/>
        </w:rPr>
        <w:t xml:space="preserve"> [https://www.ecfr.gov/current/title-31/subtitle-B/chapter-X/part-1010/subpart-B/section-1010.210]</w:t>
      </w:r>
    </w:p>
    <w:p>
      <w:pPr>
        <w:spacing w:after="6"/>
      </w:pPr>
      <w:r>
        <w:rPr>
          <w:rFonts w:ascii="Arial" w:cs="Arial" w:eastAsia="Arial" w:hAnsi="Arial"/>
          <w:i/>
          <w:iCs/>
          <w:color w:val="7030A0"/>
          <w:sz w:val="17"/>
          <w:szCs w:val="17"/>
        </w:rPr>
        <w:t xml:space="preserve">Legal force: Regulation  ·  Consequence: Enforcement (cease-and-desist, CMP); rating downgrade  ·  Cadence: Periodic / ongoing  ·  Cluster: BSA/AML program  ·  Redundancy: Candidate redundancy (intra-program)  ·  Confidence: High</w:t>
      </w:r>
    </w:p>
    <w:p>
      <w:pPr>
        <w:spacing w:after="104"/>
      </w:pPr>
      <w:r>
        <w:rPr>
          <w:rFonts w:ascii="Arial" w:cs="Arial" w:eastAsia="Arial" w:hAnsi="Arial"/>
          <w:i/>
          <w:iCs/>
          <w:color w:val="595959"/>
          <w:sz w:val="17"/>
          <w:szCs w:val="17"/>
        </w:rPr>
        <w:t xml:space="preserve">Overlap: Overlaps OCC director-training requirement.  Reform: Fold into consolidated director-training program.</w:t>
      </w:r>
    </w:p>
    <w:p>
      <w:pPr>
        <w:pStyle w:val="Heading2"/>
      </w:pPr>
      <w:r>
        <w:t xml:space="preserve">11. Insider lending &amp; affiliate transactions (Reg O / Reg W)</w:t>
      </w:r>
    </w:p>
    <w:p>
      <w:pPr>
        <w:keepNext/>
        <w:spacing w:after="16" w:before="104"/>
      </w:pPr>
      <w:r>
        <w:rPr>
          <w:rFonts w:ascii="Arial" w:cs="Arial" w:eastAsia="Arial" w:hAnsi="Arial"/>
          <w:b/>
          <w:bCs/>
          <w:color w:val="1F3864"/>
          <w:sz w:val="21"/>
          <w:szCs w:val="21"/>
        </w:rPr>
        <w:t xml:space="preserve">AFF-01  —  Full board  ·  IDI</w:t>
      </w:r>
      <w:r>
        <w:rPr>
          <w:sz w:val="2"/>
          <w:szCs w:val="2"/>
        </w:rPr>
        <w:t xml:space="preserve"/>
      </w:r>
    </w:p>
    <w:p>
      <w:pPr>
        <w:spacing w:after="24"/>
      </w:pPr>
      <w:r>
        <w:rPr>
          <w:rFonts w:ascii="Arial" w:cs="Arial" w:eastAsia="Arial" w:hAnsi="Arial"/>
          <w:sz w:val="21"/>
          <w:szCs w:val="21"/>
        </w:rPr>
        <w:t xml:space="preserve">Board must ensure insider extensions of credit are made on substantially the same terms as comparable transactions, observe prior-approval thresholds, and stay within aggregate insider-lending limits.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O, 12 CFR part 215 (215.4); 12 U.S.C. 375b.</w:t>
      </w:r>
      <w:r>
        <w:rPr>
          <w:rFonts w:ascii="Arial" w:cs="Arial" w:eastAsia="Arial" w:hAnsi="Arial"/>
          <w:i/>
          <w:iCs/>
          <w:color w:val="3B6FB0"/>
          <w:sz w:val="15"/>
          <w:szCs w:val="15"/>
        </w:rPr>
        <w:t xml:space="preserve"> [https://www.ecfr.gov/current/title-12/chapter-II/part-215]</w:t>
      </w:r>
    </w:p>
    <w:p>
      <w:pPr>
        <w:spacing w:after="6"/>
      </w:pPr>
      <w:r>
        <w:rPr>
          <w:rFonts w:ascii="Arial" w:cs="Arial" w:eastAsia="Arial" w:hAnsi="Arial"/>
          <w:i/>
          <w:iCs/>
          <w:color w:val="7030A0"/>
          <w:sz w:val="17"/>
          <w:szCs w:val="17"/>
        </w:rPr>
        <w:t xml:space="preserve">Legal force: Regulation  ·  Consequence: Enforcement (cease-and-desist, CMP); rating downgrade  ·  Cadence: Periodic / ongoing  ·  Cluster: Insider / affiliate / related-party  ·  Redundancy: Limited overlap  ·  Confidence: High</w:t>
      </w:r>
    </w:p>
    <w:p>
      <w:pPr>
        <w:spacing w:after="104"/>
      </w:pPr>
      <w:r>
        <w:rPr>
          <w:rFonts w:ascii="Arial" w:cs="Arial" w:eastAsia="Arial" w:hAnsi="Arial"/>
          <w:i/>
          <w:iCs/>
          <w:color w:val="595959"/>
          <w:sz w:val="17"/>
          <w:szCs w:val="17"/>
        </w:rPr>
        <w:t xml:space="preserve">Overlap: Overlaps SEC related-party-transaction review.  Reform: Coordinate Reg O approvals with related-party-transaction process.</w:t>
      </w:r>
    </w:p>
    <w:p>
      <w:pPr>
        <w:keepNext/>
        <w:spacing w:after="16" w:before="104"/>
      </w:pPr>
      <w:r>
        <w:rPr>
          <w:rFonts w:ascii="Arial" w:cs="Arial" w:eastAsia="Arial" w:hAnsi="Arial"/>
          <w:b/>
          <w:bCs/>
          <w:color w:val="1F3864"/>
          <w:sz w:val="21"/>
          <w:szCs w:val="21"/>
        </w:rPr>
        <w:t xml:space="preserve">AFF-02  —  Full board  ·  IDI</w:t>
      </w:r>
      <w:r>
        <w:rPr>
          <w:sz w:val="2"/>
          <w:szCs w:val="2"/>
        </w:rPr>
        <w:t xml:space="preserve"/>
      </w:r>
    </w:p>
    <w:p>
      <w:pPr>
        <w:spacing w:after="24"/>
      </w:pPr>
      <w:r>
        <w:rPr>
          <w:rFonts w:ascii="Arial" w:cs="Arial" w:eastAsia="Arial" w:hAnsi="Arial"/>
          <w:sz w:val="21"/>
          <w:szCs w:val="21"/>
        </w:rPr>
        <w:t xml:space="preserve">Board must ensure policies and procedures for compliance with sections 23A/23B, observance of quantitative limits on covered transactions, and the prohibition on purchasing low-quality assets from affiliates.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W; sections 23A/23B, 12 CFR part 223; 12 U.S.C. 371c, 371c-1.</w:t>
      </w:r>
      <w:r>
        <w:rPr>
          <w:rFonts w:ascii="Arial" w:cs="Arial" w:eastAsia="Arial" w:hAnsi="Arial"/>
          <w:i/>
          <w:iCs/>
          <w:color w:val="3B6FB0"/>
          <w:sz w:val="15"/>
          <w:szCs w:val="15"/>
        </w:rPr>
        <w:t xml:space="preserve"> [https://www.ecfr.gov/current/title-12/chapter-II/part-223]</w:t>
      </w:r>
    </w:p>
    <w:p>
      <w:pPr>
        <w:spacing w:after="6"/>
      </w:pPr>
      <w:r>
        <w:rPr>
          <w:rFonts w:ascii="Arial" w:cs="Arial" w:eastAsia="Arial" w:hAnsi="Arial"/>
          <w:i/>
          <w:iCs/>
          <w:color w:val="7030A0"/>
          <w:sz w:val="17"/>
          <w:szCs w:val="17"/>
        </w:rPr>
        <w:t xml:space="preserve">Legal force: Regulation  ·  Consequence: Enforcement (cease-and-desist, CMP); rating downgrade  ·  Cadence: Periodic / ongoing  ·  Cluster: Insider / affiliate / related-party  ·  Redundancy: Limited overlap  ·  Confidence: High</w:t>
      </w:r>
    </w:p>
    <w:p>
      <w:pPr>
        <w:spacing w:after="104"/>
      </w:pPr>
      <w:r>
        <w:rPr>
          <w:rFonts w:ascii="Arial" w:cs="Arial" w:eastAsia="Arial" w:hAnsi="Arial"/>
          <w:i/>
          <w:iCs/>
          <w:color w:val="595959"/>
          <w:sz w:val="17"/>
          <w:szCs w:val="17"/>
        </w:rPr>
        <w:t xml:space="preserve">Overlap: Central to the holding-company/IDI conflict (the bank board must protect the bank vs. the parent).  Reform: Tie to the subsidiary-board source-of-strength / sanctity-of-charter governance.</w:t>
      </w:r>
    </w:p>
    <w:p>
      <w:pPr>
        <w:pStyle w:val="Heading2"/>
      </w:pPr>
      <w:r>
        <w:t xml:space="preserve">12. Incentive compensation</w:t>
      </w:r>
    </w:p>
    <w:p>
      <w:pPr>
        <w:keepNext/>
        <w:spacing w:after="16" w:before="104"/>
      </w:pPr>
      <w:r>
        <w:rPr>
          <w:rFonts w:ascii="Arial" w:cs="Arial" w:eastAsia="Arial" w:hAnsi="Arial"/>
          <w:b/>
          <w:bCs/>
          <w:color w:val="1F3864"/>
          <w:sz w:val="21"/>
          <w:szCs w:val="21"/>
        </w:rPr>
        <w:t xml:space="preserve">INC-01  —  n/a (unimplemented)  ·  BHC &amp; IDI</w:t>
      </w:r>
      <w:r>
        <w:rPr>
          <w:rFonts w:ascii="Arial" w:cs="Arial" w:eastAsia="Arial" w:hAnsi="Arial"/>
          <w:b/>
          <w:bCs/>
          <w:color w:val="C00000"/>
          <w:sz w:val="17"/>
          <w:szCs w:val="17"/>
        </w:rPr>
        <w:t xml:space="preserve">  [UNIMPLEMENTED (12 CFR PART 236 RESERVED)]</w:t>
      </w:r>
    </w:p>
    <w:p>
      <w:pPr>
        <w:spacing w:after="24"/>
      </w:pPr>
      <w:r>
        <w:rPr>
          <w:rFonts w:ascii="Arial" w:cs="Arial" w:eastAsia="Arial" w:hAnsi="Arial"/>
          <w:sz w:val="21"/>
          <w:szCs w:val="21"/>
        </w:rPr>
        <w:t xml:space="preserve">NOT IMPLEMENTED: section 956 directs the agencies to prohibit incentive compensation that encourages inappropriate risk and to require board-level controls (forfeiture/clawback), but no final rule exists after three proposals (2011, 2016, 2024). The only operative standard is the 2010 interagency guidance (catalogued in the supervisory-expectations inventory).</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Dodd-Frank section 956, 12 U.S.C. 5641; 12 CFR part 236 (reserved).</w:t>
      </w:r>
      <w:r>
        <w:rPr>
          <w:rFonts w:ascii="Arial" w:cs="Arial" w:eastAsia="Arial" w:hAnsi="Arial"/>
          <w:i/>
          <w:iCs/>
          <w:color w:val="3B6FB0"/>
          <w:sz w:val="15"/>
          <w:szCs w:val="15"/>
        </w:rPr>
        <w:t xml:space="preserve"> [https://www.ecfr.gov/current/title-12/chapter-II/part-236]</w:t>
      </w:r>
    </w:p>
    <w:p>
      <w:pPr>
        <w:spacing w:after="6"/>
      </w:pPr>
      <w:r>
        <w:rPr>
          <w:rFonts w:ascii="Arial" w:cs="Arial" w:eastAsia="Arial" w:hAnsi="Arial"/>
          <w:i/>
          <w:iCs/>
          <w:color w:val="7030A0"/>
          <w:sz w:val="17"/>
          <w:szCs w:val="17"/>
        </w:rPr>
        <w:t xml:space="preserve">Legal force: Unimplemented statutory mandate  ·  Consequence: None (not in force)  ·  Cadence: Periodic / ongoing  ·  Cluster: Incentive compensation  ·  Redundancy: Candidate redundancy  ·  Confidence: High (web-verified)</w:t>
      </w:r>
    </w:p>
    <w:p>
      <w:pPr>
        <w:spacing w:after="104"/>
      </w:pPr>
      <w:r>
        <w:rPr>
          <w:rFonts w:ascii="Arial" w:cs="Arial" w:eastAsia="Arial" w:hAnsi="Arial"/>
          <w:i/>
          <w:iCs/>
          <w:color w:val="595959"/>
          <w:sz w:val="17"/>
          <w:szCs w:val="17"/>
        </w:rPr>
        <w:t xml:space="preserve">Overlap: The 2010 guidance overlaps SEC comp-committee independence and OCC App. D comp standards.  Reform: Either finalize a single section 956 framework that supersedes overlapping guidance, or leave to the existing guidance — but do not treat the proposal as latent law.</w:t>
      </w:r>
    </w:p>
    <w:p>
      <w:pPr>
        <w:pStyle w:val="Heading2"/>
      </w:pPr>
      <w:r>
        <w:t xml:space="preserve">13. Cross-cutting safety &amp; soundness / source of strength</w:t>
      </w:r>
    </w:p>
    <w:p>
      <w:pPr>
        <w:keepNext/>
        <w:spacing w:after="16" w:before="104"/>
      </w:pPr>
      <w:r>
        <w:rPr>
          <w:rFonts w:ascii="Arial" w:cs="Arial" w:eastAsia="Arial" w:hAnsi="Arial"/>
          <w:b/>
          <w:bCs/>
          <w:color w:val="1F3864"/>
          <w:sz w:val="21"/>
          <w:szCs w:val="21"/>
        </w:rPr>
        <w:t xml:space="preserve">SS-01  —  Full board; audit committee  ·  IDI</w:t>
      </w:r>
      <w:r>
        <w:rPr>
          <w:sz w:val="2"/>
          <w:szCs w:val="2"/>
        </w:rPr>
        <w:t xml:space="preserve"/>
      </w:r>
    </w:p>
    <w:p>
      <w:pPr>
        <w:spacing w:after="24"/>
      </w:pPr>
      <w:r>
        <w:rPr>
          <w:rFonts w:ascii="Arial" w:cs="Arial" w:eastAsia="Arial" w:hAnsi="Arial"/>
          <w:sz w:val="21"/>
          <w:szCs w:val="21"/>
        </w:rPr>
        <w:t xml:space="preserve">Board-relevant operational and managerial standards: internal controls and information systems, internal audit, loan documentation, credit underwriting, interest-rate-risk and asset-quality reporting to the board, and compensation that is not excessive.</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Interagency Guidelines Establishing Standards for Safety and Soundness, 12 CFR part 30 App. A (OCC) / part 364 App. A (FDIC); FDI Act sec. 39.</w:t>
      </w:r>
      <w:r>
        <w:rPr>
          <w:rFonts w:ascii="Arial" w:cs="Arial" w:eastAsia="Arial" w:hAnsi="Arial"/>
          <w:i/>
          <w:iCs/>
          <w:color w:val="3B6FB0"/>
          <w:sz w:val="15"/>
          <w:szCs w:val="15"/>
        </w:rPr>
        <w:t xml:space="preserve"> [https://www.ecfr.gov/current/title-12/chapter-I/part-30/appendix-Appendix%20A%20to%20Part%2030]</w:t>
      </w:r>
    </w:p>
    <w:p>
      <w:pPr>
        <w:spacing w:after="6"/>
      </w:pPr>
      <w:r>
        <w:rPr>
          <w:rFonts w:ascii="Arial" w:cs="Arial" w:eastAsia="Arial" w:hAnsi="Arial"/>
          <w:i/>
          <w:iCs/>
          <w:color w:val="7030A0"/>
          <w:sz w:val="17"/>
          <w:szCs w:val="17"/>
        </w:rPr>
        <w:t xml:space="preserve">Legal force: Enforceable guideline  ·  Consequence: Enforcement (cease-and-desist, CMP); rating downgrade  ·  Cadence: Periodic / ongoing  ·  Cluster: Safety-and-soundness baseline  ·  Redundancy: Limited overlap  ·  Confidence: High</w:t>
      </w:r>
    </w:p>
    <w:p>
      <w:pPr>
        <w:spacing w:after="104"/>
      </w:pPr>
      <w:r>
        <w:rPr>
          <w:rFonts w:ascii="Arial" w:cs="Arial" w:eastAsia="Arial" w:hAnsi="Arial"/>
          <w:i/>
          <w:iCs/>
          <w:color w:val="595959"/>
          <w:sz w:val="17"/>
          <w:szCs w:val="17"/>
        </w:rPr>
        <w:t xml:space="preserve">Overlap: Broad standards can duplicate domain-specific programs.  Reform: Treat as the residual baseline; avoid re-imposing the same items in domain rules.</w:t>
      </w:r>
    </w:p>
    <w:p>
      <w:pPr>
        <w:keepNext/>
        <w:spacing w:after="16" w:before="104"/>
      </w:pPr>
      <w:r>
        <w:rPr>
          <w:rFonts w:ascii="Arial" w:cs="Arial" w:eastAsia="Arial" w:hAnsi="Arial"/>
          <w:b/>
          <w:bCs/>
          <w:color w:val="1F3864"/>
          <w:sz w:val="21"/>
          <w:szCs w:val="21"/>
        </w:rPr>
        <w:t xml:space="preserve">SS-02  —  Full board  ·  BHC</w:t>
      </w:r>
      <w:r>
        <w:rPr>
          <w:sz w:val="2"/>
          <w:szCs w:val="2"/>
        </w:rPr>
        <w:t xml:space="preserve"/>
      </w:r>
    </w:p>
    <w:p>
      <w:pPr>
        <w:spacing w:after="24"/>
      </w:pPr>
      <w:r>
        <w:rPr>
          <w:rFonts w:ascii="Arial" w:cs="Arial" w:eastAsia="Arial" w:hAnsi="Arial"/>
          <w:sz w:val="21"/>
          <w:szCs w:val="21"/>
        </w:rPr>
        <w:t xml:space="preserve">The parent holding company (and its board) must serve as a source of financial strength to its insured subsidiary bank.</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Source-of-strength doctrine, 12 U.S.C. 1831o-1; Regulation Y, 12 CFR 225.4(a).</w:t>
      </w:r>
      <w:r>
        <w:rPr>
          <w:rFonts w:ascii="Arial" w:cs="Arial" w:eastAsia="Arial" w:hAnsi="Arial"/>
          <w:i/>
          <w:iCs/>
          <w:color w:val="3B6FB0"/>
          <w:sz w:val="15"/>
          <w:szCs w:val="15"/>
        </w:rPr>
        <w:t xml:space="preserve"> [https://www.law.cornell.edu/uscode/text/12/1831o-1]</w:t>
      </w:r>
    </w:p>
    <w:p>
      <w:pPr>
        <w:spacing w:after="6"/>
      </w:pPr>
      <w:r>
        <w:rPr>
          <w:rFonts w:ascii="Arial" w:cs="Arial" w:eastAsia="Arial" w:hAnsi="Arial"/>
          <w:i/>
          <w:iCs/>
          <w:color w:val="7030A0"/>
          <w:sz w:val="17"/>
          <w:szCs w:val="17"/>
        </w:rPr>
        <w:t xml:space="preserve">Legal force: Statute  ·  Consequence: Enforcement (cease-and-desist, CMP); rating downgrade  ·  Cadence: Periodic / ongoing  ·  Cluster: Source of strength / charter sanctity  ·  Redundancy: Unique (tension, not overlap)  ·  Confidence: High</w:t>
      </w:r>
    </w:p>
    <w:p>
      <w:pPr>
        <w:spacing w:after="104"/>
      </w:pPr>
      <w:r>
        <w:rPr>
          <w:rFonts w:ascii="Arial" w:cs="Arial" w:eastAsia="Arial" w:hAnsi="Arial"/>
          <w:i/>
          <w:iCs/>
          <w:color w:val="595959"/>
          <w:sz w:val="17"/>
          <w:szCs w:val="17"/>
        </w:rPr>
        <w:t xml:space="preserve">Overlap: In tension with the OCC 'sanctity of the charter' principle (the IDI board must protect the bank's interests over the parent's).  Reform: Clarify the interaction of source-of-strength and sanctity-of-charter for overlapping (parent-and-bank) directors.</w:t>
      </w:r>
    </w:p>
    <w:p>
      <w:r>
        <w:br w:type="page"/>
      </w:r>
    </w:p>
    <w:p>
      <w:pPr>
        <w:pStyle w:val="Heading1"/>
      </w:pPr>
      <w:r>
        <w:t xml:space="preserve">Obligations — overlap and duplication analysis</w:t>
      </w:r>
    </w:p>
    <w:p>
      <w:pPr>
        <w:spacing w:after="120" w:before="0"/>
      </w:pPr>
      <w:r>
        <w:rPr>
          <w:rFonts w:ascii="Arial" w:cs="Arial" w:eastAsia="Arial" w:hAnsi="Arial"/>
          <w:i/>
          <w:iCs/>
          <w:color w:val="595959"/>
          <w:sz w:val="20"/>
          <w:szCs w:val="20"/>
        </w:rPr>
        <w:t xml:space="preserve">Identifying overlap is not the same as recommending repeal; some redundancy reflects genuinely distinct supervisory interests. Each pattern is tagged accordingly in the cluster analysis (Part III).</w:t>
      </w:r>
    </w:p>
    <w:p>
      <w:pPr>
        <w:pStyle w:val="Heading2"/>
      </w:pPr>
      <w:r>
        <w:t xml:space="preserve">Pattern 1 — the recurring 'approve a program, oversee it, receive periodic reporting' template</w:t>
      </w:r>
    </w:p>
    <w:p>
      <w:pPr>
        <w:spacing w:after="120" w:before="0"/>
      </w:pPr>
      <w:r>
        <w:rPr>
          <w:rFonts w:ascii="Arial" w:cs="Arial" w:eastAsia="Arial" w:hAnsi="Arial"/>
          <w:sz w:val="22"/>
          <w:szCs w:val="22"/>
        </w:rPr>
        <w:t xml:space="preserve">The board is told to do the same three things for a different risk across at least eight authorities: information-security (12 CFR 30 App. B), BSA program rules, third-party guidance, liquidity (252.34(a)(2)), capital plan (225.8), heightened standards risk-governance framework, operational-resilience tolerance, and consumer CMS. A single principles-based board-oversight standard could subsume most of these without lowering the substantive expectation.</w:t>
      </w:r>
    </w:p>
    <w:p>
      <w:pPr>
        <w:spacing w:after="120" w:before="0"/>
      </w:pPr>
      <w:r>
        <w:rPr>
          <w:rFonts w:ascii="Arial" w:cs="Arial" w:eastAsia="Arial" w:hAnsi="Arial"/>
          <w:i/>
          <w:iCs/>
          <w:color w:val="808080"/>
          <w:sz w:val="18"/>
          <w:szCs w:val="18"/>
        </w:rPr>
        <w:t xml:space="preserve">Related entries: BSA-01, CYB-01, LIQ-03, CAP-02, RGC-07, RGC-08</w:t>
      </w:r>
    </w:p>
    <w:p>
      <w:pPr>
        <w:pStyle w:val="Heading2"/>
      </w:pPr>
      <w:r>
        <w:t xml:space="preserve">Pattern 2 — non-uniform independence definitions for the same directors</w:t>
      </w:r>
    </w:p>
    <w:p>
      <w:pPr>
        <w:spacing w:after="120" w:before="0"/>
      </w:pPr>
      <w:r>
        <w:rPr>
          <w:rFonts w:ascii="Arial" w:cs="Arial" w:eastAsia="Arial" w:hAnsi="Arial"/>
          <w:sz w:val="22"/>
          <w:szCs w:val="22"/>
        </w:rPr>
        <w:t xml:space="preserve">A GSIB lead bank and its parent face at least six distinct independence tests differing in lookback period, family/affiliation tests, and whether they incorporate an exchange standard. A single cross-referenced prudential independence definition would eliminate parallel determinations for the same individuals.</w:t>
      </w:r>
    </w:p>
    <w:p>
      <w:pPr>
        <w:spacing w:after="120" w:before="0"/>
      </w:pPr>
      <w:r>
        <w:rPr>
          <w:rFonts w:ascii="Arial" w:cs="Arial" w:eastAsia="Arial" w:hAnsi="Arial"/>
          <w:i/>
          <w:iCs/>
          <w:color w:val="808080"/>
          <w:sz w:val="18"/>
          <w:szCs w:val="18"/>
        </w:rPr>
        <w:t xml:space="preserve">Related entries: RGC-05, IND-01, IND-05, IND-06, IND-07, AUD-01</w:t>
      </w:r>
    </w:p>
    <w:p>
      <w:pPr>
        <w:pStyle w:val="Heading2"/>
      </w:pPr>
      <w:r>
        <w:t xml:space="preserve">Pattern 3 — parallel approvals at the parent and bank levels</w:t>
      </w:r>
    </w:p>
    <w:p>
      <w:pPr>
        <w:spacing w:after="120" w:before="0"/>
      </w:pPr>
      <w:r>
        <w:rPr>
          <w:rFonts w:ascii="Arial" w:cs="Arial" w:eastAsia="Arial" w:hAnsi="Arial"/>
          <w:sz w:val="22"/>
          <w:szCs w:val="22"/>
        </w:rPr>
        <w:t xml:space="preserve">Several duties require formal board action at both the holding-company and insured-bank level on overlapping subject matter (resolution, liquidity, risk governance/appetite, information security). Some parallelism is defensible (the FDIC's distinct resolvability interest); other instances are closer to pure redundancy where the same program is approved by parent and subsidiary boards whose memberships substantially overlap.</w:t>
      </w:r>
    </w:p>
    <w:p>
      <w:pPr>
        <w:spacing w:after="120" w:before="0"/>
      </w:pPr>
      <w:r>
        <w:rPr>
          <w:rFonts w:ascii="Arial" w:cs="Arial" w:eastAsia="Arial" w:hAnsi="Arial"/>
          <w:i/>
          <w:iCs/>
          <w:color w:val="808080"/>
          <w:sz w:val="18"/>
          <w:szCs w:val="18"/>
        </w:rPr>
        <w:t xml:space="preserve">Related entries: RES-01, RES-02, LIQ-01, RGC-07, CYB-01</w:t>
      </w:r>
    </w:p>
    <w:p>
      <w:pPr>
        <w:pStyle w:val="Heading2"/>
      </w:pPr>
      <w:r>
        <w:t xml:space="preserve">Pattern 4 — guidance that has migrated, been rescinded, or never finalized</w:t>
      </w:r>
    </w:p>
    <w:p>
      <w:pPr>
        <w:spacing w:after="120" w:before="0"/>
      </w:pPr>
      <w:r>
        <w:rPr>
          <w:rFonts w:ascii="Arial" w:cs="Arial" w:eastAsia="Arial" w:hAnsi="Arial"/>
          <w:sz w:val="22"/>
          <w:szCs w:val="22"/>
        </w:rPr>
        <w:t xml:space="preserve">Roughly a quarter of the board duties a 2024-vintage compliance map would list in five areas have been removed, softened, or were never in force: model risk (SR 11-7 replaced, board duty dropped, Apr 2026), OCC recovery planning (App. E rescinded, May 2026), FDIC 2023 corporate-governance proposal (withdrawn Mar 2025), incentive comp (section 956 never finalized), and the FFIEC CAT (sunset Aug 2025).</w:t>
      </w:r>
    </w:p>
    <w:p>
      <w:pPr>
        <w:spacing w:after="120" w:before="0"/>
      </w:pPr>
      <w:r>
        <w:rPr>
          <w:rFonts w:ascii="Arial" w:cs="Arial" w:eastAsia="Arial" w:hAnsi="Arial"/>
          <w:i/>
          <w:iCs/>
          <w:color w:val="808080"/>
          <w:sz w:val="18"/>
          <w:szCs w:val="18"/>
        </w:rPr>
        <w:t xml:space="preserve">Related entries: RES-03, INC-01</w:t>
      </w:r>
    </w:p>
    <w:p>
      <w:pPr>
        <w:pStyle w:val="Heading2"/>
      </w:pPr>
      <w:r>
        <w:t xml:space="preserve">Parent (BHC) vs. insured-bank (IDI) parallel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50"/>
        <w:gridCol w:w="2550"/>
        <w:gridCol w:w="2360"/>
      </w:tblGrid>
      <w:tr>
        <w:tc>
          <w:tcPr>
            <w:tcW w:type="dxa" w:w="19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Subject</w:t>
            </w:r>
          </w:p>
        </w:tc>
        <w:tc>
          <w:tcPr>
            <w:tcW w:type="dxa" w:w="255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BHC-level duty</w:t>
            </w:r>
          </w:p>
        </w:tc>
        <w:tc>
          <w:tcPr>
            <w:tcW w:type="dxa" w:w="255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IDI-level duty</w:t>
            </w:r>
          </w:p>
        </w:tc>
        <w:tc>
          <w:tcPr>
            <w:tcW w:type="dxa" w:w="236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Overlap character</w:t>
            </w:r>
          </w:p>
        </w:tc>
      </w:tr>
      <w:tr>
        <w:tc>
          <w:tcPr>
            <w:tcW w:type="dxa" w:w="19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Resolution planning</w:t>
            </w:r>
          </w:p>
        </w:tc>
        <w:tc>
          <w:tcPr>
            <w:tcW w:type="dxa" w:w="255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Title I plan approval, 12 CFR 243.4(f)</w:t>
            </w:r>
          </w:p>
        </w:tc>
        <w:tc>
          <w:tcPr>
            <w:tcW w:type="dxa" w:w="255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IDI plan approval, 12 CFR 360.10(c)(5)</w:t>
            </w:r>
          </w:p>
        </w:tc>
        <w:tc>
          <w:tcPr>
            <w:tcW w:type="dxa" w:w="23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Two minuted approvals on overlapping content, two cadences, two rules</w:t>
            </w:r>
          </w:p>
        </w:tc>
      </w:tr>
      <w:tr>
        <w:tc>
          <w:tcPr>
            <w:tcW w:type="dxa" w:w="19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Liquidity governance</w:t>
            </w:r>
          </w:p>
        </w:tc>
        <w:tc>
          <w:tcPr>
            <w:tcW w:type="dxa" w:w="255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252.34(a) tolerance &amp; strategies</w:t>
            </w:r>
          </w:p>
        </w:tc>
        <w:tc>
          <w:tcPr>
            <w:tcW w:type="dxa" w:w="255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SR 10-6 board ownership &amp; annual review (expectation)</w:t>
            </w:r>
          </w:p>
        </w:tc>
        <w:tc>
          <w:tcPr>
            <w:tcW w:type="dxa" w:w="23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Substantially the same board duty stated twice at two levels</w:t>
            </w:r>
          </w:p>
        </w:tc>
      </w:tr>
      <w:tr>
        <w:tc>
          <w:tcPr>
            <w:tcW w:type="dxa" w:w="19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Recovery planning</w:t>
            </w:r>
          </w:p>
        </w:tc>
        <w:tc>
          <w:tcPr>
            <w:tcW w:type="dxa" w:w="255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SR 14-8 oversight (expectation)</w:t>
            </w:r>
          </w:p>
        </w:tc>
        <w:tc>
          <w:tcPr>
            <w:tcW w:type="dxa" w:w="255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pt 30 App. E approval — RESCINDED 5/1/2026</w:t>
            </w:r>
          </w:p>
        </w:tc>
        <w:tc>
          <w:tcPr>
            <w:tcW w:type="dxa" w:w="23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Was duplicative; now parent-only and guidance-only</w:t>
            </w:r>
          </w:p>
        </w:tc>
      </w:tr>
      <w:tr>
        <w:tc>
          <w:tcPr>
            <w:tcW w:type="dxa" w:w="19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Risk governance / appetite</w:t>
            </w:r>
          </w:p>
        </w:tc>
        <w:tc>
          <w:tcPr>
            <w:tcW w:type="dxa" w:w="255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252.33 risk committee; SR 21-3</w:t>
            </w:r>
          </w:p>
        </w:tc>
        <w:tc>
          <w:tcPr>
            <w:tcW w:type="dxa" w:w="255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pt 30 App. D framework &amp; appetite</w:t>
            </w:r>
          </w:p>
        </w:tc>
        <w:tc>
          <w:tcPr>
            <w:tcW w:type="dxa" w:w="23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Parent risk committee and bank risk-governance framework cover overlapping ground</w:t>
            </w:r>
          </w:p>
        </w:tc>
      </w:tr>
      <w:tr>
        <w:tc>
          <w:tcPr>
            <w:tcW w:type="dxa" w:w="19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Information security</w:t>
            </w:r>
          </w:p>
        </w:tc>
        <w:tc>
          <w:tcPr>
            <w:tcW w:type="dxa" w:w="255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pt 225 App. F program approval</w:t>
            </w:r>
          </w:p>
        </w:tc>
        <w:tc>
          <w:tcPr>
            <w:tcW w:type="dxa" w:w="255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pt 30 App. B / pt 364 App. B program approval</w:t>
            </w:r>
          </w:p>
        </w:tc>
        <w:tc>
          <w:tcPr>
            <w:tcW w:type="dxa" w:w="23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Same program approved at two levels (four parallel appendices)</w:t>
            </w:r>
          </w:p>
        </w:tc>
      </w:tr>
    </w:tbl>
    <w:p>
      <w:pPr>
        <w:pStyle w:val="Heading2"/>
      </w:pPr>
      <w:r>
        <w:t xml:space="preserve">Non-uniform director-independence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Framework</w:t>
            </w:r>
          </w:p>
        </w:tc>
        <w:tc>
          <w:tcPr>
            <w:tcW w:type="dxa" w:w="606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Independence requirement</w:t>
            </w:r>
          </w:p>
        </w:tc>
      </w:tr>
      <w:tr>
        <w:tc>
          <w:tcPr>
            <w:tcW w:type="dxa" w:w="33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OCC Heightened Standards (12 CFR 30 App. D)</w:t>
            </w:r>
          </w:p>
        </w:tc>
        <w:tc>
          <w:tcPr>
            <w:tcW w:type="dxa" w:w="60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At least two independent directors; 3-year lookback; independent under exchange listing standards.</w:t>
            </w:r>
          </w:p>
        </w:tc>
      </w:tr>
      <w:tr>
        <w:tc>
          <w:tcPr>
            <w:tcW w:type="dxa" w:w="33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Regulation YY risk-committee chair (12 CFR 252.33(a)(4))</w:t>
            </w:r>
          </w:p>
        </w:tc>
        <w:tc>
          <w:tcPr>
            <w:tcW w:type="dxa" w:w="60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Risk-committee chair independent under SEC/NYSE standards; 3-year lookback; risk-management experience.</w:t>
            </w:r>
          </w:p>
        </w:tc>
      </w:tr>
      <w:tr>
        <w:tc>
          <w:tcPr>
            <w:tcW w:type="dxa" w:w="33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FDICIA / Part 363 (12 CFR 363.5)</w:t>
            </w:r>
          </w:p>
        </w:tc>
        <w:tc>
          <w:tcPr>
            <w:tcW w:type="dxa" w:w="60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Audit committee entirely 'outside directors'; 1-year lookback; banking-specific definition.</w:t>
            </w:r>
          </w:p>
        </w:tc>
      </w:tr>
      <w:tr>
        <w:tc>
          <w:tcPr>
            <w:tcW w:type="dxa" w:w="33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SOX section 301 (17 CFR 240.10A-3)</w:t>
            </w:r>
          </w:p>
        </w:tc>
        <w:tc>
          <w:tcPr>
            <w:tcW w:type="dxa" w:w="60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Audit-committee members independent under the SEC test (no consulting/advisory fees; not affiliated persons).</w:t>
            </w:r>
          </w:p>
        </w:tc>
      </w:tr>
      <w:tr>
        <w:tc>
          <w:tcPr>
            <w:tcW w:type="dxa" w:w="33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Dodd-Frank section 952 (17 CFR 240.10C-1)</w:t>
            </w:r>
          </w:p>
        </w:tc>
        <w:tc>
          <w:tcPr>
            <w:tcW w:type="dxa" w:w="60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Compensation-committee independence, considering enumerated affiliation/fee factors.</w:t>
            </w:r>
          </w:p>
        </w:tc>
      </w:tr>
      <w:tr>
        <w:tc>
          <w:tcPr>
            <w:tcW w:type="dxa" w:w="33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NYSE / Nasdaq listing standards</w:t>
            </w:r>
          </w:p>
        </w:tc>
        <w:tc>
          <w:tcPr>
            <w:tcW w:type="dxa" w:w="60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Majority-independent board; exchange independence definition for committee members.</w:t>
            </w:r>
          </w:p>
        </w:tc>
      </w:tr>
    </w:tbl>
    <w:p>
      <w:pPr>
        <w:pStyle w:val="Heading1"/>
      </w:pPr>
      <w:r>
        <w:t xml:space="preserve">Obligations — external corroboration</w:t>
      </w:r>
    </w:p>
    <w:p>
      <w:pPr>
        <w:spacing w:after="120" w:before="0"/>
      </w:pPr>
      <w:r>
        <w:rPr>
          <w:rFonts w:ascii="Arial" w:cs="Arial" w:eastAsia="Arial" w:hAnsi="Arial"/>
          <w:sz w:val="22"/>
          <w:szCs w:val="22"/>
        </w:rPr>
        <w:t xml:space="preserve">American Bankers Association — letter to the OCC — Industry argues the OCC Heightened Standards duplicate the Federal Reserve's Regulation YY requirements and should be removed or adjusted to avoid duplication.</w:t>
      </w:r>
    </w:p>
    <w:p>
      <w:pPr>
        <w:spacing w:after="120" w:before="0"/>
      </w:pPr>
      <w:r>
        <w:rPr>
          <w:rFonts w:ascii="Arial" w:cs="Arial" w:eastAsia="Arial" w:hAnsi="Arial"/>
          <w:sz w:val="22"/>
          <w:szCs w:val="22"/>
        </w:rPr>
        <w:t xml:space="preserve">OCC — Heightened Standards NPRM (Bulletin 2025-51) — The OCC acknowledges the duplication concern and proposes raising the covered-bank threshold from $50B to $700B (GSIB lead banks remain covered), lending independent regulatory support to the duplication critique.</w:t>
      </w:r>
    </w:p>
    <w:p>
      <w:pPr>
        <w:spacing w:after="120" w:before="0"/>
      </w:pPr>
      <w:r>
        <w:rPr>
          <w:rFonts w:ascii="Arial" w:cs="Arial" w:eastAsia="Arial" w:hAnsi="Arial"/>
          <w:sz w:val="22"/>
          <w:szCs w:val="22"/>
        </w:rPr>
        <w:t xml:space="preserve">American Association of Bank Directors — “It is a misnomer to call them ‘Guidelines.’ They are enforceable rules” — the OCC can issue formal enforcement actions without rulemaking, making the Heightened Standards functionally regulatory.</w:t>
      </w:r>
    </w:p>
    <w:p>
      <w:pPr>
        <w:spacing w:after="120" w:before="0"/>
      </w:pPr>
      <w:r>
        <w:rPr>
          <w:rFonts w:ascii="Arial" w:cs="Arial" w:eastAsia="Arial" w:hAnsi="Arial"/>
          <w:sz w:val="22"/>
          <w:szCs w:val="22"/>
        </w:rPr>
        <w:t xml:space="preserve">Federal Reserve (Chair Powell, on BSA/AML) — “Across a range of responsibilities, we simply expect much more of boards of directors than ever before” — the agencies' own framing of the rising board burden.</w:t>
      </w:r>
    </w:p>
    <w:p>
      <w:pPr>
        <w:spacing w:after="120" w:before="0"/>
      </w:pPr>
      <w:r>
        <w:rPr>
          <w:rFonts w:ascii="Arial" w:cs="Arial" w:eastAsia="Arial" w:hAnsi="Arial"/>
          <w:sz w:val="22"/>
          <w:szCs w:val="22"/>
        </w:rPr>
        <w:t xml:space="preserve">FDIC (Directors McKernan and Hill, 2023 dissents) — Cited SR 21-3 and SR 16-11 (oversight, not outcome-guarantee) as the appropriate board standard in dissenting from the FDIC's stricter 2023 corporate-governance proposal (later withdrawn).</w:t>
      </w:r>
    </w:p>
    <w:p>
      <w:pPr>
        <w:pStyle w:val="Heading1"/>
      </w:pPr>
      <w:r>
        <w:t xml:space="preserve">Obligations — currency and transition notes (2025–2026)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360"/>
        <w:gridCol w:w="2200"/>
      </w:tblGrid>
      <w:tr>
        <w:tc>
          <w:tcPr>
            <w:tcW w:type="dxa" w:w="12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Date</w:t>
            </w:r>
          </w:p>
        </w:tc>
        <w:tc>
          <w:tcPr>
            <w:tcW w:type="dxa" w:w="26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Development</w:t>
            </w:r>
          </w:p>
        </w:tc>
        <w:tc>
          <w:tcPr>
            <w:tcW w:type="dxa" w:w="336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Detail</w:t>
            </w:r>
          </w:p>
        </w:tc>
        <w:tc>
          <w:tcPr>
            <w:tcW w:type="dxa" w:w="22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Effect</w:t>
            </w:r>
          </w:p>
        </w:tc>
      </w:tr>
      <w:tr>
        <w:tc>
          <w:tcPr>
            <w:tcW w:type="dxa" w:w="1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2025-03</w:t>
            </w:r>
          </w:p>
        </w:tc>
        <w:tc>
          <w:tcPr>
            <w:tcW w:type="dxa" w:w="2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FDIC 2023 corporate-governance proposal withdrawn</w:t>
            </w:r>
          </w:p>
        </w:tc>
        <w:tc>
          <w:tcPr>
            <w:tcW w:type="dxa" w:w="33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The FDIC withdrew its proposed Part 364 corporate-governance/risk-management guidelines (board duty to 'confirm' compliance; majority-independent board). McKernan/Hill had dissented.</w:t>
            </w:r>
          </w:p>
        </w:tc>
        <w:tc>
          <w:tcPr>
            <w:tcW w:type="dxa" w:w="2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No new binding IDI board obligation; do not treat the proposal as latent law.</w:t>
            </w:r>
          </w:p>
        </w:tc>
      </w:tr>
      <w:tr>
        <w:tc>
          <w:tcPr>
            <w:tcW w:type="dxa" w:w="1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2025-08</w:t>
            </w:r>
          </w:p>
        </w:tc>
        <w:tc>
          <w:tcPr>
            <w:tcW w:type="dxa" w:w="2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FFIEC Cybersecurity Assessment Tool sunset</w:t>
            </w:r>
          </w:p>
        </w:tc>
        <w:tc>
          <w:tcPr>
            <w:tcW w:type="dxa" w:w="33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CAT retired Aug. 31, 2025; institutions pointed to NIST CSF 2.0 and others.</w:t>
            </w:r>
          </w:p>
        </w:tc>
        <w:tc>
          <w:tcPr>
            <w:tcW w:type="dxa" w:w="2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Board expectations built on the CAT are untethered; underlying info-security obligation (CYB-01/02) unchanged.</w:t>
            </w:r>
          </w:p>
        </w:tc>
      </w:tr>
      <w:tr>
        <w:tc>
          <w:tcPr>
            <w:tcW w:type="dxa" w:w="1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2026-04-17</w:t>
            </w:r>
          </w:p>
        </w:tc>
        <w:tc>
          <w:tcPr>
            <w:tcW w:type="dxa" w:w="2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Model Risk Management guidance replaced</w:t>
            </w:r>
          </w:p>
        </w:tc>
        <w:tc>
          <w:tcPr>
            <w:tcW w:type="dxa" w:w="33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SR 26-2 / OCC Bulletin 2026-13 superseded SR 11-7 and dropped the explicit board model-risk duty.</w:t>
            </w:r>
          </w:p>
        </w:tc>
        <w:tc>
          <w:tcPr>
            <w:tcW w:type="dxa" w:w="2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No binding board model-risk obligation; the prior board-approval-and-annual-review duty is gone.</w:t>
            </w:r>
          </w:p>
        </w:tc>
      </w:tr>
      <w:tr>
        <w:tc>
          <w:tcPr>
            <w:tcW w:type="dxa" w:w="1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2026-04-10</w:t>
            </w:r>
          </w:p>
        </w:tc>
        <w:tc>
          <w:tcPr>
            <w:tcW w:type="dxa" w:w="2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Reputation-risk supervisory-use prohibition (rule)</w:t>
            </w:r>
          </w:p>
        </w:tc>
        <w:tc>
          <w:tcPr>
            <w:tcW w:type="dxa" w:w="33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Final rule (OCC/FDIC) prohibiting supervisory use of reputation risk; effective June 9, 2026 (Federal Register 2026-06947; OCC Bulletin 2026-12). OCC Bulletin 2026-23 removes references from interagency documents.</w:t>
            </w:r>
          </w:p>
        </w:tc>
        <w:tc>
          <w:tcPr>
            <w:tcW w:type="dxa" w:w="2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Narrows the surface area of board oversight.</w:t>
            </w:r>
          </w:p>
        </w:tc>
      </w:tr>
      <w:tr>
        <w:tc>
          <w:tcPr>
            <w:tcW w:type="dxa" w:w="1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2026-05-01</w:t>
            </w:r>
          </w:p>
        </w:tc>
        <w:tc>
          <w:tcPr>
            <w:tcW w:type="dxa" w:w="2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OCC recovery-planning guidelines (App. E) rescinded</w:t>
            </w:r>
          </w:p>
        </w:tc>
        <w:tc>
          <w:tcPr>
            <w:tcW w:type="dxa" w:w="33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Final rule (91 FR doc. 2026-06281; OCC Bulletin 2026-10) removes the IDI board recovery-plan approval duty.</w:t>
            </w:r>
          </w:p>
        </w:tc>
        <w:tc>
          <w:tcPr>
            <w:tcW w:type="dxa" w:w="2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Eliminates a binding IDI board obligation (RES-03); only the SR 14-8 holding-company oversight expectation remains.</w:t>
            </w:r>
          </w:p>
        </w:tc>
      </w:tr>
      <w:tr>
        <w:tc>
          <w:tcPr>
            <w:tcW w:type="dxa" w:w="1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ongoing</w:t>
            </w:r>
          </w:p>
        </w:tc>
        <w:tc>
          <w:tcPr>
            <w:tcW w:type="dxa" w:w="2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Dodd-Frank section 956 incentive-comp — unimplemented</w:t>
            </w:r>
          </w:p>
        </w:tc>
        <w:tc>
          <w:tcPr>
            <w:tcW w:type="dxa" w:w="33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Three proposals (2011, 2016, 2024); 12 CFR part 236 reserved; FRB and SEC declined to join the 2024 reproposal.</w:t>
            </w:r>
          </w:p>
        </w:tc>
        <w:tc>
          <w:tcPr>
            <w:tcW w:type="dxa" w:w="2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No binding board incentive-comp obligation; only the 2010 guidance is operative (in the expectations inventory).</w:t>
            </w:r>
          </w:p>
        </w:tc>
      </w:tr>
      <w:tr>
        <w:tc>
          <w:tcPr>
            <w:tcW w:type="dxa" w:w="1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ongoing</w:t>
            </w:r>
          </w:p>
        </w:tc>
        <w:tc>
          <w:tcPr>
            <w:tcW w:type="dxa" w:w="2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Dodd-Frank section 165(m) early remediation — unimplemented</w:t>
            </w:r>
          </w:p>
        </w:tc>
        <w:tc>
          <w:tcPr>
            <w:tcW w:type="dxa" w:w="33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Section 165(m) directs the Fed to establish early-remediation requirements; no dedicated rule has been issued.</w:t>
            </w:r>
          </w:p>
        </w:tc>
        <w:tc>
          <w:tcPr>
            <w:tcW w:type="dxa" w:w="2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No discrete binding board early-remediation obligation in force.</w:t>
            </w:r>
          </w:p>
        </w:tc>
      </w:tr>
      <w:tr>
        <w:tc>
          <w:tcPr>
            <w:tcW w:type="dxa" w:w="1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2025-12</w:t>
            </w:r>
          </w:p>
        </w:tc>
        <w:tc>
          <w:tcPr>
            <w:tcW w:type="dxa" w:w="2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OCC Heightened Standards threshold NPRM</w:t>
            </w:r>
          </w:p>
        </w:tc>
        <w:tc>
          <w:tcPr>
            <w:tcW w:type="dxa" w:w="33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OCC Bulletin 2025-51 proposes raising the covered-bank threshold from $50B to $700B.</w:t>
            </w:r>
          </w:p>
        </w:tc>
        <w:tc>
          <w:tcPr>
            <w:tcW w:type="dxa" w:w="2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GSIB lead IDIs remain covered; signals possible softening of App. D board standards.</w:t>
            </w:r>
          </w:p>
        </w:tc>
      </w:tr>
    </w:tbl>
    <w:p>
      <w:pPr>
        <w:sectPr>
          <w:footerReference w:type="default" r:id="rId9"/>
          <w:type w:val="nextPage"/>
          <w:pgSz w:w="12240" w:h="15840" w:orient="portrait"/>
          <w:pgMar w:top="1440" w:right="1440" w:bottom="1440" w:left="1440" w:header="708" w:footer="708" w:gutter="0"/>
          <w:pgNumType/>
          <w:docGrid w:linePitch="360"/>
        </w:sectPr>
      </w:pPr>
    </w:p>
    <w:p>
      <w:pPr>
        <w:pStyle w:val="Heading1"/>
        <w:spacing w:after="160"/>
      </w:pPr>
      <w:r>
        <w:rPr>
          <w:color w:val="1F3864"/>
        </w:rPr>
        <w:t xml:space="preserve">Part II — Supervisory Expectations</w:t>
      </w:r>
    </w:p>
    <w:p>
      <w:pPr>
        <w:spacing w:after="120" w:before="0"/>
      </w:pPr>
      <w:r>
        <w:rPr>
          <w:rFonts w:ascii="Arial" w:cs="Arial" w:eastAsia="Arial" w:hAnsi="Arial"/>
          <w:sz w:val="22"/>
          <w:szCs w:val="22"/>
        </w:rPr>
        <w:t xml:space="preserve">The 149 supervisory expectations placed on GSIB boards by SR/CA letters, OCC bulletins and handbooks, FDIC and FFIEC manuals, the CFPB manual, and interagency guidance. These shape examinations and ratings but are not, by themselves, legally binding — see each entry's supervisory-consequence rating.</w:t>
      </w:r>
    </w:p>
    <w:p>
      <w:pPr>
        <w:pStyle w:val="Heading1"/>
      </w:pPr>
      <w:r>
        <w:t xml:space="preserve">Expectations matrix — domain × board level</w:t>
      </w:r>
    </w:p>
    <w:p>
      <w:pPr>
        <w:spacing w:after="120" w:before="0"/>
      </w:pPr>
      <w:r>
        <w:rPr>
          <w:rFonts w:ascii="Arial" w:cs="Arial" w:eastAsia="Arial" w:hAnsi="Arial"/>
          <w:i/>
          <w:iCs/>
          <w:color w:val="595959"/>
          <w:sz w:val="20"/>
          <w:szCs w:val="20"/>
        </w:rPr>
        <w:t xml:space="preserve">* = superseded/rescinded/retired; entries may appear in multiple columns where assigned to 'the board or a designated committee.'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500"/>
        <w:gridCol w:w="1597"/>
        <w:gridCol w:w="1597"/>
        <w:gridCol w:w="1597"/>
        <w:gridCol w:w="1597"/>
        <w:gridCol w:w="1597"/>
        <w:gridCol w:w="1597"/>
        <w:gridCol w:w="1597"/>
      </w:tblGrid>
      <w:tr>
        <w:tc>
          <w:tcPr>
            <w:tcW w:type="dxa" w:w="25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Domain</w:t>
            </w:r>
          </w:p>
        </w:tc>
        <w:tc>
          <w:tcPr>
            <w:tcW w:type="dxa" w:w="1597"/>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Full board</w:t>
            </w:r>
          </w:p>
        </w:tc>
        <w:tc>
          <w:tcPr>
            <w:tcW w:type="dxa" w:w="1597"/>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Audit cmte.</w:t>
            </w:r>
          </w:p>
        </w:tc>
        <w:tc>
          <w:tcPr>
            <w:tcW w:type="dxa" w:w="1597"/>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Risk cmte.</w:t>
            </w:r>
          </w:p>
        </w:tc>
        <w:tc>
          <w:tcPr>
            <w:tcW w:type="dxa" w:w="1597"/>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Comp. cmte.</w:t>
            </w:r>
          </w:p>
        </w:tc>
        <w:tc>
          <w:tcPr>
            <w:tcW w:type="dxa" w:w="1597"/>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Nom./Gov. cmte.</w:t>
            </w:r>
          </w:p>
        </w:tc>
        <w:tc>
          <w:tcPr>
            <w:tcW w:type="dxa" w:w="1597"/>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Other cmte.</w:t>
            </w:r>
          </w:p>
        </w:tc>
        <w:tc>
          <w:tcPr>
            <w:tcW w:type="dxa" w:w="1597"/>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Director-type</w:t>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3"/>
                <w:szCs w:val="13"/>
              </w:rPr>
              <w:t xml:space="preserve">Cross-cutting governance &amp; safety-and-soundness</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GOV-01, GOV-02, GOV-03, GOV-04, GOV-05, GOV-06, GOV-07, GOV-08, GOV-09, GOV-14, GOV-15, GOV-16, GOV-17, GOV-18, GOV-19, GOV-20, GOV-21, GOV-22, GOV-23, GOV-24, GOV-25, GOV-26, GOV-27, GOV-28, GOV-29, GOV-30, GOV-31, GOV-32, GOV-33, FDR-01, FDR-02, FDR-03, FDR-04, FDR-05</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GOV-10, GOV-12, GOV-28, GOV-30, GOV-31, IAU-01, IAU-02, IAU-03</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GOV-10, GOV-11, GOV-21, GOV-27, GOV-28</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GOV-08, GOV-33</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GOV-13</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GOV-17</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GOV-05, GOV-07, GOV-23, GOV-24, GOV-25, GOV-30, GOV-33, FDR-04, SUB-01</w:t>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3"/>
                <w:szCs w:val="13"/>
              </w:rPr>
              <w:t xml:space="preserve">Board structure &amp; committee governance</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BCG-01, BCG-04, BCG-09, BCG-10, BCG-12, BCG-13, BCG-14</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BCG-02, BCG-06, BCG-14</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BCG-05</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BCG-07</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BCG-08, BCG-10</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BCG-01, BCG-03, BCG-11, BCG-12, BCG-13</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BCG-01, BCG-02, BCG-05, BCG-06, BCG-08, BCG-09, BCG-10, BCG-13, BCG-14</w:t>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3"/>
                <w:szCs w:val="13"/>
              </w:rPr>
              <w:t xml:space="preserve">Capital planning &amp; stress testing</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CAP-01, CAP-02, CAP-03, CAP-04, CAP-05, CAP-06, CAP-07, CAP-08, CAP-09, CAP-10, CAP-11*, STR-01, STR-02, STR-03, STR-04</w:t>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CAP-05, CAP-08, CAP-09, STR-03</w:t>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3"/>
                <w:szCs w:val="13"/>
              </w:rPr>
              <w:t xml:space="preserve">Liquidity risk management</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LIQ-01, LIQ-02, LIQ-03, LIQ-05, LIQ-06, LIQ-07, LIQ-08, LIQ-09, LIQ-10, LIQ-11, LIQ-12, LIQ-13, OLQ-01, OLQ-02, OLQ-03</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OLQ-03</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LIQ-04, LIQ-05, LIQ-06, LIQ-07, LIQ-13</w:t>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LIQ-09</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LIQ-06, LIQ-07</w:t>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3"/>
                <w:szCs w:val="13"/>
              </w:rPr>
              <w:t xml:space="preserve">Resolution planning</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RES-01, RES-02, RES-03, RES-04, RES-05</w:t>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RES-05</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RES-02</w:t>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3"/>
                <w:szCs w:val="13"/>
              </w:rPr>
              <w:t xml:space="preserve">Recovery planning</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REC-01, REC-02, REC-03, REC-04*</w:t>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REC-02</w:t>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3"/>
                <w:szCs w:val="13"/>
              </w:rPr>
              <w:t xml:space="preserve">Operational resilience</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OPR-01, OPR-02, OPR-03, OPR-04, OPR-05</w:t>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OPR-05</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OPR-03</w:t>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3"/>
                <w:szCs w:val="13"/>
              </w:rPr>
              <w:t xml:space="preserve">Model risk governance</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MOD-02*</w:t>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MOD-01</w:t>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3"/>
                <w:szCs w:val="13"/>
              </w:rPr>
              <w:t xml:space="preserve">Third-party risk management</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TPR-01, TPR-02, TPR-03, TPR-04, TPR-05, TPR-06, TPR-07</w:t>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TPR-01, TPR-02, TPR-04, TPR-06</w:t>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3"/>
                <w:szCs w:val="13"/>
              </w:rPr>
              <w:t xml:space="preserve">Incentive compensation</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INC-01, INC-02, INC-03, INC-04, INC-05</w:t>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INC-01, INC-02, INC-03</w:t>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INC-05</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INC-03, INC-05</w:t>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3"/>
                <w:szCs w:val="13"/>
              </w:rPr>
              <w:t xml:space="preserve">Cybersecurity governance</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CYB-01, CYB-02, CYB-03, CYB-04, CYB-05, CYB-06, CYB-07*, CYB-08</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CYB-01</w:t>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CYB-03, CYB-04, CYB-05</w:t>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3"/>
                <w:szCs w:val="13"/>
              </w:rPr>
              <w:t xml:space="preserve">BSA/AML program oversight</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BSA-01, BSA-02, BSA-03, BSA-04, BSA-05, BSA-06, BSA-07, BSA-08, BSA-09, BSA-10, BSA-11, BSA-12, BSA-13</w:t>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BSA-03, BSA-06, BSA-09, BSA-12</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BSA-12</w:t>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3"/>
                <w:szCs w:val="13"/>
              </w:rPr>
              <w:t xml:space="preserve">Consumer compliance oversight</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CON-01, CON-02, CON-03, CON-04, CON-05, CON-06, CON-07, CON-08, CON-09, CON-10, CON-11, CON-13</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CON-11</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CON-06, CON-09, CON-11</w:t>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2"/>
                <w:szCs w:val="12"/>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CON-02, CON-07, CON-12</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2"/>
                <w:szCs w:val="12"/>
              </w:rPr>
              <w:t xml:space="preserve">CON-03, CON-07</w:t>
            </w:r>
          </w:p>
        </w:tc>
      </w:tr>
    </w:tbl>
    <w:p>
      <w:pPr>
        <w:sectPr>
          <w:footerReference w:type="default" r:id="rId10"/>
          <w:type w:val="nextPage"/>
          <w:pgSz w:w="15840" w:h="12240" w:orient="landscape"/>
          <w:pgMar w:top="1080" w:right="1080" w:bottom="1080" w:left="1080" w:header="708" w:footer="708" w:gutter="0"/>
          <w:pgNumType/>
          <w:docGrid w:linePitch="360"/>
        </w:sectPr>
      </w:pPr>
    </w:p>
    <w:p>
      <w:pPr>
        <w:pStyle w:val="Heading1"/>
      </w:pPr>
      <w:r>
        <w:t xml:space="preserve">Expectations — detailed inventory by domain</w:t>
      </w:r>
    </w:p>
    <w:p>
      <w:pPr>
        <w:pStyle w:val="Heading2"/>
      </w:pPr>
      <w:r>
        <w:t xml:space="preserve">1. Cross-cutting governance &amp; safety-and-soundness</w:t>
      </w:r>
    </w:p>
    <w:p>
      <w:pPr>
        <w:keepNext/>
        <w:spacing w:after="16" w:before="104"/>
      </w:pPr>
      <w:r>
        <w:rPr>
          <w:rFonts w:ascii="Arial" w:cs="Arial" w:eastAsia="Arial" w:hAnsi="Arial"/>
          <w:b/>
          <w:bCs/>
          <w:color w:val="1F3864"/>
          <w:sz w:val="21"/>
          <w:szCs w:val="21"/>
        </w:rPr>
        <w:t xml:space="preserve">GOV-01  —  Full board  ·  BHC</w:t>
      </w:r>
      <w:r>
        <w:rPr>
          <w:sz w:val="2"/>
          <w:szCs w:val="2"/>
        </w:rPr>
        <w:t xml:space="preserve"/>
      </w:r>
    </w:p>
    <w:p>
      <w:pPr>
        <w:spacing w:after="24"/>
      </w:pPr>
      <w:r>
        <w:rPr>
          <w:rFonts w:ascii="Arial" w:cs="Arial" w:eastAsia="Arial" w:hAnsi="Arial"/>
          <w:sz w:val="21"/>
          <w:szCs w:val="21"/>
        </w:rPr>
        <w:t xml:space="preserve">Board oversees development of, reviews, approves, and periodically monitors the firm's strategy and risk appetite, ensuring strategy is commensurate with risk-management capacity.</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21-3 / CA 21-1, Supervisory Guidance on Board of Directors' Effectiveness (Feb. 26, 2021), Attachment, Attribute 1, pp. 2-3.</w:t>
      </w:r>
      <w:r>
        <w:rPr>
          <w:rFonts w:ascii="Arial" w:cs="Arial" w:eastAsia="Arial" w:hAnsi="Arial"/>
          <w:i/>
          <w:iCs/>
          <w:color w:val="3B6FB0"/>
          <w:sz w:val="15"/>
          <w:szCs w:val="15"/>
        </w:rPr>
        <w:t xml:space="preserve"> [https://www.federalreserve.gov/supervisionreg/srletters/SR2103.htm]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Risk appetite statement  ·  Redundancy: Candidate redundancy  ·  Confidence: Medium</w:t>
      </w:r>
    </w:p>
    <w:p>
      <w:pPr>
        <w:spacing w:after="104"/>
      </w:pPr>
      <w:r>
        <w:rPr>
          <w:rFonts w:ascii="Arial" w:cs="Arial" w:eastAsia="Arial" w:hAnsi="Arial"/>
          <w:i/>
          <w:iCs/>
          <w:color w:val="595959"/>
          <w:sz w:val="17"/>
          <w:szCs w:val="17"/>
        </w:rPr>
        <w:t xml:space="preserve">Note: Applies to FRB-supervised firms &gt;=$100B; all eight GSIBs covered.</w:t>
      </w:r>
    </w:p>
    <w:p>
      <w:pPr>
        <w:keepNext/>
        <w:spacing w:after="16" w:before="104"/>
      </w:pPr>
      <w:r>
        <w:rPr>
          <w:rFonts w:ascii="Arial" w:cs="Arial" w:eastAsia="Arial" w:hAnsi="Arial"/>
          <w:b/>
          <w:bCs/>
          <w:color w:val="1F3864"/>
          <w:sz w:val="21"/>
          <w:szCs w:val="21"/>
        </w:rPr>
        <w:t xml:space="preserve">GOV-02  —  Full board  ·  BHC</w:t>
      </w:r>
      <w:r>
        <w:rPr>
          <w:sz w:val="2"/>
          <w:szCs w:val="2"/>
        </w:rPr>
        <w:t xml:space="preserve"/>
      </w:r>
    </w:p>
    <w:p>
      <w:pPr>
        <w:spacing w:after="24"/>
      </w:pPr>
      <w:r>
        <w:rPr>
          <w:rFonts w:ascii="Arial" w:cs="Arial" w:eastAsia="Arial" w:hAnsi="Arial"/>
          <w:sz w:val="21"/>
          <w:szCs w:val="21"/>
        </w:rPr>
        <w:t xml:space="preserve">Board reviews and approves significant policies/programs/plans: capital plan, recovery and resolution plans, audit plan, enterprise-wide and liquidity risk-management policies, compliance risk-management program, and compensation programs.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21-3 / CA 21-1 (Feb. 26, 2021), Attachment, Attribute 1, p. 3, fns. 9-14.</w:t>
      </w:r>
      <w:r>
        <w:rPr>
          <w:rFonts w:ascii="Arial" w:cs="Arial" w:eastAsia="Arial" w:hAnsi="Arial"/>
          <w:i/>
          <w:iCs/>
          <w:color w:val="3B6FB0"/>
          <w:sz w:val="15"/>
          <w:szCs w:val="15"/>
        </w:rPr>
        <w:t xml:space="preserve"> [https://www.federalreserve.gov/supervisionreg/srletters/SR2103.htm]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Audit committee &amp; independence  ·  Redundancy: Candidate redundancy  ·  Confidence: Medium</w:t>
      </w:r>
    </w:p>
    <w:p>
      <w:pPr>
        <w:spacing w:after="104"/>
      </w:pPr>
      <w:r>
        <w:rPr>
          <w:rFonts w:ascii="Arial" w:cs="Arial" w:eastAsia="Arial" w:hAnsi="Arial"/>
          <w:i/>
          <w:iCs/>
          <w:color w:val="595959"/>
          <w:sz w:val="17"/>
          <w:szCs w:val="17"/>
        </w:rPr>
        <w:t xml:space="preserve">Note: Many of these approvals are elaborated in domain-specific guidance/rules below.</w:t>
      </w:r>
    </w:p>
    <w:p>
      <w:pPr>
        <w:keepNext/>
        <w:spacing w:after="16" w:before="104"/>
      </w:pPr>
      <w:r>
        <w:rPr>
          <w:rFonts w:ascii="Arial" w:cs="Arial" w:eastAsia="Arial" w:hAnsi="Arial"/>
          <w:b/>
          <w:bCs/>
          <w:color w:val="1F3864"/>
          <w:sz w:val="21"/>
          <w:szCs w:val="21"/>
        </w:rPr>
        <w:t xml:space="preserve">GOV-03  —  Full board  ·  BHC</w:t>
      </w:r>
      <w:r>
        <w:rPr>
          <w:sz w:val="2"/>
          <w:szCs w:val="2"/>
        </w:rPr>
        <w:t xml:space="preserve"/>
      </w:r>
    </w:p>
    <w:p>
      <w:pPr>
        <w:spacing w:after="24"/>
      </w:pPr>
      <w:r>
        <w:rPr>
          <w:rFonts w:ascii="Arial" w:cs="Arial" w:eastAsia="Arial" w:hAnsi="Arial"/>
          <w:sz w:val="21"/>
          <w:szCs w:val="21"/>
        </w:rPr>
        <w:t xml:space="preserve">Board evaluates the increased risk of expansion into a new business or jurisdiction and reviews corresponding risk-management and control enhancements (including BSA and FCPA compliance).</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21-3 / CA 21-1 (Feb. 26, 2021), Attachment, Attribute 1, pp. 2-3.</w:t>
      </w:r>
      <w:r>
        <w:rPr>
          <w:rFonts w:ascii="Arial" w:cs="Arial" w:eastAsia="Arial" w:hAnsi="Arial"/>
          <w:i/>
          <w:iCs/>
          <w:color w:val="3B6FB0"/>
          <w:sz w:val="15"/>
          <w:szCs w:val="15"/>
        </w:rPr>
        <w:t xml:space="preserve"> [https://www.federalreserve.gov/supervisionreg/srletters/SR2103.htm]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Risk-governance framework / strategy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GOV-04  —  Full board  ·  BHC</w:t>
      </w:r>
      <w:r>
        <w:rPr>
          <w:sz w:val="2"/>
          <w:szCs w:val="2"/>
        </w:rPr>
        <w:t xml:space="preserve"/>
      </w:r>
    </w:p>
    <w:p>
      <w:pPr>
        <w:spacing w:after="24"/>
      </w:pPr>
      <w:r>
        <w:rPr>
          <w:rFonts w:ascii="Arial" w:cs="Arial" w:eastAsia="Arial" w:hAnsi="Arial"/>
          <w:sz w:val="21"/>
          <w:szCs w:val="21"/>
        </w:rPr>
        <w:t xml:space="preserve">Board directs senior management to provide timely, accurate, well-organized information sufficient in scope and detail; evaluates sufficiency and demands improvement.</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21-3 / CA 21-1 (Feb. 26, 2021), Attachment, Attribute 2, pp. 3-4.</w:t>
      </w:r>
      <w:r>
        <w:rPr>
          <w:rFonts w:ascii="Arial" w:cs="Arial" w:eastAsia="Arial" w:hAnsi="Arial"/>
          <w:i/>
          <w:iCs/>
          <w:color w:val="3B6FB0"/>
          <w:sz w:val="15"/>
          <w:szCs w:val="15"/>
        </w:rPr>
        <w:t xml:space="preserve"> [https://www.federalreserve.gov/supervisionreg/srletters/SR2103.htm]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Risk-governance framework / strategy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GOV-05  —  Full board  ·  BHC</w:t>
      </w:r>
      <w:r>
        <w:rPr>
          <w:sz w:val="2"/>
          <w:szCs w:val="2"/>
        </w:rPr>
        <w:t xml:space="preserve"/>
      </w:r>
    </w:p>
    <w:p>
      <w:pPr>
        <w:spacing w:after="24"/>
      </w:pPr>
      <w:r>
        <w:rPr>
          <w:rFonts w:ascii="Arial" w:cs="Arial" w:eastAsia="Arial" w:hAnsi="Arial"/>
          <w:sz w:val="21"/>
          <w:szCs w:val="21"/>
        </w:rPr>
        <w:t xml:space="preserve">Independent directors, particularly the lead independent director or independent board chair and committee chairs, take an active role in setting board and committee agendas.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21-3 / CA 21-1 (Feb. 26, 2021), Attachment, Attribute 2, p. 4.</w:t>
      </w:r>
      <w:r>
        <w:rPr>
          <w:rFonts w:ascii="Arial" w:cs="Arial" w:eastAsia="Arial" w:hAnsi="Arial"/>
          <w:i/>
          <w:iCs/>
          <w:color w:val="3B6FB0"/>
          <w:sz w:val="15"/>
          <w:szCs w:val="15"/>
        </w:rPr>
        <w:t xml:space="preserve"> [https://www.federalreserve.gov/supervisionreg/srletters/SR2103.htm]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Director independence (cross-cutting)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GOV-06  —  Full board  ·  BHC</w:t>
      </w:r>
      <w:r>
        <w:rPr>
          <w:sz w:val="2"/>
          <w:szCs w:val="2"/>
        </w:rPr>
        <w:t xml:space="preserve"/>
      </w:r>
    </w:p>
    <w:p>
      <w:pPr>
        <w:spacing w:after="24"/>
      </w:pPr>
      <w:r>
        <w:rPr>
          <w:rFonts w:ascii="Arial" w:cs="Arial" w:eastAsia="Arial" w:hAnsi="Arial"/>
          <w:sz w:val="21"/>
          <w:szCs w:val="21"/>
        </w:rPr>
        <w:t xml:space="preserve">Board oversees implementation of strategy within risk appetite; challenges management; engages in robust inquiry into emerging risks, adherence to risk appetite, and material or persistent deficiencies; reviews complaint and whistleblower reports.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21-3 / CA 21-1 (Feb. 26, 2021), Attachment, Attribute 3, pp. 4-5.</w:t>
      </w:r>
      <w:r>
        <w:rPr>
          <w:rFonts w:ascii="Arial" w:cs="Arial" w:eastAsia="Arial" w:hAnsi="Arial"/>
          <w:i/>
          <w:iCs/>
          <w:color w:val="3B6FB0"/>
          <w:sz w:val="15"/>
          <w:szCs w:val="15"/>
        </w:rPr>
        <w:t xml:space="preserve"> [https://www.federalreserve.gov/supervisionreg/srletters/SR2103.htm]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Risk appetite statement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GOV-07  —  Full board  ·  BHC</w:t>
      </w:r>
      <w:r>
        <w:rPr>
          <w:sz w:val="2"/>
          <w:szCs w:val="2"/>
        </w:rPr>
        <w:t xml:space="preserve"/>
      </w:r>
    </w:p>
    <w:p>
      <w:pPr>
        <w:spacing w:after="24"/>
      </w:pPr>
      <w:r>
        <w:rPr>
          <w:rFonts w:ascii="Arial" w:cs="Arial" w:eastAsia="Arial" w:hAnsi="Arial"/>
          <w:sz w:val="21"/>
          <w:szCs w:val="21"/>
        </w:rPr>
        <w:t xml:space="preserve">Board has independent directors sufficiently empowered to serve as an effective check against firm executives who sit on the board (e.g., where an executive chair exists, empower a lead independent director with authority to call meetings).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21-3 / CA 21-1 (Feb. 26, 2021), Attachment, Attribute 3, p. 5.</w:t>
      </w:r>
      <w:r>
        <w:rPr>
          <w:rFonts w:ascii="Arial" w:cs="Arial" w:eastAsia="Arial" w:hAnsi="Arial"/>
          <w:i/>
          <w:iCs/>
          <w:color w:val="3B6FB0"/>
          <w:sz w:val="15"/>
          <w:szCs w:val="15"/>
        </w:rPr>
        <w:t xml:space="preserve"> [https://www.federalreserve.gov/supervisionreg/srletters/SR2103.htm]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Director independence (cross-cutting)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GOV-08  —  Full board (compensation committee in practice)  ·  BHC</w:t>
      </w:r>
      <w:r>
        <w:rPr>
          <w:sz w:val="2"/>
          <w:szCs w:val="2"/>
        </w:rPr>
        <w:t xml:space="preserve"/>
      </w:r>
    </w:p>
    <w:p>
      <w:pPr>
        <w:spacing w:after="24"/>
      </w:pPr>
      <w:r>
        <w:rPr>
          <w:rFonts w:ascii="Arial" w:cs="Arial" w:eastAsia="Arial" w:hAnsi="Arial"/>
          <w:sz w:val="21"/>
          <w:szCs w:val="21"/>
        </w:rPr>
        <w:t xml:space="preserve">Board approves financial and nonfinancial performance objectives for the CEO and business-line executives, and nonfinancial objectives for the CRO and chief audit executive; ensures compensation discourages risk-taking inconsistent with safety and soundness.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21-3 / CA 21-1 (Feb. 26, 2021), Attachment, Attribute 3, p. 5.</w:t>
      </w:r>
      <w:r>
        <w:rPr>
          <w:rFonts w:ascii="Arial" w:cs="Arial" w:eastAsia="Arial" w:hAnsi="Arial"/>
          <w:i/>
          <w:iCs/>
          <w:color w:val="3B6FB0"/>
          <w:sz w:val="15"/>
          <w:szCs w:val="15"/>
        </w:rPr>
        <w:t xml:space="preserve"> [https://www.federalreserve.gov/supervisionreg/srletters/SR2103.htm]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Audit committee &amp; independence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GOV-09  —  Full board  ·  BHC</w:t>
      </w:r>
      <w:r>
        <w:rPr>
          <w:sz w:val="2"/>
          <w:szCs w:val="2"/>
        </w:rPr>
        <w:t xml:space="preserve"/>
      </w:r>
    </w:p>
    <w:p>
      <w:pPr>
        <w:spacing w:after="24"/>
      </w:pPr>
      <w:r>
        <w:rPr>
          <w:rFonts w:ascii="Arial" w:cs="Arial" w:eastAsia="Arial" w:hAnsi="Arial"/>
          <w:sz w:val="21"/>
          <w:szCs w:val="21"/>
        </w:rPr>
        <w:t xml:space="preserve">Board oversees CEO succession and, depending on the firm, succession for the CRO, CAE, and other senior officials (exceeds NYSE's CEO-only requirement).</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21-3 / CA 21-1 (Feb. 26, 2021), Attachment, Attribute 3, p. 5, fn. 15.</w:t>
      </w:r>
      <w:r>
        <w:rPr>
          <w:rFonts w:ascii="Arial" w:cs="Arial" w:eastAsia="Arial" w:hAnsi="Arial"/>
          <w:i/>
          <w:iCs/>
          <w:color w:val="3B6FB0"/>
          <w:sz w:val="15"/>
          <w:szCs w:val="15"/>
        </w:rPr>
        <w:t xml:space="preserve"> [https://www.federalreserve.gov/supervisionreg/srletters/SR2103.htm]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Risk-governance framework / strategy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GOV-10  —  Risk committee; Audit committee  ·  BHC</w:t>
      </w:r>
      <w:r>
        <w:rPr>
          <w:sz w:val="2"/>
          <w:szCs w:val="2"/>
        </w:rPr>
        <w:t xml:space="preserve"/>
      </w:r>
    </w:p>
    <w:p>
      <w:pPr>
        <w:spacing w:after="24"/>
      </w:pPr>
      <w:r>
        <w:rPr>
          <w:rFonts w:ascii="Arial" w:cs="Arial" w:eastAsia="Arial" w:hAnsi="Arial"/>
          <w:sz w:val="21"/>
          <w:szCs w:val="21"/>
        </w:rPr>
        <w:t xml:space="preserve">Through its risk and audit committees, the board assesses and supports the stature and independence of independent risk management and internal audit.</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21-3 / CA 21-1 (Feb. 26, 2021), Attachment, Attribute 4, pp. 5-6.</w:t>
      </w:r>
      <w:r>
        <w:rPr>
          <w:rFonts w:ascii="Arial" w:cs="Arial" w:eastAsia="Arial" w:hAnsi="Arial"/>
          <w:i/>
          <w:iCs/>
          <w:color w:val="3B6FB0"/>
          <w:sz w:val="15"/>
          <w:szCs w:val="15"/>
        </w:rPr>
        <w:t xml:space="preserve"> [https://www.federalreserve.gov/supervisionreg/srletters/SR2103.htm]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Director independence (cross-cutting)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GOV-11  —  Risk committee  ·  BHC</w:t>
      </w:r>
      <w:r>
        <w:rPr>
          <w:sz w:val="2"/>
          <w:szCs w:val="2"/>
        </w:rPr>
        <w:t xml:space="preserve"/>
      </w:r>
    </w:p>
    <w:p>
      <w:pPr>
        <w:spacing w:after="24"/>
      </w:pPr>
      <w:r>
        <w:rPr>
          <w:rFonts w:ascii="Arial" w:cs="Arial" w:eastAsia="Arial" w:hAnsi="Arial"/>
          <w:sz w:val="21"/>
          <w:szCs w:val="21"/>
        </w:rPr>
        <w:t xml:space="preserve">Risk committee communicates directly with the CRO; oversees IRM budget/staffing/controls; coordinates with compliance; provides IRM direct and unrestricted access; inquires into breaches of risk appetite/limits, remediation timeliness, and audit-plan appropriateness.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21-3 / CA 21-1 (Feb. 26, 2021), Attachment, Attribute 4, p. 6.</w:t>
      </w:r>
      <w:r>
        <w:rPr>
          <w:rFonts w:ascii="Arial" w:cs="Arial" w:eastAsia="Arial" w:hAnsi="Arial"/>
          <w:i/>
          <w:iCs/>
          <w:color w:val="3B6FB0"/>
          <w:sz w:val="15"/>
          <w:szCs w:val="15"/>
        </w:rPr>
        <w:t xml:space="preserve"> [https://www.federalreserve.gov/supervisionreg/srletters/SR2103.htm]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Audit committee &amp; independence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GOV-12  —  Audit committee  ·  BHC</w:t>
      </w:r>
      <w:r>
        <w:rPr>
          <w:sz w:val="2"/>
          <w:szCs w:val="2"/>
        </w:rPr>
        <w:t xml:space="preserve"/>
      </w:r>
    </w:p>
    <w:p>
      <w:pPr>
        <w:spacing w:after="24"/>
      </w:pPr>
      <w:r>
        <w:rPr>
          <w:rFonts w:ascii="Arial" w:cs="Arial" w:eastAsia="Arial" w:hAnsi="Arial"/>
          <w:sz w:val="21"/>
          <w:szCs w:val="21"/>
        </w:rPr>
        <w:t xml:space="preserve">Audit committee meets directly with the CAE; supports internal-audit budget and staffing; reviews status of remediation of material/persistent deficiencies from internal/external audit and supervisory findings.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21-3 / CA 21-1 (Feb. 26, 2021), Attachment, Attribute 4, p. 6.</w:t>
      </w:r>
      <w:r>
        <w:rPr>
          <w:rFonts w:ascii="Arial" w:cs="Arial" w:eastAsia="Arial" w:hAnsi="Arial"/>
          <w:i/>
          <w:iCs/>
          <w:color w:val="3B6FB0"/>
          <w:sz w:val="15"/>
          <w:szCs w:val="15"/>
        </w:rPr>
        <w:t xml:space="preserve"> [https://www.federalreserve.gov/supervisionreg/srletters/SR2103.htm]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Audit committee &amp; independence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GOV-13  —  Nominating/Governance committee  ·  BHC</w:t>
      </w:r>
      <w:r>
        <w:rPr>
          <w:sz w:val="2"/>
          <w:szCs w:val="2"/>
        </w:rPr>
        <w:t xml:space="preserve"/>
      </w:r>
    </w:p>
    <w:p>
      <w:pPr>
        <w:spacing w:after="24"/>
      </w:pPr>
      <w:r>
        <w:rPr>
          <w:rFonts w:ascii="Arial" w:cs="Arial" w:eastAsia="Arial" w:hAnsi="Arial"/>
          <w:sz w:val="21"/>
          <w:szCs w:val="21"/>
        </w:rPr>
        <w:t xml:space="preserve">Board establishes a director-nomination process with a mix of skills and experience and considers a diverse pool of potential nominees.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21-3 / CA 21-1 (Feb. 26, 2021), Attachment, Attribute 5, p. 7, fn. 19.</w:t>
      </w:r>
      <w:r>
        <w:rPr>
          <w:rFonts w:ascii="Arial" w:cs="Arial" w:eastAsia="Arial" w:hAnsi="Arial"/>
          <w:i/>
          <w:iCs/>
          <w:color w:val="3B6FB0"/>
          <w:sz w:val="15"/>
          <w:szCs w:val="15"/>
        </w:rPr>
        <w:t xml:space="preserve"> [https://www.federalreserve.gov/supervisionreg/srletters/SR2103.htm]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Risk-governance framework / strategy  ·  Redundancy: Candidate redundancy  ·  Confidence: Medium</w:t>
      </w:r>
    </w:p>
    <w:p>
      <w:pPr>
        <w:spacing w:after="104"/>
      </w:pPr>
      <w:r>
        <w:rPr>
          <w:rFonts w:ascii="Arial" w:cs="Arial" w:eastAsia="Arial" w:hAnsi="Arial"/>
          <w:i/>
          <w:iCs/>
          <w:color w:val="595959"/>
          <w:sz w:val="17"/>
          <w:szCs w:val="17"/>
        </w:rPr>
        <w:t xml:space="preserve">Note: The 'diverse pool... including women and minorities' sub-clause references the 2015 Interagency Diversity Policy Statement; most exposed element given 2025-26 federal DEI rollback, though SR 21-3 not formally amended.</w:t>
      </w:r>
    </w:p>
    <w:p>
      <w:pPr>
        <w:keepNext/>
        <w:spacing w:after="16" w:before="104"/>
      </w:pPr>
      <w:r>
        <w:rPr>
          <w:rFonts w:ascii="Arial" w:cs="Arial" w:eastAsia="Arial" w:hAnsi="Arial"/>
          <w:b/>
          <w:bCs/>
          <w:color w:val="1F3864"/>
          <w:sz w:val="21"/>
          <w:szCs w:val="21"/>
        </w:rPr>
        <w:t xml:space="preserve">GOV-14  —  Full board  ·  BHC</w:t>
      </w:r>
      <w:r>
        <w:rPr>
          <w:sz w:val="2"/>
          <w:szCs w:val="2"/>
        </w:rPr>
        <w:t xml:space="preserve"/>
      </w:r>
    </w:p>
    <w:p>
      <w:pPr>
        <w:spacing w:after="24"/>
      </w:pPr>
      <w:r>
        <w:rPr>
          <w:rFonts w:ascii="Arial" w:cs="Arial" w:eastAsia="Arial" w:hAnsi="Arial"/>
          <w:sz w:val="21"/>
          <w:szCs w:val="21"/>
        </w:rPr>
        <w:t xml:space="preserve">Board conducts an annual self-assessment of its strengths and weaknesses, including committee (risk, audit, key committees) performance, and adapts.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21-3 / CA 21-1 (Feb. 26, 2021), Attachment, Attribute 5, p. 7.</w:t>
      </w:r>
      <w:r>
        <w:rPr>
          <w:rFonts w:ascii="Arial" w:cs="Arial" w:eastAsia="Arial" w:hAnsi="Arial"/>
          <w:i/>
          <w:iCs/>
          <w:color w:val="3B6FB0"/>
          <w:sz w:val="15"/>
          <w:szCs w:val="15"/>
        </w:rPr>
        <w:t xml:space="preserve"> [https://www.federalreserve.gov/supervisionreg/srletters/SR2103.htm]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Annual  ·  Cluster: Board self-assessment / effectiveness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GOV-15  —  Full board  ·  BHC</w:t>
      </w:r>
      <w:r>
        <w:rPr>
          <w:sz w:val="2"/>
          <w:szCs w:val="2"/>
        </w:rPr>
        <w:t xml:space="preserve"/>
      </w:r>
    </w:p>
    <w:p>
      <w:pPr>
        <w:spacing w:after="24"/>
      </w:pPr>
      <w:r>
        <w:rPr>
          <w:rFonts w:ascii="Arial" w:cs="Arial" w:eastAsia="Arial" w:hAnsi="Arial"/>
          <w:sz w:val="21"/>
          <w:szCs w:val="21"/>
        </w:rPr>
        <w:t xml:space="preserve">Board (with senior management) establishes and maintains the firm's culture, incentives, structure, and processes that promote compliance with laws, regulations, and supervisory guidance.</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12-17 / CA 12-14, Consolidated Supervision Framework for Large Financial Institutions (Dec. 17, 2012; revised Oct. 1, 2025), Section A.2 (Corporate Governance), pp. 5-6.</w:t>
      </w:r>
      <w:r>
        <w:rPr>
          <w:rFonts w:ascii="Arial" w:cs="Arial" w:eastAsia="Arial" w:hAnsi="Arial"/>
          <w:i/>
          <w:iCs/>
          <w:color w:val="3B6FB0"/>
          <w:sz w:val="15"/>
          <w:szCs w:val="15"/>
        </w:rPr>
        <w:t xml:space="preserve"> [https://www.federalreserve.gov/supervisionreg/srletters/sr1217.htm]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Risk-governance framework / strategy  ·  Redundancy: Candidate redundancy  ·  Confidence: Medium</w:t>
      </w:r>
    </w:p>
    <w:p>
      <w:pPr>
        <w:spacing w:after="104"/>
      </w:pPr>
      <w:r>
        <w:rPr>
          <w:rFonts w:ascii="Arial" w:cs="Arial" w:eastAsia="Arial" w:hAnsi="Arial"/>
          <w:i/>
          <w:iCs/>
          <w:color w:val="595959"/>
          <w:sz w:val="17"/>
          <w:szCs w:val="17"/>
        </w:rPr>
        <w:t xml:space="preserve">Note: Oct. 1, 2025 revision removed all references to 'reputational risk.' Board governance duties otherwise intact.</w:t>
      </w:r>
    </w:p>
    <w:p>
      <w:pPr>
        <w:keepNext/>
        <w:spacing w:after="16" w:before="104"/>
      </w:pPr>
      <w:r>
        <w:rPr>
          <w:rFonts w:ascii="Arial" w:cs="Arial" w:eastAsia="Arial" w:hAnsi="Arial"/>
          <w:b/>
          <w:bCs/>
          <w:color w:val="1F3864"/>
          <w:sz w:val="21"/>
          <w:szCs w:val="21"/>
        </w:rPr>
        <w:t xml:space="preserve">GOV-16  —  Full board  ·  BHC</w:t>
      </w:r>
      <w:r>
        <w:rPr>
          <w:sz w:val="2"/>
          <w:szCs w:val="2"/>
        </w:rPr>
        <w:t xml:space="preserve"/>
      </w:r>
    </w:p>
    <w:p>
      <w:pPr>
        <w:spacing w:after="24"/>
      </w:pPr>
      <w:r>
        <w:rPr>
          <w:rFonts w:ascii="Arial" w:cs="Arial" w:eastAsia="Arial" w:hAnsi="Arial"/>
          <w:sz w:val="21"/>
          <w:szCs w:val="21"/>
        </w:rPr>
        <w:t xml:space="preserve">Board sets direction/oversight for revenue generation and control functions; ensures management capability; emphasizes compliance/consumer protection and management of legal risk; ensures independent and effective control functions; aligns incentives with risk appetite; ensures adequate MIS; and approves capital and liquidity goals.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12-17 / CA 12-14 (rev. Oct. 1, 2025), Section A.2(a)-(f); A.1(f).</w:t>
      </w:r>
      <w:r>
        <w:rPr>
          <w:rFonts w:ascii="Arial" w:cs="Arial" w:eastAsia="Arial" w:hAnsi="Arial"/>
          <w:i/>
          <w:iCs/>
          <w:color w:val="3B6FB0"/>
          <w:sz w:val="15"/>
          <w:szCs w:val="15"/>
        </w:rPr>
        <w:t xml:space="preserve"> [https://www.federalreserve.gov/supervisionreg/srletters/sr1217.htm]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Director independence (cross-cutting)  ·  Redundancy: Candidate redundancy  ·  Confidence: Medium</w:t>
      </w:r>
    </w:p>
    <w:p>
      <w:pPr>
        <w:spacing w:after="104"/>
      </w:pPr>
      <w:r>
        <w:rPr>
          <w:rFonts w:ascii="Arial" w:cs="Arial" w:eastAsia="Arial" w:hAnsi="Arial"/>
          <w:i/>
          <w:iCs/>
          <w:color w:val="595959"/>
          <w:sz w:val="17"/>
          <w:szCs w:val="17"/>
        </w:rPr>
        <w:t xml:space="preserve">Note: Consolidates the corporate-governance expectations of A.2(a)-(f) and the capital/liquidity goal-approval of A.1(f).</w:t>
      </w:r>
    </w:p>
    <w:p>
      <w:pPr>
        <w:keepNext/>
        <w:spacing w:after="16" w:before="104"/>
      </w:pPr>
      <w:r>
        <w:rPr>
          <w:rFonts w:ascii="Arial" w:cs="Arial" w:eastAsia="Arial" w:hAnsi="Arial"/>
          <w:b/>
          <w:bCs/>
          <w:color w:val="1F3864"/>
          <w:sz w:val="21"/>
          <w:szCs w:val="21"/>
        </w:rPr>
        <w:t xml:space="preserve">GOV-17  —  Full board; committees  ·  BHC</w:t>
      </w:r>
      <w:r>
        <w:rPr>
          <w:sz w:val="2"/>
          <w:szCs w:val="2"/>
        </w:rPr>
        <w:t xml:space="preserve"/>
      </w:r>
    </w:p>
    <w:p>
      <w:pPr>
        <w:spacing w:after="24"/>
      </w:pPr>
      <w:r>
        <w:rPr>
          <w:rFonts w:ascii="Arial" w:cs="Arial" w:eastAsia="Arial" w:hAnsi="Arial"/>
          <w:sz w:val="21"/>
          <w:szCs w:val="21"/>
        </w:rPr>
        <w:t xml:space="preserve">Recovery and resolution planning are integrated into governance, independently validated, and supported by MIS reporting to the board and its committees.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12-17 / CA 12-14 (rev. Oct. 1, 2025), Sections A.3(f), B.3(g).</w:t>
      </w:r>
      <w:r>
        <w:rPr>
          <w:rFonts w:ascii="Arial" w:cs="Arial" w:eastAsia="Arial" w:hAnsi="Arial"/>
          <w:i/>
          <w:iCs/>
          <w:color w:val="3B6FB0"/>
          <w:sz w:val="15"/>
          <w:szCs w:val="15"/>
        </w:rPr>
        <w:t xml:space="preserve"> [https://www.federalreserve.gov/supervisionreg/srletters/sr1217.htm]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Director independence (cross-cutting)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GOV-18  —  Full board  ·  BHC</w:t>
      </w:r>
      <w:r>
        <w:rPr>
          <w:sz w:val="2"/>
          <w:szCs w:val="2"/>
        </w:rPr>
        <w:t xml:space="preserve"/>
      </w:r>
    </w:p>
    <w:p>
      <w:pPr>
        <w:spacing w:after="24"/>
      </w:pPr>
      <w:r>
        <w:rPr>
          <w:rFonts w:ascii="Arial" w:cs="Arial" w:eastAsia="Arial" w:hAnsi="Arial"/>
          <w:sz w:val="21"/>
          <w:szCs w:val="21"/>
        </w:rPr>
        <w:t xml:space="preserve">Board effectiveness is a rated supervisory element: the Governance &amp; Controls component evaluates the extent to which the board exhibits the five SR 21-3 attributes. This is the supervisory enforcement vehicle for the SR 21-3 board expectations.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19-3 / CA 19-2, Large Financial Institution (LFI) Rating System (Feb. 26, 2019; framework amended Nov. 5, 2025), Attachment, Governance &amp; Controls component, sec. C.3, p. 12.</w:t>
      </w:r>
      <w:r>
        <w:rPr>
          <w:rFonts w:ascii="Arial" w:cs="Arial" w:eastAsia="Arial" w:hAnsi="Arial"/>
          <w:i/>
          <w:iCs/>
          <w:color w:val="3B6FB0"/>
          <w:sz w:val="15"/>
          <w:szCs w:val="15"/>
        </w:rPr>
        <w:t xml:space="preserve"> [https://www.federalreserve.gov/supervisionreg/srletters/sr1903.htm]</w:t>
      </w:r>
    </w:p>
    <w:p>
      <w:pPr>
        <w:spacing w:after="6"/>
      </w:pPr>
      <w:r>
        <w:rPr>
          <w:rFonts w:ascii="Arial" w:cs="Arial" w:eastAsia="Arial" w:hAnsi="Arial"/>
          <w:i/>
          <w:iCs/>
          <w:color w:val="7030A0"/>
          <w:sz w:val="17"/>
          <w:szCs w:val="17"/>
        </w:rPr>
        <w:t xml:space="preserve">Legal force: Rating framework  ·  Consequence: Drives LFI Governance &amp; Controls rating  ·  Cadence: Periodic / ongoing  ·  Cluster: Risk-governance framework / strategy  ·  Redundancy: Candidate redundancy  ·  Confidence: High (web-verified)</w:t>
      </w:r>
    </w:p>
    <w:p>
      <w:pPr>
        <w:spacing w:after="104"/>
      </w:pPr>
      <w:r>
        <w:rPr>
          <w:rFonts w:ascii="Arial" w:cs="Arial" w:eastAsia="Arial" w:hAnsi="Arial"/>
          <w:i/>
          <w:iCs/>
          <w:color w:val="595959"/>
          <w:sz w:val="17"/>
          <w:szCs w:val="17"/>
        </w:rPr>
        <w:t xml:space="preserve">Note: Confirmed via FRB press release bcreg20251105 and Federal Register 90 FR 51329 (Nov. 17, 2025).</w:t>
      </w:r>
    </w:p>
    <w:p>
      <w:pPr>
        <w:keepNext/>
        <w:spacing w:after="16" w:before="104"/>
      </w:pPr>
      <w:r>
        <w:rPr>
          <w:rFonts w:ascii="Arial" w:cs="Arial" w:eastAsia="Arial" w:hAnsi="Arial"/>
          <w:b/>
          <w:bCs/>
          <w:color w:val="1F3864"/>
          <w:sz w:val="21"/>
          <w:szCs w:val="21"/>
        </w:rPr>
        <w:t xml:space="preserve">GOV-19  —  Full board (consequence framework)  ·  BHC</w:t>
      </w:r>
      <w:r>
        <w:rPr>
          <w:sz w:val="2"/>
          <w:szCs w:val="2"/>
        </w:rPr>
        <w:t xml:space="preserve"/>
      </w:r>
    </w:p>
    <w:p>
      <w:pPr>
        <w:spacing w:after="24"/>
      </w:pPr>
      <w:r>
        <w:rPr>
          <w:rFonts w:ascii="Arial" w:cs="Arial" w:eastAsia="Arial" w:hAnsi="Arial"/>
          <w:sz w:val="21"/>
          <w:szCs w:val="21"/>
        </w:rPr>
        <w:t xml:space="preserve">CONSEQUENCE CHANGE: 'ascetic principle' repealed — a single Deficient-1 rating in any component (including Governance &amp; Controls) no longer makes a firm 'not well managed'; the strong presumption of enforcement for a Deficient-1 was removed. Substantially lowers the supervisory stakes of board/governance findings.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19-3 LFI framework amendment (adopted Nov. 5, 2025, 6-1), Adopting release (bcreg20251105a1), pp. 6, 10-12, 24.</w:t>
      </w:r>
      <w:r>
        <w:rPr>
          <w:rFonts w:ascii="Arial" w:cs="Arial" w:eastAsia="Arial" w:hAnsi="Arial"/>
          <w:i/>
          <w:iCs/>
          <w:color w:val="3B6FB0"/>
          <w:sz w:val="15"/>
          <w:szCs w:val="15"/>
        </w:rPr>
        <w:t xml:space="preserve"> [https://www.federalreserve.gov/supervisionreg/srletters/sr1903.htm]</w:t>
      </w:r>
    </w:p>
    <w:p>
      <w:pPr>
        <w:spacing w:after="6"/>
      </w:pPr>
      <w:r>
        <w:rPr>
          <w:rFonts w:ascii="Arial" w:cs="Arial" w:eastAsia="Arial" w:hAnsi="Arial"/>
          <w:i/>
          <w:iCs/>
          <w:color w:val="7030A0"/>
          <w:sz w:val="17"/>
          <w:szCs w:val="17"/>
        </w:rPr>
        <w:t xml:space="preserve">Legal force: Rating framework  ·  Consequence: Drives LFI Governance &amp; Controls rating  ·  Cadence: Periodic / ongoing  ·  Cluster: Risk-governance framework / strategy  ·  Redundancy: Candidate redundancy  ·  Confidence: High (web-verified)</w:t>
      </w:r>
    </w:p>
    <w:p>
      <w:pPr>
        <w:spacing w:after="104"/>
      </w:pPr>
      <w:r>
        <w:rPr>
          <w:rFonts w:ascii="Arial" w:cs="Arial" w:eastAsia="Arial" w:hAnsi="Arial"/>
          <w:i/>
          <w:iCs/>
          <w:color w:val="595959"/>
          <w:sz w:val="17"/>
          <w:szCs w:val="17"/>
        </w:rPr>
        <w:t xml:space="preserve">Note: Not a board duty per se; a material change in how board/governance deficiencies bite. Constrained where the subsidiary IDI carries a sub-satisfactory CAMELS management/composite rating.</w:t>
      </w:r>
    </w:p>
    <w:p>
      <w:pPr>
        <w:keepNext/>
        <w:spacing w:after="16" w:before="104"/>
      </w:pPr>
      <w:r>
        <w:rPr>
          <w:rFonts w:ascii="Arial" w:cs="Arial" w:eastAsia="Arial" w:hAnsi="Arial"/>
          <w:b/>
          <w:bCs/>
          <w:color w:val="1F3864"/>
          <w:sz w:val="21"/>
          <w:szCs w:val="21"/>
        </w:rPr>
        <w:t xml:space="preserve">GOV-20  —  Full board  ·  BHC</w:t>
      </w:r>
      <w:r>
        <w:rPr>
          <w:sz w:val="2"/>
          <w:szCs w:val="2"/>
        </w:rPr>
        <w:t xml:space="preserve"/>
      </w:r>
    </w:p>
    <w:p>
      <w:pPr>
        <w:spacing w:after="24"/>
      </w:pPr>
      <w:r>
        <w:rPr>
          <w:rFonts w:ascii="Arial" w:cs="Arial" w:eastAsia="Arial" w:hAnsi="Arial"/>
          <w:sz w:val="21"/>
          <w:szCs w:val="21"/>
        </w:rPr>
        <w:t xml:space="preserve">Board (with senior management) is responsible for active oversight of risk-management processes and internal controls.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95-51 (SUP), Rating the Adequacy of Risk Management Processes and Internal Controls (Nov. 1995), Risk-management rating definitions.</w:t>
      </w:r>
      <w:r>
        <w:rPr>
          <w:rFonts w:ascii="Arial" w:cs="Arial" w:eastAsia="Arial" w:hAnsi="Arial"/>
          <w:i/>
          <w:iCs/>
          <w:color w:val="3B6FB0"/>
          <w:sz w:val="15"/>
          <w:szCs w:val="15"/>
        </w:rPr>
        <w:t xml:space="preserve"> [https://www.federalreserve.gov/supervisionreg/srletters/SR9551.htm]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Risk-governance framework / strategy  ·  Redundancy: Candidate redundancy  ·  Confidence: Medium</w:t>
      </w:r>
    </w:p>
    <w:p>
      <w:pPr>
        <w:spacing w:after="104"/>
      </w:pPr>
      <w:r>
        <w:rPr>
          <w:rFonts w:ascii="Arial" w:cs="Arial" w:eastAsia="Arial" w:hAnsi="Arial"/>
          <w:i/>
          <w:iCs/>
          <w:color w:val="595959"/>
          <w:sz w:val="17"/>
          <w:szCs w:val="17"/>
        </w:rPr>
        <w:t xml:space="preserve">Note: Superseded by SR 16-11 only for firms &lt;$100B; remains the operative risk-management-rating letter at &gt;=$100B (e.g., State Street Bank &amp; Trust). GSIB holding companies are rated under the LFI system.</w:t>
      </w:r>
    </w:p>
    <w:p>
      <w:pPr>
        <w:keepNext/>
        <w:spacing w:after="16" w:before="104"/>
      </w:pPr>
      <w:r>
        <w:rPr>
          <w:rFonts w:ascii="Arial" w:cs="Arial" w:eastAsia="Arial" w:hAnsi="Arial"/>
          <w:b/>
          <w:bCs/>
          <w:color w:val="1F3864"/>
          <w:sz w:val="21"/>
          <w:szCs w:val="21"/>
        </w:rPr>
        <w:t xml:space="preserve">GOV-21  —  Full board; Risk committee  ·  IDI</w:t>
      </w:r>
      <w:r>
        <w:rPr>
          <w:sz w:val="2"/>
          <w:szCs w:val="2"/>
        </w:rPr>
        <w:t xml:space="preserve"/>
      </w:r>
    </w:p>
    <w:p>
      <w:pPr>
        <w:spacing w:after="24"/>
      </w:pPr>
      <w:r>
        <w:rPr>
          <w:rFonts w:ascii="Arial" w:cs="Arial" w:eastAsia="Arial" w:hAnsi="Arial"/>
          <w:sz w:val="21"/>
          <w:szCs w:val="21"/>
        </w:rPr>
        <w:t xml:space="preserve">Board requires management to establish and implement a risk-governance framework meeting the minimum standards; board or risk committee approves significant changes and approves the risk appetite statement at least annually, and monitors compliance.</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Guidelines Establishing Heightened Standards, 12 CFR part 30, Appendix D (79 FR 54545, Sept. 11, 2014; OCC Bulletin 2014-45), App. D, sec. III.A; sec. II.A, II.G.1.</w:t>
      </w:r>
      <w:r>
        <w:rPr>
          <w:rFonts w:ascii="Arial" w:cs="Arial" w:eastAsia="Arial" w:hAnsi="Arial"/>
          <w:i/>
          <w:iCs/>
          <w:color w:val="3B6FB0"/>
          <w:sz w:val="15"/>
          <w:szCs w:val="15"/>
        </w:rPr>
        <w:t xml:space="preserve"> [https://www.ecfr.gov/current/title-12/chapter-I/part-30/appendix-Appendix%20D%20to%20Part%2030]</w:t>
      </w:r>
    </w:p>
    <w:p>
      <w:pPr>
        <w:spacing w:after="6"/>
      </w:pPr>
      <w:r>
        <w:rPr>
          <w:rFonts w:ascii="Arial" w:cs="Arial" w:eastAsia="Arial" w:hAnsi="Arial"/>
          <w:i/>
          <w:iCs/>
          <w:color w:val="7030A0"/>
          <w:sz w:val="17"/>
          <w:szCs w:val="17"/>
        </w:rPr>
        <w:t xml:space="preserve">Legal force: Regulation / enforceable (cross-listed)  ·  Consequence: Enforcement + rating (rule-backed)  ·  Cadence: Annual  ·  Cluster: Risk appetite statement  ·  Redundancy: Candidate redundancy  ·  Confidence: Medium</w:t>
      </w:r>
    </w:p>
    <w:p>
      <w:pPr>
        <w:spacing w:after="104"/>
      </w:pPr>
      <w:r>
        <w:rPr>
          <w:rFonts w:ascii="Arial" w:cs="Arial" w:eastAsia="Arial" w:hAnsi="Arial"/>
          <w:i/>
          <w:iCs/>
          <w:color w:val="595959"/>
          <w:sz w:val="17"/>
          <w:szCs w:val="17"/>
        </w:rPr>
        <w:t xml:space="preserve">Note: Enforceable guideline for covered banks (currently IDIs &gt;=$50B). OCC Bulletin 2025-51 (Dec. 23, 2025) proposes raising threshold to $700B; all eight GSIB lead IDIs would remain covered. OCC also invites comment on reducing prescriptiveness.</w:t>
      </w:r>
    </w:p>
    <w:p>
      <w:pPr>
        <w:keepNext/>
        <w:spacing w:after="16" w:before="104"/>
      </w:pPr>
      <w:r>
        <w:rPr>
          <w:rFonts w:ascii="Arial" w:cs="Arial" w:eastAsia="Arial" w:hAnsi="Arial"/>
          <w:b/>
          <w:bCs/>
          <w:color w:val="1F3864"/>
          <w:sz w:val="21"/>
          <w:szCs w:val="21"/>
        </w:rPr>
        <w:t xml:space="preserve">GOV-22  —  Full board  ·  IDI</w:t>
      </w:r>
      <w:r>
        <w:rPr>
          <w:sz w:val="2"/>
          <w:szCs w:val="2"/>
        </w:rPr>
        <w:t xml:space="preserve"/>
      </w:r>
    </w:p>
    <w:p>
      <w:pPr>
        <w:spacing w:after="24"/>
      </w:pPr>
      <w:r>
        <w:rPr>
          <w:rFonts w:ascii="Arial" w:cs="Arial" w:eastAsia="Arial" w:hAnsi="Arial"/>
          <w:sz w:val="21"/>
          <w:szCs w:val="21"/>
        </w:rPr>
        <w:t xml:space="preserve">Board provides active oversight of management's risk-taking and holds management accountable; may rely on IRM and internal-audit assessments to question, challenge, and when necessary oppose management decisions that could exceed risk appetite or jeopardize safety and soundness.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 III.B.</w:t>
      </w:r>
      <w:r>
        <w:rPr>
          <w:rFonts w:ascii="Arial" w:cs="Arial" w:eastAsia="Arial" w:hAnsi="Arial"/>
          <w:i/>
          <w:iCs/>
          <w:color w:val="3B6FB0"/>
          <w:sz w:val="15"/>
          <w:szCs w:val="15"/>
        </w:rPr>
        <w:t xml:space="preserve"> [https://www.ecfr.gov/current/title-12/chapter-I/part-30/appendix-Appendix%20D%20to%20Part%2030]</w:t>
      </w:r>
    </w:p>
    <w:p>
      <w:pPr>
        <w:spacing w:after="6"/>
      </w:pPr>
      <w:r>
        <w:rPr>
          <w:rFonts w:ascii="Arial" w:cs="Arial" w:eastAsia="Arial" w:hAnsi="Arial"/>
          <w:i/>
          <w:iCs/>
          <w:color w:val="7030A0"/>
          <w:sz w:val="17"/>
          <w:szCs w:val="17"/>
        </w:rPr>
        <w:t xml:space="preserve">Legal force: Regulation / enforceable (cross-listed)  ·  Consequence: Enforcement + rating (rule-backed)  ·  Cadence: Periodic / ongoing  ·  Cluster: Audit committee &amp; independence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GOV-23  —  Each director  ·  IDI</w:t>
      </w:r>
      <w:r>
        <w:rPr>
          <w:sz w:val="2"/>
          <w:szCs w:val="2"/>
        </w:rPr>
        <w:t xml:space="preserve"/>
      </w:r>
    </w:p>
    <w:p>
      <w:pPr>
        <w:spacing w:after="24"/>
      </w:pPr>
      <w:r>
        <w:rPr>
          <w:rFonts w:ascii="Arial" w:cs="Arial" w:eastAsia="Arial" w:hAnsi="Arial"/>
          <w:sz w:val="21"/>
          <w:szCs w:val="21"/>
        </w:rPr>
        <w:t xml:space="preserve">Each member of the board should exercise sound, independent judgment.</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 III.C.</w:t>
      </w:r>
      <w:r>
        <w:rPr>
          <w:rFonts w:ascii="Arial" w:cs="Arial" w:eastAsia="Arial" w:hAnsi="Arial"/>
          <w:i/>
          <w:iCs/>
          <w:color w:val="3B6FB0"/>
          <w:sz w:val="15"/>
          <w:szCs w:val="15"/>
        </w:rPr>
        <w:t xml:space="preserve"> [https://www.ecfr.gov/current/title-12/chapter-I/part-30/appendix-Appendix%20D%20to%20Part%2030]</w:t>
      </w:r>
    </w:p>
    <w:p>
      <w:pPr>
        <w:spacing w:after="6"/>
      </w:pPr>
      <w:r>
        <w:rPr>
          <w:rFonts w:ascii="Arial" w:cs="Arial" w:eastAsia="Arial" w:hAnsi="Arial"/>
          <w:i/>
          <w:iCs/>
          <w:color w:val="7030A0"/>
          <w:sz w:val="17"/>
          <w:szCs w:val="17"/>
        </w:rPr>
        <w:t xml:space="preserve">Legal force: Regulation / enforceable (cross-listed)  ·  Consequence: Enforcement + rating (rule-backed)  ·  Cadence: Periodic / ongoing  ·  Cluster: Director independence (cross-cutting)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GOV-24  —  Full board (composition)  ·  IDI</w:t>
      </w:r>
      <w:r>
        <w:rPr>
          <w:sz w:val="2"/>
          <w:szCs w:val="2"/>
        </w:rPr>
        <w:t xml:space="preserve"/>
      </w:r>
    </w:p>
    <w:p>
      <w:pPr>
        <w:spacing w:after="24"/>
      </w:pPr>
      <w:r>
        <w:rPr>
          <w:rFonts w:ascii="Arial" w:cs="Arial" w:eastAsia="Arial" w:hAnsi="Arial"/>
          <w:sz w:val="21"/>
          <w:szCs w:val="21"/>
        </w:rPr>
        <w:t xml:space="preserve">Board should include at least two members who are not officers/employees of the parent or bank within the prior 3 years, not immediate family of an executive officer, and who qualify as independent under a national securities exchange's listing standards.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 III.D.</w:t>
      </w:r>
      <w:r>
        <w:rPr>
          <w:rFonts w:ascii="Arial" w:cs="Arial" w:eastAsia="Arial" w:hAnsi="Arial"/>
          <w:i/>
          <w:iCs/>
          <w:color w:val="3B6FB0"/>
          <w:sz w:val="15"/>
          <w:szCs w:val="15"/>
        </w:rPr>
        <w:t xml:space="preserve"> [https://www.ecfr.gov/current/title-12/chapter-I/part-30/appendix-Appendix%20D%20to%20Part%2030]</w:t>
      </w:r>
    </w:p>
    <w:p>
      <w:pPr>
        <w:spacing w:after="6"/>
      </w:pPr>
      <w:r>
        <w:rPr>
          <w:rFonts w:ascii="Arial" w:cs="Arial" w:eastAsia="Arial" w:hAnsi="Arial"/>
          <w:i/>
          <w:iCs/>
          <w:color w:val="7030A0"/>
          <w:sz w:val="17"/>
          <w:szCs w:val="17"/>
        </w:rPr>
        <w:t xml:space="preserve">Legal force: Regulation / enforceable (cross-listed)  ·  Consequence: Enforcement + rating (rule-backed)  ·  Cadence: Periodic / ongoing  ·  Cluster: Director independence (cross-cutting)  ·  Redundancy: Candidate redundancy  ·  Confidence: Medium</w:t>
      </w:r>
    </w:p>
    <w:p>
      <w:pPr>
        <w:spacing w:after="104"/>
      </w:pPr>
      <w:r>
        <w:rPr>
          <w:rFonts w:ascii="Arial" w:cs="Arial" w:eastAsia="Arial" w:hAnsi="Arial"/>
          <w:i/>
          <w:iCs/>
          <w:color w:val="595959"/>
          <w:sz w:val="17"/>
          <w:szCs w:val="17"/>
        </w:rPr>
        <w:t xml:space="preserve">Note: Does not supersede separate FSA board-composition requirements (App. D fn. 6).</w:t>
      </w:r>
    </w:p>
    <w:p>
      <w:pPr>
        <w:keepNext/>
        <w:spacing w:after="16" w:before="104"/>
      </w:pPr>
      <w:r>
        <w:rPr>
          <w:rFonts w:ascii="Arial" w:cs="Arial" w:eastAsia="Arial" w:hAnsi="Arial"/>
          <w:b/>
          <w:bCs/>
          <w:color w:val="1F3864"/>
          <w:sz w:val="21"/>
          <w:szCs w:val="21"/>
        </w:rPr>
        <w:t xml:space="preserve">GOV-25  —  Full board  ·  IDI</w:t>
      </w:r>
      <w:r>
        <w:rPr>
          <w:sz w:val="2"/>
          <w:szCs w:val="2"/>
        </w:rPr>
        <w:t xml:space="preserve"/>
      </w:r>
    </w:p>
    <w:p>
      <w:pPr>
        <w:spacing w:after="24"/>
      </w:pPr>
      <w:r>
        <w:rPr>
          <w:rFonts w:ascii="Arial" w:cs="Arial" w:eastAsia="Arial" w:hAnsi="Arial"/>
          <w:sz w:val="21"/>
          <w:szCs w:val="21"/>
        </w:rPr>
        <w:t xml:space="preserve">Board establishes a formal, ongoing training program for all directors covering complex products/risks, applicable laws and supervisory requirements, and other topics.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 III.E.</w:t>
      </w:r>
      <w:r>
        <w:rPr>
          <w:rFonts w:ascii="Arial" w:cs="Arial" w:eastAsia="Arial" w:hAnsi="Arial"/>
          <w:i/>
          <w:iCs/>
          <w:color w:val="3B6FB0"/>
          <w:sz w:val="15"/>
          <w:szCs w:val="15"/>
        </w:rPr>
        <w:t xml:space="preserve"> [https://www.ecfr.gov/current/title-12/chapter-I/part-30/appendix-Appendix%20D%20to%20Part%2030]</w:t>
      </w:r>
    </w:p>
    <w:p>
      <w:pPr>
        <w:spacing w:after="6"/>
      </w:pPr>
      <w:r>
        <w:rPr>
          <w:rFonts w:ascii="Arial" w:cs="Arial" w:eastAsia="Arial" w:hAnsi="Arial"/>
          <w:i/>
          <w:iCs/>
          <w:color w:val="7030A0"/>
          <w:sz w:val="17"/>
          <w:szCs w:val="17"/>
        </w:rPr>
        <w:t xml:space="preserve">Legal force: Regulation / enforceable (cross-listed)  ·  Consequence: Enforcement + rating (rule-backed)  ·  Cadence: Periodic / ongoing  ·  Cluster: Director training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GOV-26  —  Full board  ·  IDI</w:t>
      </w:r>
      <w:r>
        <w:rPr>
          <w:sz w:val="2"/>
          <w:szCs w:val="2"/>
        </w:rPr>
        <w:t xml:space="preserve"/>
      </w:r>
    </w:p>
    <w:p>
      <w:pPr>
        <w:spacing w:after="24"/>
      </w:pPr>
      <w:r>
        <w:rPr>
          <w:rFonts w:ascii="Arial" w:cs="Arial" w:eastAsia="Arial" w:hAnsi="Arial"/>
          <w:sz w:val="21"/>
          <w:szCs w:val="21"/>
        </w:rPr>
        <w:t xml:space="preserve">Board conducts an annual self-assessment of its effectiveness in meeting the Section III standards.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 III.F.</w:t>
      </w:r>
      <w:r>
        <w:rPr>
          <w:rFonts w:ascii="Arial" w:cs="Arial" w:eastAsia="Arial" w:hAnsi="Arial"/>
          <w:i/>
          <w:iCs/>
          <w:color w:val="3B6FB0"/>
          <w:sz w:val="15"/>
          <w:szCs w:val="15"/>
        </w:rPr>
        <w:t xml:space="preserve"> [https://www.ecfr.gov/current/title-12/chapter-I/part-30/appendix-Appendix%20D%20to%20Part%2030]</w:t>
      </w:r>
    </w:p>
    <w:p>
      <w:pPr>
        <w:spacing w:after="6"/>
      </w:pPr>
      <w:r>
        <w:rPr>
          <w:rFonts w:ascii="Arial" w:cs="Arial" w:eastAsia="Arial" w:hAnsi="Arial"/>
          <w:i/>
          <w:iCs/>
          <w:color w:val="7030A0"/>
          <w:sz w:val="17"/>
          <w:szCs w:val="17"/>
        </w:rPr>
        <w:t xml:space="preserve">Legal force: Regulation / enforceable (cross-listed)  ·  Consequence: Enforcement + rating (rule-backed)  ·  Cadence: Annual  ·  Cluster: Board self-assessment / effectiveness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GOV-27  —  Full board; Risk committee  ·  IDI</w:t>
      </w:r>
      <w:r>
        <w:rPr>
          <w:sz w:val="2"/>
          <w:szCs w:val="2"/>
        </w:rPr>
        <w:t xml:space="preserve"/>
      </w:r>
    </w:p>
    <w:p>
      <w:pPr>
        <w:spacing w:after="24"/>
      </w:pPr>
      <w:r>
        <w:rPr>
          <w:rFonts w:ascii="Arial" w:cs="Arial" w:eastAsia="Arial" w:hAnsi="Arial"/>
          <w:sz w:val="21"/>
          <w:szCs w:val="21"/>
        </w:rPr>
        <w:t xml:space="preserve">Board evaluates and approves the bank's 3-year strategic plan and monitors implementation at least annually; receives IRM reporting on risk profile vs. appetite and limit compliance at least quarterly; and receives risk-limit-breach protocols and escalation.</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secs. II.D, II.G.3, II.H.3.</w:t>
      </w:r>
      <w:r>
        <w:rPr>
          <w:rFonts w:ascii="Arial" w:cs="Arial" w:eastAsia="Arial" w:hAnsi="Arial"/>
          <w:i/>
          <w:iCs/>
          <w:color w:val="3B6FB0"/>
          <w:sz w:val="15"/>
          <w:szCs w:val="15"/>
        </w:rPr>
        <w:t xml:space="preserve"> [https://www.ecfr.gov/current/title-12/chapter-I/part-30/appendix-Appendix%20D%20to%20Part%2030]</w:t>
      </w:r>
    </w:p>
    <w:p>
      <w:pPr>
        <w:spacing w:after="6"/>
      </w:pPr>
      <w:r>
        <w:rPr>
          <w:rFonts w:ascii="Arial" w:cs="Arial" w:eastAsia="Arial" w:hAnsi="Arial"/>
          <w:i/>
          <w:iCs/>
          <w:color w:val="7030A0"/>
          <w:sz w:val="17"/>
          <w:szCs w:val="17"/>
        </w:rPr>
        <w:t xml:space="preserve">Legal force: Regulation / enforceable (cross-listed)  ·  Consequence: Enforcement + rating (rule-backed)  ·  Cadence: Annual  ·  Cluster: Risk-governance framework / strategy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GOV-28  —  Full board; Risk committee; Audit committee  ·  IDI</w:t>
      </w:r>
      <w:r>
        <w:rPr>
          <w:sz w:val="2"/>
          <w:szCs w:val="2"/>
        </w:rPr>
        <w:t xml:space="preserve"/>
      </w:r>
    </w:p>
    <w:p>
      <w:pPr>
        <w:spacing w:after="24"/>
      </w:pPr>
      <w:r>
        <w:rPr>
          <w:rFonts w:ascii="Arial" w:cs="Arial" w:eastAsia="Arial" w:hAnsi="Arial"/>
          <w:sz w:val="21"/>
          <w:szCs w:val="21"/>
        </w:rPr>
        <w:t xml:space="preserve">Board or appropriate committee appoints the CEO and appoints/approves the CAE and CRO(s); reviews/approves the written talent-management and succession program; risk committee approves CRO appointment/removal and compensation; audit committee approves the internal-audit charter/plans and CAE appointment/removal/compensation.</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 II.L; definitions of 'independent risk management' and 'internal audit'.</w:t>
      </w:r>
      <w:r>
        <w:rPr>
          <w:rFonts w:ascii="Arial" w:cs="Arial" w:eastAsia="Arial" w:hAnsi="Arial"/>
          <w:i/>
          <w:iCs/>
          <w:color w:val="3B6FB0"/>
          <w:sz w:val="15"/>
          <w:szCs w:val="15"/>
        </w:rPr>
        <w:t xml:space="preserve"> [https://www.ecfr.gov/current/title-12/chapter-I/part-30/appendix-Appendix%20D%20to%20Part%2030]</w:t>
      </w:r>
    </w:p>
    <w:p>
      <w:pPr>
        <w:spacing w:after="6"/>
      </w:pPr>
      <w:r>
        <w:rPr>
          <w:rFonts w:ascii="Arial" w:cs="Arial" w:eastAsia="Arial" w:hAnsi="Arial"/>
          <w:i/>
          <w:iCs/>
          <w:color w:val="7030A0"/>
          <w:sz w:val="17"/>
          <w:szCs w:val="17"/>
        </w:rPr>
        <w:t xml:space="preserve">Legal force: Regulation / enforceable (cross-listed)  ·  Consequence: Enforcement + rating (rule-backed)  ·  Cadence: Event-driven  ·  Cluster: Director independence (cross-cutting)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GOV-29  —  Full board  ·  IDI</w:t>
      </w:r>
      <w:r>
        <w:rPr>
          <w:sz w:val="2"/>
          <w:szCs w:val="2"/>
        </w:rPr>
        <w:t xml:space="preserve"/>
      </w:r>
    </w:p>
    <w:p>
      <w:pPr>
        <w:spacing w:after="24"/>
      </w:pPr>
      <w:r>
        <w:rPr>
          <w:rFonts w:ascii="Arial" w:cs="Arial" w:eastAsia="Arial" w:hAnsi="Arial"/>
          <w:sz w:val="21"/>
          <w:szCs w:val="21"/>
        </w:rPr>
        <w:t xml:space="preserve">Board oversees management and provides organizational leadership; establishes core corporate values; creates a corporate/risk-governance framework setting strategic direction, risk culture, and risk appetite; holds management accountable — while not managing day-to-day.</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The Director's Book: Role of Directors for National Banks and Federal Savings Associations (2020); Comptroller's Handbook, 'Corporate and Risk Governance' booklet (rev. July 2019), Director's Book (OCC Bulletin 2020-97); Corporate and Risk Governance booklet.</w:t>
      </w:r>
      <w:r>
        <w:rPr>
          <w:rFonts w:ascii="Arial" w:cs="Arial" w:eastAsia="Arial" w:hAnsi="Arial"/>
          <w:i/>
          <w:iCs/>
          <w:color w:val="3B6FB0"/>
          <w:sz w:val="15"/>
          <w:szCs w:val="15"/>
        </w:rPr>
        <w:t xml:space="preserve"> [https://www.occ.gov/publications-and-resources/publications/banker-education/files/pub-directors-book.pdf]</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Risk appetite statement  ·  Redundancy: Candidate redundancy  ·  Confidence: Medium</w:t>
      </w:r>
    </w:p>
    <w:p>
      <w:pPr>
        <w:spacing w:after="104"/>
      </w:pPr>
      <w:r>
        <w:rPr>
          <w:rFonts w:ascii="Arial" w:cs="Arial" w:eastAsia="Arial" w:hAnsi="Arial"/>
          <w:i/>
          <w:iCs/>
          <w:color w:val="595959"/>
          <w:sz w:val="17"/>
          <w:szCs w:val="17"/>
        </w:rPr>
        <w:t xml:space="preserve">Note: Examiner-facing guidance for national banks/FSAs (GSIB lead IDIs).</w:t>
      </w:r>
    </w:p>
    <w:p>
      <w:pPr>
        <w:keepNext/>
        <w:spacing w:after="16" w:before="104"/>
      </w:pPr>
      <w:r>
        <w:rPr>
          <w:rFonts w:ascii="Arial" w:cs="Arial" w:eastAsia="Arial" w:hAnsi="Arial"/>
          <w:b/>
          <w:bCs/>
          <w:color w:val="1F3864"/>
          <w:sz w:val="21"/>
          <w:szCs w:val="21"/>
        </w:rPr>
        <w:t xml:space="preserve">GOV-30  —  Full board (audit committee for auditor oversight)  ·  IDI</w:t>
      </w:r>
      <w:r>
        <w:rPr>
          <w:sz w:val="2"/>
          <w:szCs w:val="2"/>
        </w:rPr>
        <w:t xml:space="preserve"/>
      </w:r>
    </w:p>
    <w:p>
      <w:pPr>
        <w:spacing w:after="24"/>
      </w:pPr>
      <w:r>
        <w:rPr>
          <w:rFonts w:ascii="Arial" w:cs="Arial" w:eastAsia="Arial" w:hAnsi="Arial"/>
          <w:sz w:val="21"/>
          <w:szCs w:val="21"/>
        </w:rPr>
        <w:t xml:space="preserve">Each director should: maintain independence and exercise independent judgment; keep informed (attend meetings, review materials/auditor findings/supervisory communications, pursue education); ensure qualified management; supervise management (establish written policies, monitor via reports, provide for independent third-party review, and heed supervisory reports); and avoid preferential transactions with insiders.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FDIC Pocket Guide for Directors; Statement Concerning the Responsibilities of Bank Directors and Officers (last updated Jan. 3, 2024), Five enumerated duties.</w:t>
      </w:r>
      <w:r>
        <w:rPr>
          <w:rFonts w:ascii="Arial" w:cs="Arial" w:eastAsia="Arial" w:hAnsi="Arial"/>
          <w:i/>
          <w:iCs/>
          <w:color w:val="BF8F00"/>
          <w:sz w:val="15"/>
          <w:szCs w:val="15"/>
        </w:rPr>
        <w:t xml:space="preserve">  [URL not captured]</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Director independence (cross-cutting)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GOV-31  —  Full board; Audit committee  ·  Both</w:t>
      </w:r>
      <w:r>
        <w:rPr>
          <w:sz w:val="2"/>
          <w:szCs w:val="2"/>
        </w:rPr>
        <w:t xml:space="preserve"/>
      </w:r>
    </w:p>
    <w:p>
      <w:pPr>
        <w:spacing w:after="24"/>
      </w:pPr>
      <w:r>
        <w:rPr>
          <w:rFonts w:ascii="Arial" w:cs="Arial" w:eastAsia="Arial" w:hAnsi="Arial"/>
          <w:sz w:val="21"/>
          <w:szCs w:val="21"/>
        </w:rPr>
        <w:t xml:space="preserve">Institution maintains internal controls and information systems with clear lines of authority, effective risk assessment, timely/accurate reporting, asset safeguards, and legal compliance; the audit committee or board of directors reviews the effectiveness of internal audit systems.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Interagency Guidelines Establishing Standards for Safety and Soundness, 12 CFR part 30 App. A (OCC) / part 364 App. A (FDIC) (last amended 83 FR 17742, Apr. 24, 2018), App. A, secs. II.A, II.B.7.</w:t>
      </w:r>
      <w:r>
        <w:rPr>
          <w:rFonts w:ascii="Arial" w:cs="Arial" w:eastAsia="Arial" w:hAnsi="Arial"/>
          <w:i/>
          <w:iCs/>
          <w:color w:val="3B6FB0"/>
          <w:sz w:val="15"/>
          <w:szCs w:val="15"/>
        </w:rPr>
        <w:t xml:space="preserve"> [https://www.ecfr.gov/current/title-12/chapter-I/part-30/appendix-Appendix%20A%20to%20Part%2030]</w:t>
      </w:r>
    </w:p>
    <w:p>
      <w:pPr>
        <w:spacing w:after="6"/>
      </w:pPr>
      <w:r>
        <w:rPr>
          <w:rFonts w:ascii="Arial" w:cs="Arial" w:eastAsia="Arial" w:hAnsi="Arial"/>
          <w:i/>
          <w:iCs/>
          <w:color w:val="7030A0"/>
          <w:sz w:val="17"/>
          <w:szCs w:val="17"/>
        </w:rPr>
        <w:t xml:space="preserve">Legal force: Regulation / enforceable (cross-listed)  ·  Consequence: Enforcement + rating (rule-backed)  ·  Cadence: Periodic / ongoing  ·  Cluster: Audit committee &amp; independence  ·  Redundancy: Candidate redundancy  ·  Confidence: Medium</w:t>
      </w:r>
    </w:p>
    <w:p>
      <w:pPr>
        <w:spacing w:after="104"/>
      </w:pPr>
      <w:r>
        <w:rPr>
          <w:rFonts w:ascii="Arial" w:cs="Arial" w:eastAsia="Arial" w:hAnsi="Arial"/>
          <w:i/>
          <w:iCs/>
          <w:color w:val="595959"/>
          <w:sz w:val="17"/>
          <w:szCs w:val="17"/>
        </w:rPr>
        <w:t xml:space="preserve">Note: Issued under FDI Act sec. 39.</w:t>
      </w:r>
    </w:p>
    <w:p>
      <w:pPr>
        <w:keepNext/>
        <w:spacing w:after="16" w:before="104"/>
      </w:pPr>
      <w:r>
        <w:rPr>
          <w:rFonts w:ascii="Arial" w:cs="Arial" w:eastAsia="Arial" w:hAnsi="Arial"/>
          <w:b/>
          <w:bCs/>
          <w:color w:val="1F3864"/>
          <w:sz w:val="21"/>
          <w:szCs w:val="21"/>
        </w:rPr>
        <w:t xml:space="preserve">GOV-32  —  Full board  ·  Both</w:t>
      </w:r>
      <w:r>
        <w:rPr>
          <w:sz w:val="2"/>
          <w:szCs w:val="2"/>
        </w:rPr>
        <w:t xml:space="preserve"/>
      </w:r>
    </w:p>
    <w:p>
      <w:pPr>
        <w:spacing w:after="24"/>
      </w:pPr>
      <w:r>
        <w:rPr>
          <w:rFonts w:ascii="Arial" w:cs="Arial" w:eastAsia="Arial" w:hAnsi="Arial"/>
          <w:sz w:val="21"/>
          <w:szCs w:val="21"/>
        </w:rPr>
        <w:t xml:space="preserve">Board receives appropriate communication and periodic reporting sufficient to assess credit underwriting/review, interest-rate risk, asset quality, and earnings.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Interagency Guidelines Establishing Standards for Safety and Soundness, 12 CFR part 30 App. A / part 364 App. A, App. A, secs. II.D.4, II.E.2, II.G.6, II.H.5.</w:t>
      </w:r>
      <w:r>
        <w:rPr>
          <w:rFonts w:ascii="Arial" w:cs="Arial" w:eastAsia="Arial" w:hAnsi="Arial"/>
          <w:i/>
          <w:iCs/>
          <w:color w:val="3B6FB0"/>
          <w:sz w:val="15"/>
          <w:szCs w:val="15"/>
        </w:rPr>
        <w:t xml:space="preserve"> [https://www.ecfr.gov/current/title-12/chapter-I/part-30/appendix-Appendix%20A%20to%20Part%2030]</w:t>
      </w:r>
    </w:p>
    <w:p>
      <w:pPr>
        <w:spacing w:after="6"/>
      </w:pPr>
      <w:r>
        <w:rPr>
          <w:rFonts w:ascii="Arial" w:cs="Arial" w:eastAsia="Arial" w:hAnsi="Arial"/>
          <w:i/>
          <w:iCs/>
          <w:color w:val="7030A0"/>
          <w:sz w:val="17"/>
          <w:szCs w:val="17"/>
        </w:rPr>
        <w:t xml:space="preserve">Legal force: Regulation / enforceable (cross-listed)  ·  Consequence: Enforcement + rating (rule-backed)  ·  Cadence: Periodic / ongoing  ·  Cluster: Risk-governance framework / strategy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GOV-33  —  Full board; Compensation committee  ·  Both</w:t>
      </w:r>
      <w:r>
        <w:rPr>
          <w:sz w:val="2"/>
          <w:szCs w:val="2"/>
        </w:rPr>
        <w:t xml:space="preserve"/>
      </w:r>
    </w:p>
    <w:p>
      <w:pPr>
        <w:spacing w:after="24"/>
      </w:pPr>
      <w:r>
        <w:rPr>
          <w:rFonts w:ascii="Arial" w:cs="Arial" w:eastAsia="Arial" w:hAnsi="Arial"/>
          <w:sz w:val="21"/>
          <w:szCs w:val="21"/>
        </w:rPr>
        <w:t xml:space="preserve">Institution maintains safeguards against excessive compensation to any executive officer, employee, director, or principal shareholder, and against compensation that could cause material financial loss.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Interagency Guidelines Establishing Standards for Safety and Soundness, 12 CFR part 30 App. A / part 364 App. A, App. A, secs. II.I, III.A-B.</w:t>
      </w:r>
      <w:r>
        <w:rPr>
          <w:rFonts w:ascii="Arial" w:cs="Arial" w:eastAsia="Arial" w:hAnsi="Arial"/>
          <w:i/>
          <w:iCs/>
          <w:color w:val="3B6FB0"/>
          <w:sz w:val="15"/>
          <w:szCs w:val="15"/>
        </w:rPr>
        <w:t xml:space="preserve"> [https://www.ecfr.gov/current/title-12/chapter-I/part-30/appendix-Appendix%20A%20to%20Part%2030]</w:t>
      </w:r>
    </w:p>
    <w:p>
      <w:pPr>
        <w:spacing w:after="6"/>
      </w:pPr>
      <w:r>
        <w:rPr>
          <w:rFonts w:ascii="Arial" w:cs="Arial" w:eastAsia="Arial" w:hAnsi="Arial"/>
          <w:i/>
          <w:iCs/>
          <w:color w:val="7030A0"/>
          <w:sz w:val="17"/>
          <w:szCs w:val="17"/>
        </w:rPr>
        <w:t xml:space="preserve">Legal force: Regulation / enforceable (cross-listed)  ·  Consequence: Enforcement + rating (rule-backed)  ·  Cadence: Periodic / ongoing  ·  Cluster: Risk-governance framework / strategy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IAU-01  —  Audit committee  ·  BHC</w:t>
      </w:r>
      <w:r>
        <w:rPr>
          <w:sz w:val="2"/>
          <w:szCs w:val="2"/>
        </w:rPr>
        <w:t xml:space="preserve"/>
      </w:r>
    </w:p>
    <w:p>
      <w:pPr>
        <w:spacing w:after="24"/>
      </w:pPr>
      <w:r>
        <w:rPr>
          <w:rFonts w:ascii="Arial" w:cs="Arial" w:eastAsia="Arial" w:hAnsi="Arial"/>
          <w:sz w:val="21"/>
          <w:szCs w:val="21"/>
        </w:rPr>
        <w:t xml:space="preserve">The chief audit executive should report functionally to the audit committee on the audit plan, audit findings, and the CAE's performance and compensation; the audit committee should be positioned so the board has confidence internal audit is impartial and not unduly influenced by operating management.</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13-1 / CA 13-1, Supplemental Policy Statement on the Internal Audit Function and Its Outsourcing (Jan. 23, 2013), Attachment, p. (local ll. 195-217).</w:t>
      </w:r>
      <w:r>
        <w:rPr>
          <w:rFonts w:ascii="Arial" w:cs="Arial" w:eastAsia="Arial" w:hAnsi="Arial"/>
          <w:i/>
          <w:iCs/>
          <w:color w:val="3B6FB0"/>
          <w:sz w:val="15"/>
          <w:szCs w:val="15"/>
        </w:rPr>
        <w:t xml:space="preserve"> [https://www.federalreserve.gov/supervisionreg/srletters/sr1301.htm]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Audit committee &amp; independence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IAU-02  —  Audit committee  ·  BHC</w:t>
      </w:r>
      <w:r>
        <w:rPr>
          <w:sz w:val="2"/>
          <w:szCs w:val="2"/>
        </w:rPr>
        <w:t xml:space="preserve"/>
      </w:r>
    </w:p>
    <w:p>
      <w:pPr>
        <w:spacing w:after="24"/>
      </w:pPr>
      <w:r>
        <w:rPr>
          <w:rFonts w:ascii="Arial" w:cs="Arial" w:eastAsia="Arial" w:hAnsi="Arial"/>
          <w:sz w:val="21"/>
          <w:szCs w:val="21"/>
        </w:rPr>
        <w:t xml:space="preserve">Where the CAE reports administratively to someone other than the CEO, the audit committee should document its rationale and at least annually evaluate whether the CAE remains impartial and objective.</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13-1 / CA 13-1 (Jan. 23, 2013), Attachment, p. (local ll. 209-217).</w:t>
      </w:r>
      <w:r>
        <w:rPr>
          <w:rFonts w:ascii="Arial" w:cs="Arial" w:eastAsia="Arial" w:hAnsi="Arial"/>
          <w:i/>
          <w:iCs/>
          <w:color w:val="3B6FB0"/>
          <w:sz w:val="15"/>
          <w:szCs w:val="15"/>
        </w:rPr>
        <w:t xml:space="preserve"> [https://www.federalreserve.gov/supervisionreg/srletters/sr1301.htm]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Annual  ·  Cluster: Audit committee &amp; independence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IAU-03  —  Audit committee  ·  BHC</w:t>
      </w:r>
      <w:r>
        <w:rPr>
          <w:sz w:val="2"/>
          <w:szCs w:val="2"/>
        </w:rPr>
        <w:t xml:space="preserve"/>
      </w:r>
    </w:p>
    <w:p>
      <w:pPr>
        <w:spacing w:after="24"/>
      </w:pPr>
      <w:r>
        <w:rPr>
          <w:rFonts w:ascii="Arial" w:cs="Arial" w:eastAsia="Arial" w:hAnsi="Arial"/>
          <w:sz w:val="21"/>
          <w:szCs w:val="21"/>
        </w:rPr>
        <w:t xml:space="preserve">Responsibility for an effective system of internal controls cannot be delegated to a third party; where internal audit is outsourced, the audit committee must maintain ownership of the function, approve all significant aspects of outsourcing arrangements, and, with the CAE, is responsible for vendor selection and retention.</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13-1 / CA 13-1 (Jan. 23, 2013), Attachment, p. (local ll. 599-623).</w:t>
      </w:r>
      <w:r>
        <w:rPr>
          <w:rFonts w:ascii="Arial" w:cs="Arial" w:eastAsia="Arial" w:hAnsi="Arial"/>
          <w:i/>
          <w:iCs/>
          <w:color w:val="3B6FB0"/>
          <w:sz w:val="15"/>
          <w:szCs w:val="15"/>
        </w:rPr>
        <w:t xml:space="preserve"> [https://www.federalreserve.gov/supervisionreg/srletters/sr1301.htm]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Audit committee &amp; independence  ·  Redundancy: Candidate redundancy  ·  Confidence: Medium</w:t>
      </w:r>
    </w:p>
    <w:p>
      <w:pPr>
        <w:spacing w:after="104"/>
      </w:pPr>
      <w:r>
        <w:rPr>
          <w:rFonts w:ascii="Arial" w:cs="Arial" w:eastAsia="Arial" w:hAnsi="Arial"/>
          <w:i/>
          <w:iCs/>
          <w:color w:val="595959"/>
          <w:sz w:val="17"/>
          <w:szCs w:val="17"/>
        </w:rPr>
        <w:t xml:space="preserve">Note: Overlaps third-party risk management.</w:t>
      </w:r>
    </w:p>
    <w:p>
      <w:pPr>
        <w:keepNext/>
        <w:spacing w:after="16" w:before="104"/>
      </w:pPr>
      <w:r>
        <w:rPr>
          <w:rFonts w:ascii="Arial" w:cs="Arial" w:eastAsia="Arial" w:hAnsi="Arial"/>
          <w:b/>
          <w:bCs/>
          <w:color w:val="1F3864"/>
          <w:sz w:val="21"/>
          <w:szCs w:val="21"/>
        </w:rPr>
        <w:t xml:space="preserve">FDR-01  —  Full board  ·  IDI</w:t>
      </w:r>
      <w:r>
        <w:rPr>
          <w:sz w:val="2"/>
          <w:szCs w:val="2"/>
        </w:rPr>
        <w:t xml:space="preserve"/>
      </w:r>
    </w:p>
    <w:p>
      <w:pPr>
        <w:spacing w:after="24"/>
      </w:pPr>
      <w:r>
        <w:rPr>
          <w:rFonts w:ascii="Arial" w:cs="Arial" w:eastAsia="Arial" w:hAnsi="Arial"/>
          <w:sz w:val="21"/>
          <w:szCs w:val="21"/>
        </w:rPr>
        <w:t xml:space="preserve">The board is the source of authority and responsibility; it is responsible for sound policies and objectives, effective supervision of affairs, and the bank's welfare; the institution's continuing health depends on an informed and vigilant board.</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FDIC Risk Management Manual of Examination Policies, Management section, Management (local ll. ~11944-12024).</w:t>
      </w:r>
      <w:r>
        <w:rPr>
          <w:rFonts w:ascii="Arial" w:cs="Arial" w:eastAsia="Arial" w:hAnsi="Arial"/>
          <w:i/>
          <w:iCs/>
          <w:color w:val="3B6FB0"/>
          <w:sz w:val="15"/>
          <w:szCs w:val="15"/>
        </w:rPr>
        <w:t xml:space="preserve"> [https://www.fdic.gov/bank-examinations/risk-management-manual-examination-policies]</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Risk-governance framework / strategy  ·  Redundancy: Candidate redundancy  ·  Confidence: Medium</w:t>
      </w:r>
    </w:p>
    <w:p>
      <w:pPr>
        <w:spacing w:after="104"/>
      </w:pPr>
      <w:r>
        <w:rPr>
          <w:rFonts w:ascii="Arial" w:cs="Arial" w:eastAsia="Arial" w:hAnsi="Arial"/>
          <w:i/>
          <w:iCs/>
          <w:color w:val="595959"/>
          <w:sz w:val="17"/>
          <w:szCs w:val="17"/>
        </w:rPr>
        <w:t xml:space="preserve">Note: Current FDIC examiner manual; applies to FDIC-supervised institutions.</w:t>
      </w:r>
    </w:p>
    <w:p>
      <w:pPr>
        <w:keepNext/>
        <w:spacing w:after="16" w:before="104"/>
      </w:pPr>
      <w:r>
        <w:rPr>
          <w:rFonts w:ascii="Arial" w:cs="Arial" w:eastAsia="Arial" w:hAnsi="Arial"/>
          <w:b/>
          <w:bCs/>
          <w:color w:val="1F3864"/>
          <w:sz w:val="21"/>
          <w:szCs w:val="21"/>
        </w:rPr>
        <w:t xml:space="preserve">FDR-02  —  Full board  ·  IDI</w:t>
      </w:r>
      <w:r>
        <w:rPr>
          <w:sz w:val="2"/>
          <w:szCs w:val="2"/>
        </w:rPr>
        <w:t xml:space="preserve"/>
      </w:r>
    </w:p>
    <w:p>
      <w:pPr>
        <w:spacing w:after="24"/>
      </w:pPr>
      <w:r>
        <w:rPr>
          <w:rFonts w:ascii="Arial" w:cs="Arial" w:eastAsia="Arial" w:hAnsi="Arial"/>
          <w:sz w:val="21"/>
          <w:szCs w:val="21"/>
        </w:rPr>
        <w:t xml:space="preserve">Directors should set a clear risk appetite, strategic focus, and objectives, and give final approval to written policies covering investments, loans, funds management, capital planning, internal controls, audit, conflicts of interest, ethics, personnel, BSA, IT, trust, and consumer compliance.</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FDIC RMS Manual, Management section, Management (local ll. ~12024-12054).</w:t>
      </w:r>
      <w:r>
        <w:rPr>
          <w:rFonts w:ascii="Arial" w:cs="Arial" w:eastAsia="Arial" w:hAnsi="Arial"/>
          <w:i/>
          <w:iCs/>
          <w:color w:val="BF8F00"/>
          <w:sz w:val="15"/>
          <w:szCs w:val="15"/>
        </w:rPr>
        <w:t xml:space="preserve">  [URL not captured]</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Audit committee &amp; independence  ·  Redundancy: Candidate redundancy  ·  Confidence: Medium</w:t>
      </w:r>
    </w:p>
    <w:p>
      <w:pPr>
        <w:spacing w:after="104"/>
      </w:pPr>
      <w:r>
        <w:rPr>
          <w:rFonts w:ascii="Arial" w:cs="Arial" w:eastAsia="Arial" w:hAnsi="Arial"/>
          <w:i/>
          <w:iCs/>
          <w:color w:val="595959"/>
          <w:sz w:val="17"/>
          <w:szCs w:val="17"/>
        </w:rPr>
        <w:t xml:space="preserve">Note: Specialty-area policy list facilitating director oversight.</w:t>
      </w:r>
    </w:p>
    <w:p>
      <w:pPr>
        <w:keepNext/>
        <w:spacing w:after="16" w:before="104"/>
      </w:pPr>
      <w:r>
        <w:rPr>
          <w:rFonts w:ascii="Arial" w:cs="Arial" w:eastAsia="Arial" w:hAnsi="Arial"/>
          <w:b/>
          <w:bCs/>
          <w:color w:val="1F3864"/>
          <w:sz w:val="21"/>
          <w:szCs w:val="21"/>
        </w:rPr>
        <w:t xml:space="preserve">FDR-03  —  Full board  ·  IDI</w:t>
      </w:r>
      <w:r>
        <w:rPr>
          <w:sz w:val="2"/>
          <w:szCs w:val="2"/>
        </w:rPr>
        <w:t xml:space="preserve"/>
      </w:r>
    </w:p>
    <w:p>
      <w:pPr>
        <w:spacing w:after="24"/>
      </w:pPr>
      <w:r>
        <w:rPr>
          <w:rFonts w:ascii="Arial" w:cs="Arial" w:eastAsia="Arial" w:hAnsi="Arial"/>
          <w:sz w:val="21"/>
          <w:szCs w:val="21"/>
        </w:rPr>
        <w:t xml:space="preserve">A primary board duty is selecting and retaining competent executive officers and replacing officers who cannot meet reasonable standards; the board sets future direction through a dynamic strategic-planning process.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FDIC RMS Manual, Management section, Management (local ll. ~12073-12119).</w:t>
      </w:r>
      <w:r>
        <w:rPr>
          <w:rFonts w:ascii="Arial" w:cs="Arial" w:eastAsia="Arial" w:hAnsi="Arial"/>
          <w:i/>
          <w:iCs/>
          <w:color w:val="BF8F00"/>
          <w:sz w:val="15"/>
          <w:szCs w:val="15"/>
        </w:rPr>
        <w:t xml:space="preserve">  [URL not captured]</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Risk-governance framework / strategy  ·  Redundancy: Candidate redundancy  ·  Confidence: Medium</w:t>
      </w:r>
    </w:p>
    <w:p>
      <w:pPr>
        <w:spacing w:after="104"/>
      </w:pPr>
      <w:r>
        <w:rPr>
          <w:rFonts w:ascii="Arial" w:cs="Arial" w:eastAsia="Arial" w:hAnsi="Arial"/>
          <w:i/>
          <w:iCs/>
          <w:color w:val="595959"/>
          <w:sz w:val="17"/>
          <w:szCs w:val="17"/>
        </w:rPr>
        <w:t xml:space="preserve">Note: Aligns with FRB/OCC succession and strategy expectations.</w:t>
      </w:r>
    </w:p>
    <w:p>
      <w:pPr>
        <w:keepNext/>
        <w:spacing w:after="16" w:before="104"/>
      </w:pPr>
      <w:r>
        <w:rPr>
          <w:rFonts w:ascii="Arial" w:cs="Arial" w:eastAsia="Arial" w:hAnsi="Arial"/>
          <w:b/>
          <w:bCs/>
          <w:color w:val="1F3864"/>
          <w:sz w:val="21"/>
          <w:szCs w:val="21"/>
        </w:rPr>
        <w:t xml:space="preserve">FDR-04  —  Full board; individual directors  ·  IDI</w:t>
      </w:r>
      <w:r>
        <w:rPr>
          <w:sz w:val="2"/>
          <w:szCs w:val="2"/>
        </w:rPr>
        <w:t xml:space="preserve"/>
      </w:r>
    </w:p>
    <w:p>
      <w:pPr>
        <w:spacing w:after="24"/>
      </w:pPr>
      <w:r>
        <w:rPr>
          <w:rFonts w:ascii="Arial" w:cs="Arial" w:eastAsia="Arial" w:hAnsi="Arial"/>
          <w:sz w:val="21"/>
          <w:szCs w:val="21"/>
        </w:rPr>
        <w:t xml:space="preserve">Directors should receive relevant, accurate, concise written information at regular intervals and act on it; establish and oversee internal controls and audit; use committees and advisors without relinquishing responsibility; record dissent where appropriate; and avoid indifference or unsupervised delegation. Use of committees does not relieve the full board of fundamental responsibility.</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FDIC RMS Manual, Management section, Management (local ll. ~12170-12270).</w:t>
      </w:r>
      <w:r>
        <w:rPr>
          <w:rFonts w:ascii="Arial" w:cs="Arial" w:eastAsia="Arial" w:hAnsi="Arial"/>
          <w:i/>
          <w:iCs/>
          <w:color w:val="BF8F00"/>
          <w:sz w:val="15"/>
          <w:szCs w:val="15"/>
        </w:rPr>
        <w:t xml:space="preserve">  [URL not captured]</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Audit committee &amp; independence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FDR-05  —  Full board and management  ·  IDI</w:t>
      </w:r>
      <w:r>
        <w:rPr>
          <w:sz w:val="2"/>
          <w:szCs w:val="2"/>
        </w:rPr>
        <w:t xml:space="preserve"/>
      </w:r>
    </w:p>
    <w:p>
      <w:pPr>
        <w:spacing w:after="24"/>
      </w:pPr>
      <w:r>
        <w:rPr>
          <w:rFonts w:ascii="Arial" w:cs="Arial" w:eastAsia="Arial" w:hAnsi="Arial"/>
          <w:sz w:val="21"/>
          <w:szCs w:val="21"/>
        </w:rPr>
        <w:t xml:space="preserve">The CAMELS management-component rating evaluates the board's and management's ability to identify, measure, monitor, and control risks; compliance with laws; adequacy of and conformance with policies; responsiveness to examiner and auditor recommendations; and the need for board action.</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FDIC RMS Manual, Uniform Financial Institutions Rating System (CAMELS), Management component (local ll. ~1576-1607).</w:t>
      </w:r>
      <w:r>
        <w:rPr>
          <w:rFonts w:ascii="Arial" w:cs="Arial" w:eastAsia="Arial" w:hAnsi="Arial"/>
          <w:i/>
          <w:iCs/>
          <w:color w:val="BF8F00"/>
          <w:sz w:val="15"/>
          <w:szCs w:val="15"/>
        </w:rPr>
        <w:t xml:space="preserve">  [URL not captured]</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Audit committee &amp; independence  ·  Redundancy: Candidate redundancy  ·  Confidence: Medium</w:t>
      </w:r>
    </w:p>
    <w:p>
      <w:pPr>
        <w:spacing w:after="104"/>
      </w:pPr>
      <w:r>
        <w:rPr>
          <w:rFonts w:ascii="Arial" w:cs="Arial" w:eastAsia="Arial" w:hAnsi="Arial"/>
          <w:i/>
          <w:iCs/>
          <w:color w:val="595959"/>
          <w:sz w:val="17"/>
          <w:szCs w:val="17"/>
        </w:rPr>
        <w:t xml:space="preserve">Note: Rating framework that operationalizes board expectations; FFIEC proposed CAMELS revisions in 2026 (situational awareness only).</w:t>
      </w:r>
    </w:p>
    <w:p>
      <w:pPr>
        <w:keepNext/>
        <w:spacing w:after="16" w:before="104"/>
      </w:pPr>
      <w:r>
        <w:rPr>
          <w:rFonts w:ascii="Arial" w:cs="Arial" w:eastAsia="Arial" w:hAnsi="Arial"/>
          <w:b/>
          <w:bCs/>
          <w:color w:val="1F3864"/>
          <w:sz w:val="21"/>
          <w:szCs w:val="21"/>
        </w:rPr>
        <w:t xml:space="preserve">SUB-01  —  IDI (subsidiary) board  ·  IDI</w:t>
      </w:r>
      <w:r>
        <w:rPr>
          <w:sz w:val="2"/>
          <w:szCs w:val="2"/>
        </w:rPr>
        <w:t xml:space="preserve"/>
      </w:r>
    </w:p>
    <w:p>
      <w:pPr>
        <w:spacing w:after="24"/>
      </w:pPr>
      <w:r>
        <w:rPr>
          <w:rFonts w:ascii="Arial" w:cs="Arial" w:eastAsia="Arial" w:hAnsi="Arial"/>
          <w:sz w:val="21"/>
          <w:szCs w:val="21"/>
        </w:rPr>
        <w:t xml:space="preserve">The primary duty of a subsidiary bank's board is to ensure the bank operates safely and soundly; the bank's board must ensure the bank's interests are not subordinated to the parent holding company. If the holding company engages in practices that may harm the bank, the bank's board should seek modifications, dissent on the record, consider hiring independent legal counsel or an accountant, and may raise concerns with its regulators.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The Director's Book: Role of Directors for National Banks and Federal Savings Associations (2020), Corporate Governance — subsidiary bank / affiliate relationships (local ll. ~1915-1962).</w:t>
      </w:r>
      <w:r>
        <w:rPr>
          <w:rFonts w:ascii="Arial" w:cs="Arial" w:eastAsia="Arial" w:hAnsi="Arial"/>
          <w:i/>
          <w:iCs/>
          <w:color w:val="3B6FB0"/>
          <w:sz w:val="15"/>
          <w:szCs w:val="15"/>
        </w:rPr>
        <w:t xml:space="preserve"> [https://www.occ.gov/publications-and-resources/publications/banker-education/files/pub-directors-book.pdf]</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Director independence (cross-cutting)  ·  Redundancy: Candidate redundancy  ·  Confidence: Medium</w:t>
      </w:r>
    </w:p>
    <w:p>
      <w:pPr>
        <w:spacing w:after="104"/>
      </w:pPr>
      <w:r>
        <w:rPr>
          <w:rFonts w:ascii="Arial" w:cs="Arial" w:eastAsia="Arial" w:hAnsi="Arial"/>
          <w:i/>
          <w:iCs/>
          <w:color w:val="595959"/>
          <w:sz w:val="17"/>
          <w:szCs w:val="17"/>
        </w:rPr>
        <w:t xml:space="preserve">Note: Key holding-company/IDI-subsidiary tension directly relevant to GSIB group structures and interlocking boards; cross-refers to 12 USC 371c/371c-1 and Regulation W.</w:t>
      </w:r>
    </w:p>
    <w:p>
      <w:pPr>
        <w:pStyle w:val="Heading2"/>
      </w:pPr>
      <w:r>
        <w:t xml:space="preserve">2. Board structure &amp; committee governance</w:t>
      </w:r>
    </w:p>
    <w:p>
      <w:pPr>
        <w:keepNext/>
        <w:spacing w:after="16" w:before="104"/>
      </w:pPr>
      <w:r>
        <w:rPr>
          <w:rFonts w:ascii="Arial" w:cs="Arial" w:eastAsia="Arial" w:hAnsi="Arial"/>
          <w:b/>
          <w:bCs/>
          <w:color w:val="1F3864"/>
          <w:sz w:val="21"/>
          <w:szCs w:val="21"/>
        </w:rPr>
        <w:t xml:space="preserve">BCG-01  —  Executive committee; full board  ·  IDI</w:t>
      </w:r>
      <w:r>
        <w:rPr>
          <w:sz w:val="2"/>
          <w:szCs w:val="2"/>
        </w:rPr>
        <w:t xml:space="preserve"/>
      </w:r>
    </w:p>
    <w:p>
      <w:pPr>
        <w:spacing w:after="24"/>
      </w:pPr>
      <w:r>
        <w:rPr>
          <w:rFonts w:ascii="Arial" w:cs="Arial" w:eastAsia="Arial" w:hAnsi="Arial"/>
          <w:sz w:val="21"/>
          <w:szCs w:val="21"/>
        </w:rPr>
        <w:t xml:space="preserve">An executive committee may act between full-board meetings, but the full board should limit its authority and reserve extraordinary matters (e.g., mergers and acquisitions); use of an executive committee must not create a two-tiered class of directors — all directors share the same responsibilities and liabilities.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Corporate and Risk Governance, v2.0, Appendix C (Common Board Committees), Appendix C — Executive committee.</w:t>
      </w:r>
      <w:r>
        <w:rPr>
          <w:rFonts w:ascii="Arial" w:cs="Arial" w:eastAsia="Arial" w:hAnsi="Arial"/>
          <w:i/>
          <w:iCs/>
          <w:color w:val="3B6FB0"/>
          <w:sz w:val="15"/>
          <w:szCs w:val="15"/>
        </w:rPr>
        <w:t xml:space="preserve"> [https://www.occ.gov/publications-and-resources/publications/comptrollers-handbook/index-comptrollers-handbook.html]</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Risk-governance framework / strategy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BCG-02  —  Audit committee  ·  IDI</w:t>
      </w:r>
      <w:r>
        <w:rPr>
          <w:sz w:val="2"/>
          <w:szCs w:val="2"/>
        </w:rPr>
        <w:t xml:space="preserve"/>
      </w:r>
    </w:p>
    <w:p>
      <w:pPr>
        <w:spacing w:after="24"/>
      </w:pPr>
      <w:r>
        <w:rPr>
          <w:rFonts w:ascii="Arial" w:cs="Arial" w:eastAsia="Arial" w:hAnsi="Arial"/>
          <w:sz w:val="21"/>
          <w:szCs w:val="21"/>
        </w:rPr>
        <w:t xml:space="preserve">Audit committee oversees the audit program and confirms comprehensive coverage; holds management accountable for internal controls; appoints, terminates, compensates, and oversees the chief auditor and external auditor; ensures external-auditor independence; oversees financial reporting and accounting policies; establishes whistleblower procedures; and tracks remediation of audit/regulatory deficiencies.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Corporate and Risk Governance, v2.0, Appendix C, Appendix C — Audit committee.</w:t>
      </w:r>
      <w:r>
        <w:rPr>
          <w:rFonts w:ascii="Arial" w:cs="Arial" w:eastAsia="Arial" w:hAnsi="Arial"/>
          <w:i/>
          <w:iCs/>
          <w:color w:val="3B6FB0"/>
          <w:sz w:val="15"/>
          <w:szCs w:val="15"/>
        </w:rPr>
        <w:t xml:space="preserve"> [https://www.occ.gov/publications-and-resources/publications/comptrollers-handbook/index-comptrollers-handbook.html]</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Event-driven  ·  Cluster: Audit committee &amp; independence  ·  Redundancy: Candidate redundancy  ·  Confidence: Medium</w:t>
      </w:r>
    </w:p>
    <w:p>
      <w:pPr>
        <w:spacing w:after="104"/>
      </w:pPr>
      <w:r>
        <w:rPr>
          <w:rFonts w:ascii="Arial" w:cs="Arial" w:eastAsia="Arial" w:hAnsi="Arial"/>
          <w:i/>
          <w:iCs/>
          <w:color w:val="595959"/>
          <w:sz w:val="17"/>
          <w:szCs w:val="17"/>
        </w:rPr>
        <w:t xml:space="preserve">Note: Cross-refers to the Internal and External Audits booklet.</w:t>
      </w:r>
    </w:p>
    <w:p>
      <w:pPr>
        <w:keepNext/>
        <w:spacing w:after="16" w:before="104"/>
      </w:pPr>
      <w:r>
        <w:rPr>
          <w:rFonts w:ascii="Arial" w:cs="Arial" w:eastAsia="Arial" w:hAnsi="Arial"/>
          <w:b/>
          <w:bCs/>
          <w:color w:val="1F3864"/>
          <w:sz w:val="21"/>
          <w:szCs w:val="21"/>
        </w:rPr>
        <w:t xml:space="preserve">BCG-03  —  Credit committee  ·  IDI</w:t>
      </w:r>
      <w:r>
        <w:rPr>
          <w:sz w:val="2"/>
          <w:szCs w:val="2"/>
        </w:rPr>
        <w:t xml:space="preserve"/>
      </w:r>
    </w:p>
    <w:p>
      <w:pPr>
        <w:spacing w:after="24"/>
      </w:pPr>
      <w:r>
        <w:rPr>
          <w:rFonts w:ascii="Arial" w:cs="Arial" w:eastAsia="Arial" w:hAnsi="Arial"/>
          <w:sz w:val="21"/>
          <w:szCs w:val="21"/>
        </w:rPr>
        <w:t xml:space="preserve">A credit committee (where used) establishes lending strategy, credit risk appetite, and risk limits; reviews/approves lending policies and underwriting standards; approves large credits per policy; monitors portfolio performance, exceptions, and the allowance; and oversees credit-related legal/regulatory compliance.</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Corporate and Risk Governance, v2.0, Appendix C, Appendix C — Credit committee.</w:t>
      </w:r>
      <w:r>
        <w:rPr>
          <w:rFonts w:ascii="Arial" w:cs="Arial" w:eastAsia="Arial" w:hAnsi="Arial"/>
          <w:i/>
          <w:iCs/>
          <w:color w:val="3B6FB0"/>
          <w:sz w:val="15"/>
          <w:szCs w:val="15"/>
        </w:rPr>
        <w:t xml:space="preserve"> [https://www.occ.gov/publications-and-resources/publications/comptrollers-handbook/index-comptrollers-handbook.html]</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Risk-governance framework / strategy  ·  Redundancy: Candidate redundancy  ·  Confidence: Medium</w:t>
      </w:r>
    </w:p>
    <w:p>
      <w:pPr>
        <w:spacing w:after="104"/>
      </w:pPr>
      <w:r>
        <w:rPr>
          <w:rFonts w:ascii="Arial" w:cs="Arial" w:eastAsia="Arial" w:hAnsi="Arial"/>
          <w:i/>
          <w:iCs/>
          <w:color w:val="595959"/>
          <w:sz w:val="17"/>
          <w:szCs w:val="17"/>
        </w:rPr>
        <w:t xml:space="preserve">Note: Relevant to GSIB IDIs with large lending books.</w:t>
      </w:r>
    </w:p>
    <w:p>
      <w:pPr>
        <w:keepNext/>
        <w:spacing w:after="16" w:before="104"/>
      </w:pPr>
      <w:r>
        <w:rPr>
          <w:rFonts w:ascii="Arial" w:cs="Arial" w:eastAsia="Arial" w:hAnsi="Arial"/>
          <w:b/>
          <w:bCs/>
          <w:color w:val="1F3864"/>
          <w:sz w:val="21"/>
          <w:szCs w:val="21"/>
        </w:rPr>
        <w:t xml:space="preserve">BCG-04  —  Board-level ALCO (if used)  ·  IDI</w:t>
      </w:r>
      <w:r>
        <w:rPr>
          <w:sz w:val="2"/>
          <w:szCs w:val="2"/>
        </w:rPr>
        <w:t xml:space="preserve"/>
      </w:r>
    </w:p>
    <w:p>
      <w:pPr>
        <w:spacing w:after="24"/>
      </w:pPr>
      <w:r>
        <w:rPr>
          <w:rFonts w:ascii="Arial" w:cs="Arial" w:eastAsia="Arial" w:hAnsi="Arial"/>
          <w:sz w:val="21"/>
          <w:szCs w:val="21"/>
        </w:rPr>
        <w:t xml:space="preserve">Where a board-level ALCO exists, it establishes asset-liability strategies, rate-risk appetites, and limits; reviews liquidity and interest-rate-risk reports; monitors the liquidity position and policy/limit compliance; and verifies adequate capital and liquidity support. In most banks the board delegates this to a senior-management committee.</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Corporate and Risk Governance, v2.0, Appendix C, Appendix C — Asset-liability committee.</w:t>
      </w:r>
      <w:r>
        <w:rPr>
          <w:rFonts w:ascii="Arial" w:cs="Arial" w:eastAsia="Arial" w:hAnsi="Arial"/>
          <w:i/>
          <w:iCs/>
          <w:color w:val="3B6FB0"/>
          <w:sz w:val="15"/>
          <w:szCs w:val="15"/>
        </w:rPr>
        <w:t xml:space="preserve"> [https://www.occ.gov/publications-and-resources/publications/comptrollers-handbook/index-comptrollers-handbook.html]</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Risk-governance framework / strategy  ·  Redundancy: Candidate redundancy  ·  Confidence: Medium</w:t>
      </w:r>
    </w:p>
    <w:p>
      <w:pPr>
        <w:spacing w:after="104"/>
      </w:pPr>
      <w:r>
        <w:rPr>
          <w:rFonts w:ascii="Arial" w:cs="Arial" w:eastAsia="Arial" w:hAnsi="Arial"/>
          <w:i/>
          <w:iCs/>
          <w:color w:val="595959"/>
          <w:sz w:val="17"/>
          <w:szCs w:val="17"/>
        </w:rPr>
        <w:t xml:space="preserve">Note: FSA boards are separately required to monitor IRR and derivatives (12 CFR 163.172/.176).</w:t>
      </w:r>
    </w:p>
    <w:p>
      <w:pPr>
        <w:keepNext/>
        <w:spacing w:after="16" w:before="104"/>
      </w:pPr>
      <w:r>
        <w:rPr>
          <w:rFonts w:ascii="Arial" w:cs="Arial" w:eastAsia="Arial" w:hAnsi="Arial"/>
          <w:b/>
          <w:bCs/>
          <w:color w:val="1F3864"/>
          <w:sz w:val="21"/>
          <w:szCs w:val="21"/>
        </w:rPr>
        <w:t xml:space="preserve">BCG-05  —  Risk committee  ·  IDI</w:t>
      </w:r>
      <w:r>
        <w:rPr>
          <w:sz w:val="2"/>
          <w:szCs w:val="2"/>
        </w:rPr>
        <w:t xml:space="preserve"/>
      </w:r>
    </w:p>
    <w:p>
      <w:pPr>
        <w:spacing w:after="24"/>
      </w:pPr>
      <w:r>
        <w:rPr>
          <w:rFonts w:ascii="Arial" w:cs="Arial" w:eastAsia="Arial" w:hAnsi="Arial"/>
          <w:sz w:val="21"/>
          <w:szCs w:val="21"/>
        </w:rPr>
        <w:t xml:space="preserve">The risk committee's primary responsibility is risk oversight: defining/confirming risk appetite; confirming strategic, liquidity, and capital plans fit the risk appetite; approving limits; confirming risk infrastructure; addressing material risks; confirming independent risk management's independence; and overseeing the chief risk executive. Larger/more complex banks customarily include independent directors.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Corporate and Risk Governance, v2.0, Appendix C, Appendix C — Risk committee.</w:t>
      </w:r>
      <w:r>
        <w:rPr>
          <w:rFonts w:ascii="Arial" w:cs="Arial" w:eastAsia="Arial" w:hAnsi="Arial"/>
          <w:i/>
          <w:iCs/>
          <w:color w:val="3B6FB0"/>
          <w:sz w:val="15"/>
          <w:szCs w:val="15"/>
        </w:rPr>
        <w:t xml:space="preserve"> [https://www.occ.gov/publications-and-resources/publications/comptrollers-handbook/index-comptrollers-handbook.html]</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Risk committee architecture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BCG-06  —  Fiduciary committee; fiduciary audit committee  ·  IDI</w:t>
      </w:r>
      <w:r>
        <w:rPr>
          <w:sz w:val="2"/>
          <w:szCs w:val="2"/>
        </w:rPr>
        <w:t xml:space="preserve"/>
      </w:r>
    </w:p>
    <w:p>
      <w:pPr>
        <w:spacing w:after="24"/>
      </w:pPr>
      <w:r>
        <w:rPr>
          <w:rFonts w:ascii="Arial" w:cs="Arial" w:eastAsia="Arial" w:hAnsi="Arial"/>
          <w:sz w:val="21"/>
          <w:szCs w:val="21"/>
        </w:rPr>
        <w:t xml:space="preserve">A bank with fiduciary (trust) powers must have a fiduciary audit committee (and typically administrative and investment fiduciary committees) overseeing audits of significant fiduciary activities, with results and actions recorded in the minutes; composition requirements are set by regulation (12 CFR 9.9 / FSA equivalents).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Corporate and Risk Governance, v2.0, Appendix C, Appendix C — Fiduciary committees.</w:t>
      </w:r>
      <w:r>
        <w:rPr>
          <w:rFonts w:ascii="Arial" w:cs="Arial" w:eastAsia="Arial" w:hAnsi="Arial"/>
          <w:i/>
          <w:iCs/>
          <w:color w:val="3B6FB0"/>
          <w:sz w:val="15"/>
          <w:szCs w:val="15"/>
        </w:rPr>
        <w:t xml:space="preserve"> [https://www.occ.gov/publications-and-resources/publications/comptrollers-handbook/index-comptrollers-handbook.html]</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Audit committee &amp; independence  ·  Redundancy: Candidate redundancy  ·  Confidence: Medium</w:t>
      </w:r>
    </w:p>
    <w:p>
      <w:pPr>
        <w:spacing w:after="104"/>
      </w:pPr>
      <w:r>
        <w:rPr>
          <w:rFonts w:ascii="Arial" w:cs="Arial" w:eastAsia="Arial" w:hAnsi="Arial"/>
          <w:i/>
          <w:iCs/>
          <w:color w:val="595959"/>
          <w:sz w:val="17"/>
          <w:szCs w:val="17"/>
        </w:rPr>
        <w:t xml:space="preserve">Note: Relevant to GSIB IDIs with trust/asset-servicing businesses (e.g., BNY, State Street).</w:t>
      </w:r>
    </w:p>
    <w:p>
      <w:pPr>
        <w:keepNext/>
        <w:spacing w:after="16" w:before="104"/>
      </w:pPr>
      <w:r>
        <w:rPr>
          <w:rFonts w:ascii="Arial" w:cs="Arial" w:eastAsia="Arial" w:hAnsi="Arial"/>
          <w:b/>
          <w:bCs/>
          <w:color w:val="1F3864"/>
          <w:sz w:val="21"/>
          <w:szCs w:val="21"/>
        </w:rPr>
        <w:t xml:space="preserve">BCG-07  —  Compensation committee  ·  IDI</w:t>
      </w:r>
      <w:r>
        <w:rPr>
          <w:sz w:val="2"/>
          <w:szCs w:val="2"/>
        </w:rPr>
        <w:t xml:space="preserve"/>
      </w:r>
    </w:p>
    <w:p>
      <w:pPr>
        <w:spacing w:after="24"/>
      </w:pPr>
      <w:r>
        <w:rPr>
          <w:rFonts w:ascii="Arial" w:cs="Arial" w:eastAsia="Arial" w:hAnsi="Arial"/>
          <w:sz w:val="21"/>
          <w:szCs w:val="21"/>
        </w:rPr>
        <w:t xml:space="preserve">A compensation committee oversees the design and implementation of incentive-compensation arrangements; reviews/recommends director and committee fee structures; works closely with the risk and audit committees to confirm alignment with strategy and risk appetite; understands all compensation/benefits arrangements; and reports periodically to the full board.</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Corporate and Risk Governance, v2.0, Appendix C, Appendix C — Compensation committee.</w:t>
      </w:r>
      <w:r>
        <w:rPr>
          <w:rFonts w:ascii="Arial" w:cs="Arial" w:eastAsia="Arial" w:hAnsi="Arial"/>
          <w:i/>
          <w:iCs/>
          <w:color w:val="3B6FB0"/>
          <w:sz w:val="15"/>
          <w:szCs w:val="15"/>
        </w:rPr>
        <w:t xml:space="preserve"> [https://www.occ.gov/publications-and-resources/publications/comptrollers-handbook/index-comptrollers-handbook.html]</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Audit committee &amp; independence  ·  Redundancy: Candidate redundancy  ·  Confidence: Medium</w:t>
      </w:r>
    </w:p>
    <w:p>
      <w:pPr>
        <w:spacing w:after="104"/>
      </w:pPr>
      <w:r>
        <w:rPr>
          <w:rFonts w:ascii="Arial" w:cs="Arial" w:eastAsia="Arial" w:hAnsi="Arial"/>
          <w:i/>
          <w:iCs/>
          <w:color w:val="595959"/>
          <w:sz w:val="17"/>
          <w:szCs w:val="17"/>
        </w:rPr>
        <w:t xml:space="preserve">Note: Overlaps the 2010 incentive-comp guidance and OCC Heightened Standards comp/talent standards.</w:t>
      </w:r>
    </w:p>
    <w:p>
      <w:pPr>
        <w:keepNext/>
        <w:spacing w:after="16" w:before="104"/>
      </w:pPr>
      <w:r>
        <w:rPr>
          <w:rFonts w:ascii="Arial" w:cs="Arial" w:eastAsia="Arial" w:hAnsi="Arial"/>
          <w:b/>
          <w:bCs/>
          <w:color w:val="1F3864"/>
          <w:sz w:val="21"/>
          <w:szCs w:val="21"/>
        </w:rPr>
        <w:t xml:space="preserve">BCG-08  —  Corporate governance/nominating committee  ·  IDI</w:t>
      </w:r>
      <w:r>
        <w:rPr>
          <w:sz w:val="2"/>
          <w:szCs w:val="2"/>
        </w:rPr>
        <w:t xml:space="preserve"/>
      </w:r>
    </w:p>
    <w:p>
      <w:pPr>
        <w:spacing w:after="24"/>
      </w:pPr>
      <w:r>
        <w:rPr>
          <w:rFonts w:ascii="Arial" w:cs="Arial" w:eastAsia="Arial" w:hAnsi="Arial"/>
          <w:sz w:val="21"/>
          <w:szCs w:val="21"/>
        </w:rPr>
        <w:t xml:space="preserve">The corporate governance/nominating committee establishes criteria and qualifications (including independence) for board and committee membership; recommends nominees; assesses current directors; oversees governance practices, director education, self-assessments, tenure, and shareholder communications; and, where there is no compensation committee, the director-compensation policy.</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Corporate and Risk Governance, v2.0, Appendix C, Appendix C — Corporate governance/nominating committee.</w:t>
      </w:r>
      <w:r>
        <w:rPr>
          <w:rFonts w:ascii="Arial" w:cs="Arial" w:eastAsia="Arial" w:hAnsi="Arial"/>
          <w:i/>
          <w:iCs/>
          <w:color w:val="3B6FB0"/>
          <w:sz w:val="15"/>
          <w:szCs w:val="15"/>
        </w:rPr>
        <w:t xml:space="preserve"> [https://www.occ.gov/publications-and-resources/publications/comptrollers-handbook/index-comptrollers-handbook.html]</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Incentive compensation  ·  Redundancy: Candidate redundancy  ·  Confidence: Medium</w:t>
      </w:r>
    </w:p>
    <w:p>
      <w:pPr>
        <w:spacing w:after="104"/>
      </w:pPr>
      <w:r>
        <w:rPr>
          <w:rFonts w:ascii="Arial" w:cs="Arial" w:eastAsia="Arial" w:hAnsi="Arial"/>
          <w:i/>
          <w:iCs/>
          <w:color w:val="595959"/>
          <w:sz w:val="17"/>
          <w:szCs w:val="17"/>
        </w:rPr>
        <w:t xml:space="preserve">Note: Directly responsive to the nominating/governance-committee dimension.</w:t>
      </w:r>
    </w:p>
    <w:p>
      <w:pPr>
        <w:keepNext/>
        <w:spacing w:after="16" w:before="104"/>
      </w:pPr>
      <w:r>
        <w:rPr>
          <w:rFonts w:ascii="Arial" w:cs="Arial" w:eastAsia="Arial" w:hAnsi="Arial"/>
          <w:b/>
          <w:bCs/>
          <w:color w:val="1F3864"/>
          <w:sz w:val="21"/>
          <w:szCs w:val="21"/>
        </w:rPr>
        <w:t xml:space="preserve">BCG-09  —  Full board; independent chair / lead director  ·  IDI</w:t>
      </w:r>
      <w:r>
        <w:rPr>
          <w:sz w:val="2"/>
          <w:szCs w:val="2"/>
        </w:rPr>
        <w:t xml:space="preserve"/>
      </w:r>
    </w:p>
    <w:p>
      <w:pPr>
        <w:spacing w:after="24"/>
      </w:pPr>
      <w:r>
        <w:rPr>
          <w:rFonts w:ascii="Arial" w:cs="Arial" w:eastAsia="Arial" w:hAnsi="Arial"/>
          <w:sz w:val="21"/>
          <w:szCs w:val="21"/>
        </w:rPr>
        <w:t xml:space="preserve">Board determines its leadership structure; the chair should promote candid dialogue and independent deliberation; where the CEO and chair are the same person, the board may appoint an independent lead director with a defined role.</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Corporate and Risk Governance, v2.0; The Director's Book (2020), Board Leadership (CRG); Director's Book Board Structure.</w:t>
      </w:r>
      <w:r>
        <w:rPr>
          <w:rFonts w:ascii="Arial" w:cs="Arial" w:eastAsia="Arial" w:hAnsi="Arial"/>
          <w:i/>
          <w:iCs/>
          <w:color w:val="3B6FB0"/>
          <w:sz w:val="15"/>
          <w:szCs w:val="15"/>
        </w:rPr>
        <w:t xml:space="preserve"> [https://www.occ.gov/publications-and-resources/publications/banker-education/files/pub-directors-book.pdf]</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Event-driven  ·  Cluster: Risk-governance framework / strategy  ·  Redundancy: Candidate redundancy  ·  Confidence: Medium</w:t>
      </w:r>
    </w:p>
    <w:p>
      <w:pPr>
        <w:spacing w:after="104"/>
      </w:pPr>
      <w:r>
        <w:rPr>
          <w:rFonts w:ascii="Arial" w:cs="Arial" w:eastAsia="Arial" w:hAnsi="Arial"/>
          <w:i/>
          <w:iCs/>
          <w:color w:val="595959"/>
          <w:sz w:val="17"/>
          <w:szCs w:val="17"/>
        </w:rPr>
        <w:t xml:space="preserve">Note: Parallels SR 21-3 lead-independent-director expectation.</w:t>
      </w:r>
    </w:p>
    <w:p>
      <w:pPr>
        <w:keepNext/>
        <w:spacing w:after="16" w:before="104"/>
      </w:pPr>
      <w:r>
        <w:rPr>
          <w:rFonts w:ascii="Arial" w:cs="Arial" w:eastAsia="Arial" w:hAnsi="Arial"/>
          <w:b/>
          <w:bCs/>
          <w:color w:val="1F3864"/>
          <w:sz w:val="21"/>
          <w:szCs w:val="21"/>
        </w:rPr>
        <w:t xml:space="preserve">BCG-10  —  Full board or nominating committee  ·  IDI</w:t>
      </w:r>
      <w:r>
        <w:rPr>
          <w:sz w:val="2"/>
          <w:szCs w:val="2"/>
        </w:rPr>
        <w:t xml:space="preserve"/>
      </w:r>
    </w:p>
    <w:p>
      <w:pPr>
        <w:spacing w:after="24"/>
      </w:pPr>
      <w:r>
        <w:rPr>
          <w:rFonts w:ascii="Arial" w:cs="Arial" w:eastAsia="Arial" w:hAnsi="Arial"/>
          <w:sz w:val="21"/>
          <w:szCs w:val="21"/>
        </w:rPr>
        <w:t xml:space="preserve">Board (or nominating committee) establishes a process to identify, assess, and select director candidates considering knowledge, skills, experience, conflicts, time commitment, integrity, and background checks; inside directors should not exert undue influence over board-member selection.</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Corporate and Risk Governance, v2.0; The Director's Book (2020), Director Nomination and Selection.</w:t>
      </w:r>
      <w:r>
        <w:rPr>
          <w:rFonts w:ascii="Arial" w:cs="Arial" w:eastAsia="Arial" w:hAnsi="Arial"/>
          <w:i/>
          <w:iCs/>
          <w:color w:val="3B6FB0"/>
          <w:sz w:val="15"/>
          <w:szCs w:val="15"/>
        </w:rPr>
        <w:t xml:space="preserve"> [https://www.occ.gov/publications-and-resources/publications/banker-education/files/pub-directors-book.pdf]</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Risk-governance framework / strategy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BCG-11  —  Board or designated committee  ·  IDI</w:t>
      </w:r>
      <w:r>
        <w:rPr>
          <w:sz w:val="2"/>
          <w:szCs w:val="2"/>
        </w:rPr>
        <w:t xml:space="preserve"/>
      </w:r>
    </w:p>
    <w:p>
      <w:pPr>
        <w:spacing w:after="24"/>
      </w:pPr>
      <w:r>
        <w:rPr>
          <w:rFonts w:ascii="Arial" w:cs="Arial" w:eastAsia="Arial" w:hAnsi="Arial"/>
          <w:sz w:val="21"/>
          <w:szCs w:val="21"/>
        </w:rPr>
        <w:t xml:space="preserve">Board or designated committee sets and periodically reevaluates director compensation; compensation should attract qualified directors but not be excessive or cause material financial loss.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Corporate and Risk Governance, v2.0, Director Compensation.</w:t>
      </w:r>
      <w:r>
        <w:rPr>
          <w:rFonts w:ascii="Arial" w:cs="Arial" w:eastAsia="Arial" w:hAnsi="Arial"/>
          <w:i/>
          <w:iCs/>
          <w:color w:val="3B6FB0"/>
          <w:sz w:val="15"/>
          <w:szCs w:val="15"/>
        </w:rPr>
        <w:t xml:space="preserve"> [https://www.occ.gov/publications-and-resources/publications/comptrollers-handbook/index-comptrollers-handbook.html]</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Event-driven  ·  Cluster: Incentive compensation  ·  Redundancy: Candidate redundancy  ·  Confidence: Medium</w:t>
      </w:r>
    </w:p>
    <w:p>
      <w:pPr>
        <w:spacing w:after="104"/>
      </w:pPr>
      <w:r>
        <w:rPr>
          <w:rFonts w:ascii="Arial" w:cs="Arial" w:eastAsia="Arial" w:hAnsi="Arial"/>
          <w:i/>
          <w:iCs/>
          <w:color w:val="595959"/>
          <w:sz w:val="17"/>
          <w:szCs w:val="17"/>
        </w:rPr>
        <w:t xml:space="preserve">Note: Overlaps safety-and-soundness compensation standards.</w:t>
      </w:r>
    </w:p>
    <w:p>
      <w:pPr>
        <w:keepNext/>
        <w:spacing w:after="16" w:before="104"/>
      </w:pPr>
      <w:r>
        <w:rPr>
          <w:rFonts w:ascii="Arial" w:cs="Arial" w:eastAsia="Arial" w:hAnsi="Arial"/>
          <w:b/>
          <w:bCs/>
          <w:color w:val="1F3864"/>
          <w:sz w:val="21"/>
          <w:szCs w:val="21"/>
        </w:rPr>
        <w:t xml:space="preserve">BCG-12  —  Full board and committees  ·  IDI</w:t>
      </w:r>
      <w:r>
        <w:rPr>
          <w:sz w:val="2"/>
          <w:szCs w:val="2"/>
        </w:rPr>
        <w:t xml:space="preserve"/>
      </w:r>
    </w:p>
    <w:p>
      <w:pPr>
        <w:spacing w:after="24"/>
      </w:pPr>
      <w:r>
        <w:rPr>
          <w:rFonts w:ascii="Arial" w:cs="Arial" w:eastAsia="Arial" w:hAnsi="Arial"/>
          <w:sz w:val="21"/>
          <w:szCs w:val="21"/>
        </w:rPr>
        <w:t xml:space="preserve">Minutes should document attendance, votes and abstentions, materials reviewed, material agenda items, actions and follow-up, evidence of credible challenge, and that decisions were made in the bank's best interest.</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Corporate and Risk Governance, v2.0, Board and Committee Minutes.</w:t>
      </w:r>
      <w:r>
        <w:rPr>
          <w:rFonts w:ascii="Arial" w:cs="Arial" w:eastAsia="Arial" w:hAnsi="Arial"/>
          <w:i/>
          <w:iCs/>
          <w:color w:val="3B6FB0"/>
          <w:sz w:val="15"/>
          <w:szCs w:val="15"/>
        </w:rPr>
        <w:t xml:space="preserve"> [https://www.occ.gov/publications-and-resources/publications/comptrollers-handbook/index-comptrollers-handbook.html]</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Risk-governance framework / strategy  ·  Redundancy: Candidate redundancy  ·  Confidence: Medium</w:t>
      </w:r>
    </w:p>
    <w:p>
      <w:pPr>
        <w:spacing w:after="104"/>
      </w:pPr>
      <w:r>
        <w:rPr>
          <w:rFonts w:ascii="Arial" w:cs="Arial" w:eastAsia="Arial" w:hAnsi="Arial"/>
          <w:i/>
          <w:iCs/>
          <w:color w:val="595959"/>
          <w:sz w:val="17"/>
          <w:szCs w:val="17"/>
        </w:rPr>
        <w:t xml:space="preserve">Note: Supports examiner review of director engagement.</w:t>
      </w:r>
    </w:p>
    <w:p>
      <w:pPr>
        <w:keepNext/>
        <w:spacing w:after="16" w:before="104"/>
      </w:pPr>
      <w:r>
        <w:rPr>
          <w:rFonts w:ascii="Arial" w:cs="Arial" w:eastAsia="Arial" w:hAnsi="Arial"/>
          <w:b/>
          <w:bCs/>
          <w:color w:val="1F3864"/>
          <w:sz w:val="21"/>
          <w:szCs w:val="21"/>
        </w:rPr>
        <w:t xml:space="preserve">BCG-13  —  Directors; full board and committees  ·  IDI</w:t>
      </w:r>
      <w:r>
        <w:rPr>
          <w:sz w:val="2"/>
          <w:szCs w:val="2"/>
        </w:rPr>
        <w:t xml:space="preserve"/>
      </w:r>
    </w:p>
    <w:p>
      <w:pPr>
        <w:spacing w:after="24"/>
      </w:pPr>
      <w:r>
        <w:rPr>
          <w:rFonts w:ascii="Arial" w:cs="Arial" w:eastAsia="Arial" w:hAnsi="Arial"/>
          <w:sz w:val="21"/>
          <w:szCs w:val="21"/>
        </w:rPr>
        <w:t xml:space="preserve">Directors should have access to employees, especially senior management, to avoid over-filtered information; the board and committees may retain independent outside advisors (e.g., for risk, accounting, strategy, or compensation) while managing conflicts and retaining fiduciary responsibility.</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Corporate and Risk Governance, v2.0, Access to Senior Management; Outside Advisors.</w:t>
      </w:r>
      <w:r>
        <w:rPr>
          <w:rFonts w:ascii="Arial" w:cs="Arial" w:eastAsia="Arial" w:hAnsi="Arial"/>
          <w:i/>
          <w:iCs/>
          <w:color w:val="3B6FB0"/>
          <w:sz w:val="15"/>
          <w:szCs w:val="15"/>
        </w:rPr>
        <w:t xml:space="preserve"> [https://www.occ.gov/publications-and-resources/publications/comptrollers-handbook/index-comptrollers-handbook.html]</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Incentive compensation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BCG-14  —  Audit committee; full board (independence determination)  ·  IDI</w:t>
      </w:r>
      <w:r>
        <w:rPr>
          <w:sz w:val="2"/>
          <w:szCs w:val="2"/>
        </w:rPr>
        <w:t xml:space="preserve"/>
      </w:r>
    </w:p>
    <w:p>
      <w:pPr>
        <w:spacing w:after="24"/>
      </w:pPr>
      <w:r>
        <w:rPr>
          <w:rFonts w:ascii="Arial" w:cs="Arial" w:eastAsia="Arial" w:hAnsi="Arial"/>
          <w:sz w:val="21"/>
          <w:szCs w:val="21"/>
        </w:rPr>
        <w:t xml:space="preserve">For institutions over $3 billion, the audit committee should include members with banking or financial-management expertise, have access to outside counsel, and exclude large customers; the board should annually determine each audit-committee member's independence (considering advisory relationships, large-customer status, recent employment/executive ties, interlocking compensation-committee ties, payments, and audit-firm ties).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Internal and External Audits, Appendix G, Audit committee composition; 12 CFR part 363 worksheet.</w:t>
      </w:r>
      <w:r>
        <w:rPr>
          <w:rFonts w:ascii="Arial" w:cs="Arial" w:eastAsia="Arial" w:hAnsi="Arial"/>
          <w:i/>
          <w:iCs/>
          <w:color w:val="3B6FB0"/>
          <w:sz w:val="15"/>
          <w:szCs w:val="15"/>
        </w:rPr>
        <w:t xml:space="preserve"> [https://www.ecfr.gov/current/title-12/chapter-III/part-363]</w:t>
      </w:r>
    </w:p>
    <w:p>
      <w:pPr>
        <w:spacing w:after="6"/>
      </w:pPr>
      <w:r>
        <w:rPr>
          <w:rFonts w:ascii="Arial" w:cs="Arial" w:eastAsia="Arial" w:hAnsi="Arial"/>
          <w:i/>
          <w:iCs/>
          <w:color w:val="7030A0"/>
          <w:sz w:val="17"/>
          <w:szCs w:val="17"/>
        </w:rPr>
        <w:t xml:space="preserve">Legal force: Regulation / enforceable (cross-listed)  ·  Consequence: Enforcement + rating (rule-backed)  ·  Cadence: Annual  ·  Cluster: Audit committee &amp; independence  ·  Redundancy: Candidate redundancy  ·  Confidence: High</w:t>
      </w:r>
    </w:p>
    <w:p>
      <w:pPr>
        <w:spacing w:after="104"/>
      </w:pPr>
      <w:r>
        <w:rPr>
          <w:rFonts w:ascii="Arial" w:cs="Arial" w:eastAsia="Arial" w:hAnsi="Arial"/>
          <w:i/>
          <w:iCs/>
          <w:color w:val="595959"/>
          <w:sz w:val="17"/>
          <w:szCs w:val="17"/>
        </w:rPr>
        <w:t xml:space="preserve">Note: Implements FDICIA/12 CFR part 363 audit-committee standards.</w:t>
      </w:r>
    </w:p>
    <w:p>
      <w:pPr>
        <w:pStyle w:val="Heading2"/>
      </w:pPr>
      <w:r>
        <w:t xml:space="preserve">3. Capital planning &amp; stress testing</w:t>
      </w:r>
    </w:p>
    <w:p>
      <w:pPr>
        <w:keepNext/>
        <w:spacing w:after="16" w:before="104"/>
      </w:pPr>
      <w:r>
        <w:rPr>
          <w:rFonts w:ascii="Arial" w:cs="Arial" w:eastAsia="Arial" w:hAnsi="Arial"/>
          <w:b/>
          <w:bCs/>
          <w:color w:val="1F3864"/>
          <w:sz w:val="21"/>
          <w:szCs w:val="21"/>
        </w:rPr>
        <w:t xml:space="preserve">CAP-01  —  Full board  ·  BHC</w:t>
      </w:r>
      <w:r>
        <w:rPr>
          <w:sz w:val="2"/>
          <w:szCs w:val="2"/>
        </w:rPr>
        <w:t xml:space="preserve"/>
      </w:r>
    </w:p>
    <w:p>
      <w:pPr>
        <w:spacing w:after="24"/>
      </w:pPr>
      <w:r>
        <w:rPr>
          <w:rFonts w:ascii="Arial" w:cs="Arial" w:eastAsia="Arial" w:hAnsi="Arial"/>
          <w:sz w:val="21"/>
          <w:szCs w:val="21"/>
        </w:rPr>
        <w:t xml:space="preserve">Board is ultimately responsible and accountable for the firm's capital-related decisions and for capital planning; capital planning must be consistent with the strategy and risk appetite set by the board.</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15-18, Federal Reserve Supervisory Assessment of Capital Planning and Positions for Firms Subject to Category I Standards (Dec. 18, 2015; revised Jan. 15, 2021), Attachment, sec. III.A.1 (Board of Directors), p. 3.</w:t>
      </w:r>
      <w:r>
        <w:rPr>
          <w:rFonts w:ascii="Arial" w:cs="Arial" w:eastAsia="Arial" w:hAnsi="Arial"/>
          <w:i/>
          <w:iCs/>
          <w:color w:val="3B6FB0"/>
          <w:sz w:val="15"/>
          <w:szCs w:val="15"/>
        </w:rPr>
        <w:t xml:space="preserve"> [https://www.federalreserve.gov/supervisionreg/srletters/sr1518.htm]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Capital planning &amp; stress testing  ·  Redundancy: Candidate redundancy (intra-level)  ·  Confidence: Medium</w:t>
      </w:r>
    </w:p>
    <w:p>
      <w:pPr>
        <w:spacing w:after="104"/>
      </w:pPr>
      <w:r>
        <w:rPr>
          <w:rFonts w:ascii="Arial" w:cs="Arial" w:eastAsia="Arial" w:hAnsi="Arial"/>
          <w:i/>
          <w:iCs/>
          <w:color w:val="595959"/>
          <w:sz w:val="17"/>
          <w:szCs w:val="17"/>
        </w:rPr>
        <w:t xml:space="preserve">Note: 2021 revision retitled the letter to apply expressly to Category I standards (= U.S. GSIBs).</w:t>
      </w:r>
    </w:p>
    <w:p>
      <w:pPr>
        <w:keepNext/>
        <w:spacing w:after="16" w:before="104"/>
      </w:pPr>
      <w:r>
        <w:rPr>
          <w:rFonts w:ascii="Arial" w:cs="Arial" w:eastAsia="Arial" w:hAnsi="Arial"/>
          <w:b/>
          <w:bCs/>
          <w:color w:val="1F3864"/>
          <w:sz w:val="21"/>
          <w:szCs w:val="21"/>
        </w:rPr>
        <w:t xml:space="preserve">CAP-02  —  Full board  ·  BHC</w:t>
      </w:r>
      <w:r>
        <w:rPr>
          <w:sz w:val="2"/>
          <w:szCs w:val="2"/>
        </w:rPr>
        <w:t xml:space="preserve"/>
      </w:r>
    </w:p>
    <w:p>
      <w:pPr>
        <w:spacing w:after="24"/>
      </w:pPr>
      <w:r>
        <w:rPr>
          <w:rFonts w:ascii="Arial" w:cs="Arial" w:eastAsia="Arial" w:hAnsi="Arial"/>
          <w:sz w:val="21"/>
          <w:szCs w:val="21"/>
        </w:rPr>
        <w:t xml:space="preserve">Board must annually review and approve the firm's capital plan.</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15-18 (rev. Jan. 15, 2021), Attachment, sec. III.A.1, p. 3, fn. 8 (cites 12 CFR 225.8(e)(1)(iii)).</w:t>
      </w:r>
      <w:r>
        <w:rPr>
          <w:rFonts w:ascii="Arial" w:cs="Arial" w:eastAsia="Arial" w:hAnsi="Arial"/>
          <w:i/>
          <w:iCs/>
          <w:color w:val="3B6FB0"/>
          <w:sz w:val="15"/>
          <w:szCs w:val="15"/>
        </w:rPr>
        <w:t xml:space="preserve"> [https://www.ecfr.gov/current/title-12/chapter-II/part-225/section-225.8]</w:t>
      </w:r>
    </w:p>
    <w:p>
      <w:pPr>
        <w:spacing w:after="6"/>
      </w:pPr>
      <w:r>
        <w:rPr>
          <w:rFonts w:ascii="Arial" w:cs="Arial" w:eastAsia="Arial" w:hAnsi="Arial"/>
          <w:i/>
          <w:iCs/>
          <w:color w:val="7030A0"/>
          <w:sz w:val="17"/>
          <w:szCs w:val="17"/>
        </w:rPr>
        <w:t xml:space="preserve">Legal force: Regulation / enforceable (cross-listed)  ·  Consequence: Enforcement + rating (rule-backed)  ·  Cadence: Annual  ·  Cluster: Capital planning &amp; stress testing  ·  Redundancy: Candidate redundancy (intra-level)  ·  Confidence: High</w:t>
      </w:r>
    </w:p>
    <w:p>
      <w:pPr>
        <w:spacing w:after="104"/>
      </w:pPr>
      <w:r>
        <w:rPr>
          <w:rFonts w:ascii="Arial" w:cs="Arial" w:eastAsia="Arial" w:hAnsi="Arial"/>
          <w:i/>
          <w:iCs/>
          <w:color w:val="595959"/>
          <w:sz w:val="17"/>
          <w:szCs w:val="17"/>
        </w:rPr>
        <w:t xml:space="preserve">Note: Plan-approval is non-delegable under 225.8(e); the capital policy may be delegated to a committee (see CAP-05).</w:t>
      </w:r>
    </w:p>
    <w:p>
      <w:pPr>
        <w:keepNext/>
        <w:spacing w:after="16" w:before="104"/>
      </w:pPr>
      <w:r>
        <w:rPr>
          <w:rFonts w:ascii="Arial" w:cs="Arial" w:eastAsia="Arial" w:hAnsi="Arial"/>
          <w:b/>
          <w:bCs/>
          <w:color w:val="1F3864"/>
          <w:sz w:val="21"/>
          <w:szCs w:val="21"/>
        </w:rPr>
        <w:t xml:space="preserve">CAP-03  —  Full board  ·  BHC</w:t>
      </w:r>
      <w:r>
        <w:rPr>
          <w:sz w:val="2"/>
          <w:szCs w:val="2"/>
        </w:rPr>
        <w:t xml:space="preserve"/>
      </w:r>
    </w:p>
    <w:p>
      <w:pPr>
        <w:spacing w:after="24"/>
      </w:pPr>
      <w:r>
        <w:rPr>
          <w:rFonts w:ascii="Arial" w:cs="Arial" w:eastAsia="Arial" w:hAnsi="Arial"/>
          <w:sz w:val="21"/>
          <w:szCs w:val="21"/>
        </w:rPr>
        <w:t xml:space="preserve">Board should direct senior management to provide a briefing on capital adequacy at least quarterly (more often as warranted), stating whether capital levels and planned distributions remain appropriate and highlighting problem areas identified by management, internal audit, or supervisors.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15-18 (rev. Jan. 15, 2021), Attachment, sec. III.A.1, pp. 3-4; sec. III.A 'Differences in Expectations', p. 5.</w:t>
      </w:r>
      <w:r>
        <w:rPr>
          <w:rFonts w:ascii="Arial" w:cs="Arial" w:eastAsia="Arial" w:hAnsi="Arial"/>
          <w:i/>
          <w:iCs/>
          <w:color w:val="3B6FB0"/>
          <w:sz w:val="15"/>
          <w:szCs w:val="15"/>
        </w:rPr>
        <w:t xml:space="preserve"> [https://www.federalreserve.gov/supervisionreg/srletters/sr1518.htm]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Quarterly  ·  Cluster: Capital planning &amp; stress testing  ·  Redundancy: Candidate redundancy (intra-level)  ·  Confidence: Medium</w:t>
      </w:r>
    </w:p>
    <w:p>
      <w:pPr>
        <w:spacing w:after="104"/>
      </w:pPr>
      <w:r>
        <w:rPr>
          <w:rFonts w:ascii="Arial" w:cs="Arial" w:eastAsia="Arial" w:hAnsi="Arial"/>
          <w:i/>
          <w:iCs/>
          <w:color w:val="595959"/>
          <w:sz w:val="17"/>
          <w:szCs w:val="17"/>
        </w:rPr>
        <w:t xml:space="preserve">Note: For Category I firms senior management must review the capital-planning process quarterly (vs. semi-annually for Cat II/III).</w:t>
      </w:r>
    </w:p>
    <w:p>
      <w:pPr>
        <w:keepNext/>
        <w:spacing w:after="16" w:before="104"/>
      </w:pPr>
      <w:r>
        <w:rPr>
          <w:rFonts w:ascii="Arial" w:cs="Arial" w:eastAsia="Arial" w:hAnsi="Arial"/>
          <w:b/>
          <w:bCs/>
          <w:color w:val="1F3864"/>
          <w:sz w:val="21"/>
          <w:szCs w:val="21"/>
        </w:rPr>
        <w:t xml:space="preserve">CAP-04  —  Full board  ·  BHC</w:t>
      </w:r>
      <w:r>
        <w:rPr>
          <w:sz w:val="2"/>
          <w:szCs w:val="2"/>
        </w:rPr>
        <w:t xml:space="preserve"/>
      </w:r>
    </w:p>
    <w:p>
      <w:pPr>
        <w:spacing w:after="24"/>
      </w:pPr>
      <w:r>
        <w:rPr>
          <w:rFonts w:ascii="Arial" w:cs="Arial" w:eastAsia="Arial" w:hAnsi="Arial"/>
          <w:sz w:val="21"/>
          <w:szCs w:val="21"/>
        </w:rPr>
        <w:t xml:space="preserve">Board should hold senior management accountable for providing sufficient information on material risks and exposures to inform decisions on capital adequacy and capital actions (including distributions), and should understand the major drivers of projections under baseline and stress scenarios.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15-18 (rev. Jan. 15, 2021), Attachment, sec. III.A.1, p. 4.</w:t>
      </w:r>
      <w:r>
        <w:rPr>
          <w:rFonts w:ascii="Arial" w:cs="Arial" w:eastAsia="Arial" w:hAnsi="Arial"/>
          <w:i/>
          <w:iCs/>
          <w:color w:val="3B6FB0"/>
          <w:sz w:val="15"/>
          <w:szCs w:val="15"/>
        </w:rPr>
        <w:t xml:space="preserve"> [https://www.federalreserve.gov/supervisionreg/srletters/sr1518.htm]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Capital planning &amp; stress testing  ·  Redundancy: Candidate redundancy (intra-level)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CAP-05  —  Full board (capital policy may be delegated to a designated committee)  ·  BHC</w:t>
      </w:r>
      <w:r>
        <w:rPr>
          <w:sz w:val="2"/>
          <w:szCs w:val="2"/>
        </w:rPr>
        <w:t xml:space="preserve"/>
      </w:r>
    </w:p>
    <w:p>
      <w:pPr>
        <w:spacing w:after="24"/>
      </w:pPr>
      <w:r>
        <w:rPr>
          <w:rFonts w:ascii="Arial" w:cs="Arial" w:eastAsia="Arial" w:hAnsi="Arial"/>
          <w:sz w:val="21"/>
          <w:szCs w:val="21"/>
        </w:rPr>
        <w:t xml:space="preserve">Board approves capital-planning policies and reviews them annually, and approves capital planning activities and strategies; the capital policy must be approved by the board or a designated committee of the board and reevaluated at least annually.</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15-18 (rev. Jan. 15, 2021), Attachment, sec. III.A.1, p. 4; sec. III.D (Capital Policy), p. 11, fn. 18 (cites 225.8(e)(1)(iii)).</w:t>
      </w:r>
      <w:r>
        <w:rPr>
          <w:rFonts w:ascii="Arial" w:cs="Arial" w:eastAsia="Arial" w:hAnsi="Arial"/>
          <w:i/>
          <w:iCs/>
          <w:color w:val="3B6FB0"/>
          <w:sz w:val="15"/>
          <w:szCs w:val="15"/>
        </w:rPr>
        <w:t xml:space="preserve"> [https://www.ecfr.gov/current/title-12/chapter-II/part-225/section-225.8]</w:t>
      </w:r>
    </w:p>
    <w:p>
      <w:pPr>
        <w:spacing w:after="6"/>
      </w:pPr>
      <w:r>
        <w:rPr>
          <w:rFonts w:ascii="Arial" w:cs="Arial" w:eastAsia="Arial" w:hAnsi="Arial"/>
          <w:i/>
          <w:iCs/>
          <w:color w:val="7030A0"/>
          <w:sz w:val="17"/>
          <w:szCs w:val="17"/>
        </w:rPr>
        <w:t xml:space="preserve">Legal force: Regulation / enforceable (cross-listed)  ·  Consequence: Enforcement + rating (rule-backed)  ·  Cadence: Annual  ·  Cluster: Capital planning &amp; stress testing  ·  Redundancy: Candidate redundancy (intra-level)  ·  Confidence: Medium</w:t>
      </w:r>
    </w:p>
    <w:p>
      <w:pPr>
        <w:spacing w:after="104"/>
      </w:pPr>
      <w:r>
        <w:rPr>
          <w:rFonts w:ascii="Arial" w:cs="Arial" w:eastAsia="Arial" w:hAnsi="Arial"/>
          <w:i/>
          <w:iCs/>
          <w:color w:val="595959"/>
          <w:sz w:val="17"/>
          <w:szCs w:val="17"/>
        </w:rPr>
        <w:t xml:space="preserve">Note: Clearest committee-delegation distinction in the capital letter.</w:t>
      </w:r>
    </w:p>
    <w:p>
      <w:pPr>
        <w:keepNext/>
        <w:spacing w:after="16" w:before="104"/>
      </w:pPr>
      <w:r>
        <w:rPr>
          <w:rFonts w:ascii="Arial" w:cs="Arial" w:eastAsia="Arial" w:hAnsi="Arial"/>
          <w:b/>
          <w:bCs/>
          <w:color w:val="1F3864"/>
          <w:sz w:val="21"/>
          <w:szCs w:val="21"/>
        </w:rPr>
        <w:t xml:space="preserve">CAP-06  —  Full board  ·  BHC</w:t>
      </w:r>
      <w:r>
        <w:rPr>
          <w:sz w:val="2"/>
          <w:szCs w:val="2"/>
        </w:rPr>
        <w:t xml:space="preserve"/>
      </w:r>
    </w:p>
    <w:p>
      <w:pPr>
        <w:spacing w:after="24"/>
      </w:pPr>
      <w:r>
        <w:rPr>
          <w:rFonts w:ascii="Arial" w:cs="Arial" w:eastAsia="Arial" w:hAnsi="Arial"/>
          <w:sz w:val="21"/>
          <w:szCs w:val="21"/>
        </w:rPr>
        <w:t xml:space="preserve">Board should incorporate uncertainties in projections and limitations in the capital-planning process into its decisions, and review and approve mitigating steps to address process weaknesses; independent-review weaknesses and remediation plans should be reported to the board in a timely manner.</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15-18 (rev. Jan. 15, 2021), Attachment, secs. III.A.1 and III.A.2, p. 4.</w:t>
      </w:r>
      <w:r>
        <w:rPr>
          <w:rFonts w:ascii="Arial" w:cs="Arial" w:eastAsia="Arial" w:hAnsi="Arial"/>
          <w:i/>
          <w:iCs/>
          <w:color w:val="3B6FB0"/>
          <w:sz w:val="15"/>
          <w:szCs w:val="15"/>
        </w:rPr>
        <w:t xml:space="preserve"> [https://www.federalreserve.gov/supervisionreg/srletters/sr1518.htm]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Capital planning &amp; stress testing  ·  Redundancy: Candidate redundancy (intra-level)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CAP-07  —  Full board  ·  BHC</w:t>
      </w:r>
      <w:r>
        <w:rPr>
          <w:sz w:val="2"/>
          <w:szCs w:val="2"/>
        </w:rPr>
        <w:t xml:space="preserve"/>
      </w:r>
    </w:p>
    <w:p>
      <w:pPr>
        <w:spacing w:after="24"/>
      </w:pPr>
      <w:r>
        <w:rPr>
          <w:rFonts w:ascii="Arial" w:cs="Arial" w:eastAsia="Arial" w:hAnsi="Arial"/>
          <w:sz w:val="21"/>
          <w:szCs w:val="21"/>
        </w:rPr>
        <w:t xml:space="preserve">Board should maintain an accurate record of its meetings pertaining to the firm's capital-planning process.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15-18 (rev. Jan. 15, 2021), Attachment, sec. III.A.1, p. 4.</w:t>
      </w:r>
      <w:r>
        <w:rPr>
          <w:rFonts w:ascii="Arial" w:cs="Arial" w:eastAsia="Arial" w:hAnsi="Arial"/>
          <w:i/>
          <w:iCs/>
          <w:color w:val="3B6FB0"/>
          <w:sz w:val="15"/>
          <w:szCs w:val="15"/>
        </w:rPr>
        <w:t xml:space="preserve"> [https://www.federalreserve.gov/supervisionreg/srletters/sr1518.htm]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Capital planning &amp; stress testing  ·  Redundancy: Candidate redundancy (intra-level)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CAP-08  —  Full board / designated committee  ·  BHC</w:t>
      </w:r>
      <w:r>
        <w:rPr>
          <w:sz w:val="2"/>
          <w:szCs w:val="2"/>
        </w:rPr>
        <w:t xml:space="preserve"/>
      </w:r>
    </w:p>
    <w:p>
      <w:pPr>
        <w:spacing w:after="24"/>
      </w:pPr>
      <w:r>
        <w:rPr>
          <w:rFonts w:ascii="Arial" w:cs="Arial" w:eastAsia="Arial" w:hAnsi="Arial"/>
          <w:sz w:val="21"/>
          <w:szCs w:val="21"/>
        </w:rPr>
        <w:t xml:space="preserve">The board-owned capital policy should incorporate actionable protocols (governance and escalation) in the event a post-stress capital goal, real-time targeted capital level, or early-warning metric is breached, including roles for analysis, review, and capital-distribution decisions.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15-18 (rev. Jan. 15, 2021), Attachment, sec. III.D, p. 12.</w:t>
      </w:r>
      <w:r>
        <w:rPr>
          <w:rFonts w:ascii="Arial" w:cs="Arial" w:eastAsia="Arial" w:hAnsi="Arial"/>
          <w:i/>
          <w:iCs/>
          <w:color w:val="3B6FB0"/>
          <w:sz w:val="15"/>
          <w:szCs w:val="15"/>
        </w:rPr>
        <w:t xml:space="preserve"> [https://www.federalreserve.gov/supervisionreg/srletters/sr1518.htm]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Capital planning &amp; stress testing  ·  Redundancy: Candidate redundancy (intra-level)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CAP-09  —  Full board or designated committee  ·  BHC</w:t>
      </w:r>
      <w:r>
        <w:rPr>
          <w:sz w:val="2"/>
          <w:szCs w:val="2"/>
        </w:rPr>
        <w:t xml:space="preserve"/>
      </w:r>
    </w:p>
    <w:p>
      <w:pPr>
        <w:spacing w:after="24"/>
      </w:pPr>
      <w:r>
        <w:rPr>
          <w:rFonts w:ascii="Arial" w:cs="Arial" w:eastAsia="Arial" w:hAnsi="Arial"/>
          <w:sz w:val="21"/>
          <w:szCs w:val="21"/>
        </w:rPr>
        <w:t xml:space="preserve">Board or a designated committee must, at least annually and before submission, review the robustness of the capital-adequacy assessment process, ensure deficiencies are remedied, and approve the capital plan (which must contain a board-approved capital policy).</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Capital plan rule, 12 CFR 225.8 (Reg Y); parallel SLHC rule 12 CFR 238 subpart S, 12 CFR 225.8(e)(1)(iii); 225.8(d).</w:t>
      </w:r>
      <w:r>
        <w:rPr>
          <w:rFonts w:ascii="Arial" w:cs="Arial" w:eastAsia="Arial" w:hAnsi="Arial"/>
          <w:i/>
          <w:iCs/>
          <w:color w:val="3B6FB0"/>
          <w:sz w:val="15"/>
          <w:szCs w:val="15"/>
        </w:rPr>
        <w:t xml:space="preserve"> [https://www.ecfr.gov/current/title-12/chapter-II/part-225/section-225.8]</w:t>
      </w:r>
    </w:p>
    <w:p>
      <w:pPr>
        <w:spacing w:after="6"/>
      </w:pPr>
      <w:r>
        <w:rPr>
          <w:rFonts w:ascii="Arial" w:cs="Arial" w:eastAsia="Arial" w:hAnsi="Arial"/>
          <w:i/>
          <w:iCs/>
          <w:color w:val="7030A0"/>
          <w:sz w:val="17"/>
          <w:szCs w:val="17"/>
        </w:rPr>
        <w:t xml:space="preserve">Legal force: Regulation / enforceable (cross-listed)  ·  Consequence: Enforcement + rating (rule-backed)  ·  Cadence: Annual  ·  Cluster: Capital planning &amp; stress testing  ·  Redundancy: Candidate redundancy (intra-level)  ·  Confidence: High</w:t>
      </w:r>
    </w:p>
    <w:p>
      <w:pPr>
        <w:spacing w:after="104"/>
      </w:pPr>
      <w:r>
        <w:rPr>
          <w:rFonts w:ascii="Arial" w:cs="Arial" w:eastAsia="Arial" w:hAnsi="Arial"/>
          <w:i/>
          <w:iCs/>
          <w:color w:val="595959"/>
          <w:sz w:val="17"/>
          <w:szCs w:val="17"/>
        </w:rPr>
        <w:t xml:space="preserve">Note: Rule provision; cited because the supervisory expectation (SR 15-18) is inseparable from it. SCB calculation frozen until 2027 (Feb. 4, 2026) affects the output, not the board duty.</w:t>
      </w:r>
    </w:p>
    <w:p>
      <w:pPr>
        <w:keepNext/>
        <w:spacing w:after="16" w:before="104"/>
      </w:pPr>
      <w:r>
        <w:rPr>
          <w:rFonts w:ascii="Arial" w:cs="Arial" w:eastAsia="Arial" w:hAnsi="Arial"/>
          <w:b/>
          <w:bCs/>
          <w:color w:val="1F3864"/>
          <w:sz w:val="21"/>
          <w:szCs w:val="21"/>
        </w:rPr>
        <w:t xml:space="preserve">CAP-10  —  Senior management (CFO) — reported to board  ·  BHC</w:t>
      </w:r>
      <w:r>
        <w:rPr>
          <w:sz w:val="2"/>
          <w:szCs w:val="2"/>
        </w:rPr>
        <w:t xml:space="preserve"/>
      </w:r>
    </w:p>
    <w:p>
      <w:pPr>
        <w:spacing w:after="24"/>
      </w:pPr>
      <w:r>
        <w:rPr>
          <w:rFonts w:ascii="Arial" w:cs="Arial" w:eastAsia="Arial" w:hAnsi="Arial"/>
          <w:sz w:val="21"/>
          <w:szCs w:val="21"/>
        </w:rPr>
        <w:t xml:space="preserve">No board-of-directors attestation is required on the FR Y-14A; the FR Y-14A attestation is signed by the CFO (or equivalent senior officer). The board-level instrument is the 225.8(e)/SR 15-18 capital-plan approval. The SCB rule imposes no separate board attestation beyond plan approval.</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CCAR / FR Y-14A capital-plan submission instructions; Stress Capital Buffer framework (12 CFR 217.11 / 225.8), FR Y-14A attestation requirement.</w:t>
      </w:r>
      <w:r>
        <w:rPr>
          <w:rFonts w:ascii="Arial" w:cs="Arial" w:eastAsia="Arial" w:hAnsi="Arial"/>
          <w:i/>
          <w:iCs/>
          <w:color w:val="3B6FB0"/>
          <w:sz w:val="15"/>
          <w:szCs w:val="15"/>
        </w:rPr>
        <w:t xml:space="preserve"> [https://www.ecfr.gov/current/title-12/chapter-II/part-225/section-225.8]</w:t>
      </w:r>
    </w:p>
    <w:p>
      <w:pPr>
        <w:spacing w:after="6"/>
      </w:pPr>
      <w:r>
        <w:rPr>
          <w:rFonts w:ascii="Arial" w:cs="Arial" w:eastAsia="Arial" w:hAnsi="Arial"/>
          <w:i/>
          <w:iCs/>
          <w:color w:val="7030A0"/>
          <w:sz w:val="17"/>
          <w:szCs w:val="17"/>
        </w:rPr>
        <w:t xml:space="preserve">Legal force: Regulation / enforceable (cross-listed)  ·  Consequence: Enforcement + rating (rule-backed)  ·  Cadence: Periodic / ongoing  ·  Cluster: Capital planning &amp; stress testing  ·  Redundancy: Candidate redundancy (intra-level)  ·  Confidence: High</w:t>
      </w:r>
    </w:p>
    <w:p>
      <w:pPr>
        <w:spacing w:after="104"/>
      </w:pPr>
      <w:r>
        <w:rPr>
          <w:rFonts w:ascii="Arial" w:cs="Arial" w:eastAsia="Arial" w:hAnsi="Arial"/>
          <w:i/>
          <w:iCs/>
          <w:color w:val="595959"/>
          <w:sz w:val="17"/>
          <w:szCs w:val="17"/>
        </w:rPr>
        <w:t xml:space="preserve">Note: Frequently misstated. Oct. 2025 FR Y-14 documentation-reduction proposal does not remove the CFO attestation or board approval.</w:t>
      </w:r>
    </w:p>
    <w:p>
      <w:pPr>
        <w:keepNext/>
        <w:spacing w:after="16" w:before="104"/>
      </w:pPr>
      <w:r>
        <w:rPr>
          <w:rFonts w:ascii="Arial" w:cs="Arial" w:eastAsia="Arial" w:hAnsi="Arial"/>
          <w:b/>
          <w:bCs/>
          <w:color w:val="1F3864"/>
          <w:sz w:val="21"/>
          <w:szCs w:val="21"/>
        </w:rPr>
        <w:t xml:space="preserve">CAP-11  —  n/a (superseded for target firms)  ·  BHC</w:t>
      </w:r>
      <w:r>
        <w:rPr>
          <w:rFonts w:ascii="Arial" w:cs="Arial" w:eastAsia="Arial" w:hAnsi="Arial"/>
          <w:b/>
          <w:bCs/>
          <w:color w:val="C00000"/>
          <w:sz w:val="17"/>
          <w:szCs w:val="17"/>
        </w:rPr>
        <w:t xml:space="preserve">  [SUPERSEDED FOR CATEGORY I GSIBS]</w:t>
      </w:r>
    </w:p>
    <w:p>
      <w:pPr>
        <w:spacing w:after="24"/>
      </w:pPr>
      <w:r>
        <w:rPr>
          <w:rFonts w:ascii="Arial" w:cs="Arial" w:eastAsia="Arial" w:hAnsi="Arial"/>
          <w:sz w:val="21"/>
          <w:szCs w:val="21"/>
        </w:rPr>
        <w:t xml:space="preserve">SUPERSEDED for the GSIBs: SR 09-4's board duties (comprehensive dividend policy; board consideration of capital adequacy before distributions) are superseded with respect to firms subject to SR 15-18. For the GSIBs, the operative dividend/repurchase board expectations live in SR 15-18 sec. III.D and 12 CFR 225.8.</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09-4, Applying Supervisory Guidance and Regulations on the Payment of Dividends, Stock Redemptions, and Stock Repurchases at Bank Holding Companies (Feb. 24, 2009), SR 15-18 fn. 5 (supersession).</w:t>
      </w:r>
      <w:r>
        <w:rPr>
          <w:rFonts w:ascii="Arial" w:cs="Arial" w:eastAsia="Arial" w:hAnsi="Arial"/>
          <w:i/>
          <w:iCs/>
          <w:color w:val="3B6FB0"/>
          <w:sz w:val="15"/>
          <w:szCs w:val="15"/>
        </w:rPr>
        <w:t xml:space="preserve"> [https://www.federalreserve.gov/supervisionreg/srletters/sr1518.htm]</w:t>
      </w:r>
    </w:p>
    <w:p>
      <w:pPr>
        <w:spacing w:after="6"/>
      </w:pPr>
      <w:r>
        <w:rPr>
          <w:rFonts w:ascii="Arial" w:cs="Arial" w:eastAsia="Arial" w:hAnsi="Arial"/>
          <w:i/>
          <w:iCs/>
          <w:color w:val="7030A0"/>
          <w:sz w:val="17"/>
          <w:szCs w:val="17"/>
        </w:rPr>
        <w:t xml:space="preserve">Legal force: Superseded guidance  ·  Consequence: None (not current)  ·  Cadence: Periodic / ongoing  ·  Cluster: Capital planning &amp; stress testing  ·  Redundancy: Candidate redundancy (intra-level)  ·  Confidence: High</w:t>
      </w:r>
    </w:p>
    <w:p>
      <w:pPr>
        <w:spacing w:after="104"/>
      </w:pPr>
      <w:r>
        <w:rPr>
          <w:rFonts w:ascii="Arial" w:cs="Arial" w:eastAsia="Arial" w:hAnsi="Arial"/>
          <w:i/>
          <w:iCs/>
          <w:color w:val="595959"/>
          <w:sz w:val="17"/>
          <w:szCs w:val="17"/>
        </w:rPr>
        <w:t xml:space="preserve">Note: Do not cite SR 09-4 as a live GSIB board expectation. Remains active only for smaller BHCs outside SR 15-18/15-19.</w:t>
      </w:r>
    </w:p>
    <w:p>
      <w:pPr>
        <w:keepNext/>
        <w:spacing w:after="16" w:before="104"/>
      </w:pPr>
      <w:r>
        <w:rPr>
          <w:rFonts w:ascii="Arial" w:cs="Arial" w:eastAsia="Arial" w:hAnsi="Arial"/>
          <w:b/>
          <w:bCs/>
          <w:color w:val="1F3864"/>
          <w:sz w:val="21"/>
          <w:szCs w:val="21"/>
        </w:rPr>
        <w:t xml:space="preserve">STR-01  —  Full board  ·  BHC</w:t>
      </w:r>
      <w:r>
        <w:rPr>
          <w:sz w:val="2"/>
          <w:szCs w:val="2"/>
        </w:rPr>
        <w:t xml:space="preserve"/>
      </w:r>
    </w:p>
    <w:p>
      <w:pPr>
        <w:spacing w:after="24"/>
      </w:pPr>
      <w:r>
        <w:rPr>
          <w:rFonts w:ascii="Arial" w:cs="Arial" w:eastAsia="Arial" w:hAnsi="Arial"/>
          <w:sz w:val="21"/>
          <w:szCs w:val="21"/>
        </w:rPr>
        <w:t xml:space="preserve">Board and senior management establish a comprehensive, integrated, and effective stress-testing framework that fits into the broader risk management of the organization; the board is ultimately responsible for ensuring the framework is effective, while senior management implements it.</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12-7, Supervisory Guidance on Stress Testing for Banking Organizations with More Than $10 Billion in Total Consolidated Assets (May 14, 2012), Attachment, Principle/Governance, p. (local ll. 800-806).</w:t>
      </w:r>
      <w:r>
        <w:rPr>
          <w:rFonts w:ascii="Arial" w:cs="Arial" w:eastAsia="Arial" w:hAnsi="Arial"/>
          <w:i/>
          <w:iCs/>
          <w:color w:val="3B6FB0"/>
          <w:sz w:val="15"/>
          <w:szCs w:val="15"/>
        </w:rPr>
        <w:t xml:space="preserve"> [https://www.federalreserve.gov/supervisionreg/srletters/sr1207.htm]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Capital planning &amp; stress testing  ·  Redundancy: Candidate redundancy (intra-level)  ·  Confidence: Medium</w:t>
      </w:r>
    </w:p>
    <w:p>
      <w:pPr>
        <w:spacing w:after="104"/>
      </w:pPr>
      <w:r>
        <w:rPr>
          <w:rFonts w:ascii="Arial" w:cs="Arial" w:eastAsia="Arial" w:hAnsi="Arial"/>
          <w:i/>
          <w:iCs/>
          <w:color w:val="595959"/>
          <w:sz w:val="17"/>
          <w:szCs w:val="17"/>
        </w:rPr>
        <w:t xml:space="preserve">Note: Applies to organizations &gt;$10B; for the GSIBs much CCAR/DFAST governance now runs through SR 15-18, but SR 12-7 states the underlying board framework expectation.</w:t>
      </w:r>
    </w:p>
    <w:p>
      <w:pPr>
        <w:keepNext/>
        <w:spacing w:after="16" w:before="104"/>
      </w:pPr>
      <w:r>
        <w:rPr>
          <w:rFonts w:ascii="Arial" w:cs="Arial" w:eastAsia="Arial" w:hAnsi="Arial"/>
          <w:b/>
          <w:bCs/>
          <w:color w:val="1F3864"/>
          <w:sz w:val="21"/>
          <w:szCs w:val="21"/>
        </w:rPr>
        <w:t xml:space="preserve">STR-02  —  Full board  ·  BHC</w:t>
      </w:r>
      <w:r>
        <w:rPr>
          <w:sz w:val="2"/>
          <w:szCs w:val="2"/>
        </w:rPr>
        <w:t xml:space="preserve"/>
      </w:r>
    </w:p>
    <w:p>
      <w:pPr>
        <w:spacing w:after="24"/>
      </w:pPr>
      <w:r>
        <w:rPr>
          <w:rFonts w:ascii="Arial" w:cs="Arial" w:eastAsia="Arial" w:hAnsi="Arial"/>
          <w:sz w:val="21"/>
          <w:szCs w:val="21"/>
        </w:rPr>
        <w:t xml:space="preserve">Board approves, and annually reviews, written stress-testing policies governing purpose, rigor, roles, controls over external resources, frequency, use of results, and remedial-action triggers.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12-7 (May 14, 2012), Attachment, p. (local ll. 822-838).</w:t>
      </w:r>
      <w:r>
        <w:rPr>
          <w:rFonts w:ascii="Arial" w:cs="Arial" w:eastAsia="Arial" w:hAnsi="Arial"/>
          <w:i/>
          <w:iCs/>
          <w:color w:val="3B6FB0"/>
          <w:sz w:val="15"/>
          <w:szCs w:val="15"/>
        </w:rPr>
        <w:t xml:space="preserve"> [https://www.federalreserve.gov/supervisionreg/srletters/sr1207.htm]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Annual  ·  Cluster: Capital planning &amp; stress testing  ·  Redundancy: Candidate redundancy (intra-level)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STR-03  —  Full board; relevant committees  ·  BHC</w:t>
      </w:r>
      <w:r>
        <w:rPr>
          <w:sz w:val="2"/>
          <w:szCs w:val="2"/>
        </w:rPr>
        <w:t xml:space="preserve"/>
      </w:r>
    </w:p>
    <w:p>
      <w:pPr>
        <w:spacing w:after="24"/>
      </w:pPr>
      <w:r>
        <w:rPr>
          <w:rFonts w:ascii="Arial" w:cs="Arial" w:eastAsia="Arial" w:hAnsi="Arial"/>
          <w:sz w:val="21"/>
          <w:szCs w:val="21"/>
        </w:rPr>
        <w:t xml:space="preserve">Senior management, directly and through relevant committees, regularly reports stress-testing developments, scenarios, results, and policy compliance to the board; board members actively evaluate and discuss the information and direct changes where appropriate.</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12-7 (May 14, 2012), Attachment, p. (local ll. 813-822).</w:t>
      </w:r>
      <w:r>
        <w:rPr>
          <w:rFonts w:ascii="Arial" w:cs="Arial" w:eastAsia="Arial" w:hAnsi="Arial"/>
          <w:i/>
          <w:iCs/>
          <w:color w:val="3B6FB0"/>
          <w:sz w:val="15"/>
          <w:szCs w:val="15"/>
        </w:rPr>
        <w:t xml:space="preserve"> [https://www.federalreserve.gov/supervisionreg/srletters/sr1207.htm]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Capital planning &amp; stress testing  ·  Redundancy: Candidate redundancy (intra-level)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STR-04  —  Full board  ·  BHC</w:t>
      </w:r>
      <w:r>
        <w:rPr>
          <w:sz w:val="2"/>
          <w:szCs w:val="2"/>
        </w:rPr>
        <w:t xml:space="preserve"/>
      </w:r>
    </w:p>
    <w:p>
      <w:pPr>
        <w:spacing w:after="24"/>
      </w:pPr>
      <w:r>
        <w:rPr>
          <w:rFonts w:ascii="Arial" w:cs="Arial" w:eastAsia="Arial" w:hAnsi="Arial"/>
          <w:sz w:val="21"/>
          <w:szCs w:val="21"/>
        </w:rPr>
        <w:t xml:space="preserve">Stress-test results should facilitate board decision-making and inform alignment of the risk profile with risk appetite, operating and strategic decisions, capital and liquidity adequacy, and capital and contingency funding plans.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12-7 (May 14, 2012), Attachment, p. (local ll. 860-872).</w:t>
      </w:r>
      <w:r>
        <w:rPr>
          <w:rFonts w:ascii="Arial" w:cs="Arial" w:eastAsia="Arial" w:hAnsi="Arial"/>
          <w:i/>
          <w:iCs/>
          <w:color w:val="3B6FB0"/>
          <w:sz w:val="15"/>
          <w:szCs w:val="15"/>
        </w:rPr>
        <w:t xml:space="preserve"> [https://www.federalreserve.gov/supervisionreg/srletters/sr1207.htm]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Capital planning &amp; stress testing  ·  Redundancy: Candidate redundancy (intra-level)  ·  Confidence: Medium</w:t>
      </w:r>
    </w:p>
    <w:p>
      <w:pPr>
        <w:spacing w:after="104"/>
      </w:pPr>
      <w:r>
        <w:rPr>
          <w:rFonts w:ascii="Arial" w:cs="Arial" w:eastAsia="Arial" w:hAnsi="Arial"/>
          <w:i/>
          <w:iCs/>
          <w:color w:val="595959"/>
          <w:sz w:val="17"/>
          <w:szCs w:val="17"/>
        </w:rPr>
        <w:t xml:space="preserve">Note: Links stress testing to capital and liquidity governance.</w:t>
      </w:r>
    </w:p>
    <w:p>
      <w:pPr>
        <w:pStyle w:val="Heading2"/>
      </w:pPr>
      <w:r>
        <w:t xml:space="preserve">4. Liquidity risk management</w:t>
      </w:r>
    </w:p>
    <w:p>
      <w:pPr>
        <w:keepNext/>
        <w:spacing w:after="16" w:before="104"/>
      </w:pPr>
      <w:r>
        <w:rPr>
          <w:rFonts w:ascii="Arial" w:cs="Arial" w:eastAsia="Arial" w:hAnsi="Arial"/>
          <w:b/>
          <w:bCs/>
          <w:color w:val="1F3864"/>
          <w:sz w:val="21"/>
          <w:szCs w:val="21"/>
        </w:rPr>
        <w:t xml:space="preserve">LIQ-01  —  Full board  ·  BHC</w:t>
      </w:r>
      <w:r>
        <w:rPr>
          <w:sz w:val="2"/>
          <w:szCs w:val="2"/>
        </w:rPr>
        <w:t xml:space="preserve"/>
      </w:r>
    </w:p>
    <w:p>
      <w:pPr>
        <w:spacing w:after="24"/>
      </w:pPr>
      <w:r>
        <w:rPr>
          <w:rFonts w:ascii="Arial" w:cs="Arial" w:eastAsia="Arial" w:hAnsi="Arial"/>
          <w:sz w:val="21"/>
          <w:szCs w:val="21"/>
        </w:rPr>
        <w:t xml:space="preserve">Board must approve the acceptable level of liquidity risk the firm may assume (liquidity risk tolerance) at least annually, accounting for capital structure, risk profile, complexity, activities, and size.</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Enhanced Prudential Standards, 12 CFR 252.34 (Liquidity risk-management requirements), 12 CFR 252.34(a)(1)(i).</w:t>
      </w:r>
      <w:r>
        <w:rPr>
          <w:rFonts w:ascii="Arial" w:cs="Arial" w:eastAsia="Arial" w:hAnsi="Arial"/>
          <w:i/>
          <w:iCs/>
          <w:color w:val="3B6FB0"/>
          <w:sz w:val="15"/>
          <w:szCs w:val="15"/>
        </w:rPr>
        <w:t xml:space="preserve"> [https://www.ecfr.gov/current/title-12/chapter-II/part-252]</w:t>
      </w:r>
    </w:p>
    <w:p>
      <w:pPr>
        <w:spacing w:after="6"/>
      </w:pPr>
      <w:r>
        <w:rPr>
          <w:rFonts w:ascii="Arial" w:cs="Arial" w:eastAsia="Arial" w:hAnsi="Arial"/>
          <w:i/>
          <w:iCs/>
          <w:color w:val="7030A0"/>
          <w:sz w:val="17"/>
          <w:szCs w:val="17"/>
        </w:rPr>
        <w:t xml:space="preserve">Legal force: Regulation / enforceable (cross-listed)  ·  Consequence: Enforcement + rating (rule-backed)  ·  Cadence: Annual  ·  Cluster: Liquidity risk management  ·  Redundancy: Candidate redundancy  ·  Confidence: High</w:t>
      </w:r>
    </w:p>
    <w:p>
      <w:pPr>
        <w:spacing w:after="104"/>
      </w:pPr>
      <w:r>
        <w:rPr>
          <w:rFonts w:ascii="Arial" w:cs="Arial" w:eastAsia="Arial" w:hAnsi="Arial"/>
          <w:i/>
          <w:iCs/>
          <w:color w:val="595959"/>
          <w:sz w:val="17"/>
          <w:szCs w:val="17"/>
        </w:rPr>
        <w:t xml:space="preserve">Note: This specific approval is assigned to the board, not the risk committee. Rule provision underlying SR 10-6 supervisory expectations.</w:t>
      </w:r>
    </w:p>
    <w:p>
      <w:pPr>
        <w:keepNext/>
        <w:spacing w:after="16" w:before="104"/>
      </w:pPr>
      <w:r>
        <w:rPr>
          <w:rFonts w:ascii="Arial" w:cs="Arial" w:eastAsia="Arial" w:hAnsi="Arial"/>
          <w:b/>
          <w:bCs/>
          <w:color w:val="1F3864"/>
          <w:sz w:val="21"/>
          <w:szCs w:val="21"/>
        </w:rPr>
        <w:t xml:space="preserve">LIQ-02  —  Full board  ·  BHC</w:t>
      </w:r>
      <w:r>
        <w:rPr>
          <w:sz w:val="2"/>
          <w:szCs w:val="2"/>
        </w:rPr>
        <w:t xml:space="preserve"/>
      </w:r>
    </w:p>
    <w:p>
      <w:pPr>
        <w:spacing w:after="24"/>
      </w:pPr>
      <w:r>
        <w:rPr>
          <w:rFonts w:ascii="Arial" w:cs="Arial" w:eastAsia="Arial" w:hAnsi="Arial"/>
          <w:sz w:val="21"/>
          <w:szCs w:val="21"/>
        </w:rPr>
        <w:t xml:space="preserve">Board must receive and review at least semi-annually information from senior management to determine whether the firm is operating in accordance with its established liquidity risk tolerance.</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252.34, 12 CFR 252.34(a)(1)(ii).</w:t>
      </w:r>
      <w:r>
        <w:rPr>
          <w:rFonts w:ascii="Arial" w:cs="Arial" w:eastAsia="Arial" w:hAnsi="Arial"/>
          <w:i/>
          <w:iCs/>
          <w:color w:val="3B6FB0"/>
          <w:sz w:val="15"/>
          <w:szCs w:val="15"/>
        </w:rPr>
        <w:t xml:space="preserve"> [https://www.ecfr.gov/current/title-12/chapter-II/part-252]</w:t>
      </w:r>
    </w:p>
    <w:p>
      <w:pPr>
        <w:spacing w:after="6"/>
      </w:pPr>
      <w:r>
        <w:rPr>
          <w:rFonts w:ascii="Arial" w:cs="Arial" w:eastAsia="Arial" w:hAnsi="Arial"/>
          <w:i/>
          <w:iCs/>
          <w:color w:val="7030A0"/>
          <w:sz w:val="17"/>
          <w:szCs w:val="17"/>
        </w:rPr>
        <w:t xml:space="preserve">Legal force: Regulation / enforceable (cross-listed)  ·  Consequence: Enforcement + rating (rule-backed)  ·  Cadence: Annual  ·  Cluster: Liquidity risk management  ·  Redundancy: Candidate redundancy  ·  Confidence: High</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LIQ-03  —  Full board  ·  BHC</w:t>
      </w:r>
      <w:r>
        <w:rPr>
          <w:sz w:val="2"/>
          <w:szCs w:val="2"/>
        </w:rPr>
        <w:t xml:space="preserve"/>
      </w:r>
    </w:p>
    <w:p>
      <w:pPr>
        <w:spacing w:after="24"/>
      </w:pPr>
      <w:r>
        <w:rPr>
          <w:rFonts w:ascii="Arial" w:cs="Arial" w:eastAsia="Arial" w:hAnsi="Arial"/>
          <w:sz w:val="21"/>
          <w:szCs w:val="21"/>
        </w:rPr>
        <w:t xml:space="preserve">Board must approve and periodically review the liquidity risk-management strategies, policies, and procedures established by senior management.</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252.34, 12 CFR 252.34(a)(2), (c)(1)(i).</w:t>
      </w:r>
      <w:r>
        <w:rPr>
          <w:rFonts w:ascii="Arial" w:cs="Arial" w:eastAsia="Arial" w:hAnsi="Arial"/>
          <w:i/>
          <w:iCs/>
          <w:color w:val="3B6FB0"/>
          <w:sz w:val="15"/>
          <w:szCs w:val="15"/>
        </w:rPr>
        <w:t xml:space="preserve"> [https://www.ecfr.gov/current/title-12/chapter-II/part-252]</w:t>
      </w:r>
    </w:p>
    <w:p>
      <w:pPr>
        <w:spacing w:after="6"/>
      </w:pPr>
      <w:r>
        <w:rPr>
          <w:rFonts w:ascii="Arial" w:cs="Arial" w:eastAsia="Arial" w:hAnsi="Arial"/>
          <w:i/>
          <w:iCs/>
          <w:color w:val="7030A0"/>
          <w:sz w:val="17"/>
          <w:szCs w:val="17"/>
        </w:rPr>
        <w:t xml:space="preserve">Legal force: Regulation / enforceable (cross-listed)  ·  Consequence: Enforcement + rating (rule-backed)  ·  Cadence: Periodic / ongoing  ·  Cluster: Liquidity risk management  ·  Redundancy: Candidate redundancy  ·  Confidence: High</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LIQ-04  —  Risk committee (or board subcommittee)  ·  BHC</w:t>
      </w:r>
      <w:r>
        <w:rPr>
          <w:sz w:val="2"/>
          <w:szCs w:val="2"/>
        </w:rPr>
        <w:t xml:space="preserve"/>
      </w:r>
    </w:p>
    <w:p>
      <w:pPr>
        <w:spacing w:after="24"/>
      </w:pPr>
      <w:r>
        <w:rPr>
          <w:rFonts w:ascii="Arial" w:cs="Arial" w:eastAsia="Arial" w:hAnsi="Arial"/>
          <w:sz w:val="21"/>
          <w:szCs w:val="21"/>
        </w:rPr>
        <w:t xml:space="preserve">The risk committee (or a designated subcommittee composed of board members) must approve the contingency funding plan at least annually and approve any material revisions prior to implementation.</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252.34, 12 CFR 252.34(b).</w:t>
      </w:r>
      <w:r>
        <w:rPr>
          <w:rFonts w:ascii="Arial" w:cs="Arial" w:eastAsia="Arial" w:hAnsi="Arial"/>
          <w:i/>
          <w:iCs/>
          <w:color w:val="3B6FB0"/>
          <w:sz w:val="15"/>
          <w:szCs w:val="15"/>
        </w:rPr>
        <w:t xml:space="preserve"> [https://www.ecfr.gov/current/title-12/chapter-II/part-252]</w:t>
      </w:r>
    </w:p>
    <w:p>
      <w:pPr>
        <w:spacing w:after="6"/>
      </w:pPr>
      <w:r>
        <w:rPr>
          <w:rFonts w:ascii="Arial" w:cs="Arial" w:eastAsia="Arial" w:hAnsi="Arial"/>
          <w:i/>
          <w:iCs/>
          <w:color w:val="7030A0"/>
          <w:sz w:val="17"/>
          <w:szCs w:val="17"/>
        </w:rPr>
        <w:t xml:space="preserve">Legal force: Regulation / enforceable (cross-listed)  ·  Consequence: Enforcement + rating (rule-backed)  ·  Cadence: Annual  ·  Cluster: Liquidity risk management  ·  Redundancy: Candidate redundancy  ·  Confidence: High</w:t>
      </w:r>
    </w:p>
    <w:p>
      <w:pPr>
        <w:spacing w:after="104"/>
      </w:pPr>
      <w:r>
        <w:rPr>
          <w:rFonts w:ascii="Arial" w:cs="Arial" w:eastAsia="Arial" w:hAnsi="Arial"/>
          <w:i/>
          <w:iCs/>
          <w:color w:val="595959"/>
          <w:sz w:val="17"/>
          <w:szCs w:val="17"/>
        </w:rPr>
        <w:t xml:space="preserve">Note: The most committee-specific liquidity expectation.</w:t>
      </w:r>
    </w:p>
    <w:p>
      <w:pPr>
        <w:keepNext/>
        <w:spacing w:after="16" w:before="104"/>
      </w:pPr>
      <w:r>
        <w:rPr>
          <w:rFonts w:ascii="Arial" w:cs="Arial" w:eastAsia="Arial" w:hAnsi="Arial"/>
          <w:b/>
          <w:bCs/>
          <w:color w:val="1F3864"/>
          <w:sz w:val="21"/>
          <w:szCs w:val="21"/>
        </w:rPr>
        <w:t xml:space="preserve">LIQ-05  —  Full board or Risk committee  ·  BHC</w:t>
      </w:r>
      <w:r>
        <w:rPr>
          <w:sz w:val="2"/>
          <w:szCs w:val="2"/>
        </w:rPr>
        <w:t xml:space="preserve"/>
      </w:r>
    </w:p>
    <w:p>
      <w:pPr>
        <w:spacing w:after="24"/>
      </w:pPr>
      <w:r>
        <w:rPr>
          <w:rFonts w:ascii="Arial" w:cs="Arial" w:eastAsia="Arial" w:hAnsi="Arial"/>
          <w:sz w:val="21"/>
          <w:szCs w:val="21"/>
        </w:rPr>
        <w:t xml:space="preserve">Senior management must report to the board or the risk committee regarding the firm's liquidity risk profile and liquidity risk tolerance at least quarterly (more often if warranted).</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252.34, 12 CFR 252.34(c)(2).</w:t>
      </w:r>
      <w:r>
        <w:rPr>
          <w:rFonts w:ascii="Arial" w:cs="Arial" w:eastAsia="Arial" w:hAnsi="Arial"/>
          <w:i/>
          <w:iCs/>
          <w:color w:val="3B6FB0"/>
          <w:sz w:val="15"/>
          <w:szCs w:val="15"/>
        </w:rPr>
        <w:t xml:space="preserve"> [https://www.ecfr.gov/current/title-12/chapter-II/part-252]</w:t>
      </w:r>
    </w:p>
    <w:p>
      <w:pPr>
        <w:spacing w:after="6"/>
      </w:pPr>
      <w:r>
        <w:rPr>
          <w:rFonts w:ascii="Arial" w:cs="Arial" w:eastAsia="Arial" w:hAnsi="Arial"/>
          <w:i/>
          <w:iCs/>
          <w:color w:val="7030A0"/>
          <w:sz w:val="17"/>
          <w:szCs w:val="17"/>
        </w:rPr>
        <w:t xml:space="preserve">Legal force: Regulation / enforceable (cross-listed)  ·  Consequence: Enforcement + rating (rule-backed)  ·  Cadence: Quarterly  ·  Cluster: Liquidity risk management  ·  Redundancy: Candidate redundancy  ·  Confidence: High</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LIQ-06  —  Full board or Risk committee  ·  BHC</w:t>
      </w:r>
      <w:r>
        <w:rPr>
          <w:sz w:val="2"/>
          <w:szCs w:val="2"/>
        </w:rPr>
        <w:t xml:space="preserve"/>
      </w:r>
    </w:p>
    <w:p>
      <w:pPr>
        <w:spacing w:after="24"/>
      </w:pPr>
      <w:r>
        <w:rPr>
          <w:rFonts w:ascii="Arial" w:cs="Arial" w:eastAsia="Arial" w:hAnsi="Arial"/>
          <w:sz w:val="21"/>
          <w:szCs w:val="21"/>
        </w:rPr>
        <w:t xml:space="preserve">The independent review function (independent of funding management) must report material liquidity risk-management issues to the board or the risk committee in writing for corrective action.</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252.34, 12 CFR 252.34(d)(2)(iii).</w:t>
      </w:r>
      <w:r>
        <w:rPr>
          <w:rFonts w:ascii="Arial" w:cs="Arial" w:eastAsia="Arial" w:hAnsi="Arial"/>
          <w:i/>
          <w:iCs/>
          <w:color w:val="3B6FB0"/>
          <w:sz w:val="15"/>
          <w:szCs w:val="15"/>
        </w:rPr>
        <w:t xml:space="preserve"> [https://www.ecfr.gov/current/title-12/chapter-II/part-252]</w:t>
      </w:r>
    </w:p>
    <w:p>
      <w:pPr>
        <w:spacing w:after="6"/>
      </w:pPr>
      <w:r>
        <w:rPr>
          <w:rFonts w:ascii="Arial" w:cs="Arial" w:eastAsia="Arial" w:hAnsi="Arial"/>
          <w:i/>
          <w:iCs/>
          <w:color w:val="7030A0"/>
          <w:sz w:val="17"/>
          <w:szCs w:val="17"/>
        </w:rPr>
        <w:t xml:space="preserve">Legal force: Regulation / enforceable (cross-listed)  ·  Consequence: Enforcement + rating (rule-backed)  ·  Cadence: Periodic / ongoing  ·  Cluster: Liquidity risk management  ·  Redundancy: Candidate redundancy  ·  Confidence: High</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LIQ-07  —  Risk committee (reports to full board)  ·  BHC</w:t>
      </w:r>
      <w:r>
        <w:rPr>
          <w:sz w:val="2"/>
          <w:szCs w:val="2"/>
        </w:rPr>
        <w:t xml:space="preserve"/>
      </w:r>
    </w:p>
    <w:p>
      <w:pPr>
        <w:spacing w:after="24"/>
      </w:pPr>
      <w:r>
        <w:rPr>
          <w:rFonts w:ascii="Arial" w:cs="Arial" w:eastAsia="Arial" w:hAnsi="Arial"/>
          <w:sz w:val="21"/>
          <w:szCs w:val="21"/>
        </w:rPr>
        <w:t xml:space="preserve">Firm must maintain a risk committee that approves and periodically reviews global risk-management policies and oversees the global risk-management framework; the risk committee must report directly to the board, receive and review reports from the CRO at least quarterly, meet at least quarterly, and fully document proceedings. For a Category I GSIB the risk committee must include at least one independent director and a member with risk-management experience.</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252.33 (Risk-management and risk committee requirements), 12 CFR 252.33.</w:t>
      </w:r>
      <w:r>
        <w:rPr>
          <w:rFonts w:ascii="Arial" w:cs="Arial" w:eastAsia="Arial" w:hAnsi="Arial"/>
          <w:i/>
          <w:iCs/>
          <w:color w:val="3B6FB0"/>
          <w:sz w:val="15"/>
          <w:szCs w:val="15"/>
        </w:rPr>
        <w:t xml:space="preserve"> [https://www.ecfr.gov/current/title-12/chapter-II/part-252]</w:t>
      </w:r>
    </w:p>
    <w:p>
      <w:pPr>
        <w:spacing w:after="6"/>
      </w:pPr>
      <w:r>
        <w:rPr>
          <w:rFonts w:ascii="Arial" w:cs="Arial" w:eastAsia="Arial" w:hAnsi="Arial"/>
          <w:i/>
          <w:iCs/>
          <w:color w:val="7030A0"/>
          <w:sz w:val="17"/>
          <w:szCs w:val="17"/>
        </w:rPr>
        <w:t xml:space="preserve">Legal force: Regulation / enforceable (cross-listed)  ·  Consequence: Enforcement + rating (rule-backed)  ·  Cadence: Quarterly  ·  Cluster: Liquidity risk management  ·  Redundancy: Candidate redundancy  ·  Confidence: High</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LIQ-08  —  Full board  ·  Both</w:t>
      </w:r>
      <w:r>
        <w:rPr>
          <w:sz w:val="2"/>
          <w:szCs w:val="2"/>
        </w:rPr>
        <w:t xml:space="preserve"/>
      </w:r>
    </w:p>
    <w:p>
      <w:pPr>
        <w:spacing w:after="24"/>
      </w:pPr>
      <w:r>
        <w:rPr>
          <w:rFonts w:ascii="Arial" w:cs="Arial" w:eastAsia="Arial" w:hAnsi="Arial"/>
          <w:sz w:val="21"/>
          <w:szCs w:val="21"/>
        </w:rPr>
        <w:t xml:space="preserve">Board is ultimately responsible for the liquidity risk assumed by the institution and should ensure the liquidity risk tolerance is established and communicated so that all levels of management understand the trade-offs between liquidity risk and short-term profits.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10-6, Interagency Policy Statement on Funding and Liquidity Risk Management (Mar. 17, 2010; addendum Aug. 1, 2023), Attachment, Corporate Governance, p. 3.</w:t>
      </w:r>
      <w:r>
        <w:rPr>
          <w:rFonts w:ascii="Arial" w:cs="Arial" w:eastAsia="Arial" w:hAnsi="Arial"/>
          <w:i/>
          <w:iCs/>
          <w:color w:val="3B6FB0"/>
          <w:sz w:val="15"/>
          <w:szCs w:val="15"/>
        </w:rPr>
        <w:t xml:space="preserve"> [https://www.federalreserve.gov/supervisionreg/srletters/SR1006.htm]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Liquidity risk management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LIQ-09  —  Full board or delegated board committee  ·  Both</w:t>
      </w:r>
      <w:r>
        <w:rPr>
          <w:sz w:val="2"/>
          <w:szCs w:val="2"/>
        </w:rPr>
        <w:t xml:space="preserve"/>
      </w:r>
    </w:p>
    <w:p>
      <w:pPr>
        <w:spacing w:after="24"/>
      </w:pPr>
      <w:r>
        <w:rPr>
          <w:rFonts w:ascii="Arial" w:cs="Arial" w:eastAsia="Arial" w:hAnsi="Arial"/>
          <w:sz w:val="21"/>
          <w:szCs w:val="21"/>
        </w:rPr>
        <w:t xml:space="preserve">Board or its delegated committee of board members should oversee the establishment and approval of liquidity-management strategies, policies, and procedures, and review them at least annually.</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10-6 (rev. addendum Aug. 1, 2023), Attachment, p. 3.</w:t>
      </w:r>
      <w:r>
        <w:rPr>
          <w:rFonts w:ascii="Arial" w:cs="Arial" w:eastAsia="Arial" w:hAnsi="Arial"/>
          <w:i/>
          <w:iCs/>
          <w:color w:val="3B6FB0"/>
          <w:sz w:val="15"/>
          <w:szCs w:val="15"/>
        </w:rPr>
        <w:t xml:space="preserve"> [https://www.federalreserve.gov/supervisionreg/srletters/SR1006.htm]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Annual  ·  Cluster: Liquidity risk management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LIQ-10  —  Full board  ·  Both</w:t>
      </w:r>
      <w:r>
        <w:rPr>
          <w:sz w:val="2"/>
          <w:szCs w:val="2"/>
        </w:rPr>
        <w:t xml:space="preserve"/>
      </w:r>
    </w:p>
    <w:p>
      <w:pPr>
        <w:spacing w:after="24"/>
      </w:pPr>
      <w:r>
        <w:rPr>
          <w:rFonts w:ascii="Arial" w:cs="Arial" w:eastAsia="Arial" w:hAnsi="Arial"/>
          <w:sz w:val="21"/>
          <w:szCs w:val="21"/>
        </w:rPr>
        <w:t xml:space="preserve">Board should ensure it: understands the nature of the firm's liquidity risks and periodically reviews information to maintain that understanding; establishes executive-level lines of authority and responsibility; enforces management's duties to identify, measure, monitor, and control liquidity risk; understands and periodically reviews contingency funding plans; and understands the liquidity profiles of important subsidiaries/affiliates.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10-6, Attachment, p. 3.</w:t>
      </w:r>
      <w:r>
        <w:rPr>
          <w:rFonts w:ascii="Arial" w:cs="Arial" w:eastAsia="Arial" w:hAnsi="Arial"/>
          <w:i/>
          <w:iCs/>
          <w:color w:val="3B6FB0"/>
          <w:sz w:val="15"/>
          <w:szCs w:val="15"/>
        </w:rPr>
        <w:t xml:space="preserve"> [https://www.federalreserve.gov/supervisionreg/srletters/SR1006.htm]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Liquidity risk management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LIQ-11  —  Full board  ·  Both</w:t>
      </w:r>
      <w:r>
        <w:rPr>
          <w:sz w:val="2"/>
          <w:szCs w:val="2"/>
        </w:rPr>
        <w:t xml:space="preserve"/>
      </w:r>
    </w:p>
    <w:p>
      <w:pPr>
        <w:spacing w:after="24"/>
      </w:pPr>
      <w:r>
        <w:rPr>
          <w:rFonts w:ascii="Arial" w:cs="Arial" w:eastAsia="Arial" w:hAnsi="Arial"/>
          <w:sz w:val="21"/>
          <w:szCs w:val="21"/>
        </w:rPr>
        <w:t xml:space="preserve">Board of directors should receive liquidity risk reports at least quarterly, conveying risk exposure, limit compliance, and consistency of strategies with the board's expressed risk tolerance.</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10-6, Attachment, p. 5.</w:t>
      </w:r>
      <w:r>
        <w:rPr>
          <w:rFonts w:ascii="Arial" w:cs="Arial" w:eastAsia="Arial" w:hAnsi="Arial"/>
          <w:i/>
          <w:iCs/>
          <w:color w:val="3B6FB0"/>
          <w:sz w:val="15"/>
          <w:szCs w:val="15"/>
        </w:rPr>
        <w:t xml:space="preserve"> [https://www.federalreserve.gov/supervisionreg/srletters/SR1006.htm]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Quarterly  ·  Cluster: Liquidity risk management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LIQ-12  —  Full board; senior management  ·  Both</w:t>
      </w:r>
      <w:r>
        <w:rPr>
          <w:sz w:val="2"/>
          <w:szCs w:val="2"/>
        </w:rPr>
        <w:t xml:space="preserve"/>
      </w:r>
    </w:p>
    <w:p>
      <w:pPr>
        <w:spacing w:after="24"/>
      </w:pPr>
      <w:r>
        <w:rPr>
          <w:rFonts w:ascii="Arial" w:cs="Arial" w:eastAsia="Arial" w:hAnsi="Arial"/>
          <w:sz w:val="21"/>
          <w:szCs w:val="21"/>
        </w:rPr>
        <w:t xml:space="preserve">Institutions should maintain, regularly test, and update actionable contingency funding plans across a range of stress scenarios, with explicit direction to boards and management; if the discount window is part of the CFP, establish operational readiness (including periodic test transactions).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10-6, 2023 Addendum: Importance of Contingency Funding Plans (issued July 28, 2023; eff. Aug. 1, 2023; OCC Bulletin 2023-25; FDIC FIL-39-2023), Addendum.</w:t>
      </w:r>
      <w:r>
        <w:rPr>
          <w:rFonts w:ascii="Arial" w:cs="Arial" w:eastAsia="Arial" w:hAnsi="Arial"/>
          <w:i/>
          <w:iCs/>
          <w:color w:val="3B6FB0"/>
          <w:sz w:val="15"/>
          <w:szCs w:val="15"/>
        </w:rPr>
        <w:t xml:space="preserve"> [https://www.federalreserve.gov/supervisionreg/srletters/SR1006.htm]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Liquidity risk management  ·  Redundancy: Candidate redundancy  ·  Confidence: Medium</w:t>
      </w:r>
    </w:p>
    <w:p>
      <w:pPr>
        <w:spacing w:after="104"/>
      </w:pPr>
      <w:r>
        <w:rPr>
          <w:rFonts w:ascii="Arial" w:cs="Arial" w:eastAsia="Arial" w:hAnsi="Arial"/>
          <w:i/>
          <w:iCs/>
          <w:color w:val="595959"/>
          <w:sz w:val="17"/>
          <w:szCs w:val="17"/>
        </w:rPr>
        <w:t xml:space="preserve">Note: Post-2023 tightening; runs counter to the 2025-26 capital-side loosening.</w:t>
      </w:r>
    </w:p>
    <w:p>
      <w:pPr>
        <w:keepNext/>
        <w:spacing w:after="16" w:before="104"/>
      </w:pPr>
      <w:r>
        <w:rPr>
          <w:rFonts w:ascii="Arial" w:cs="Arial" w:eastAsia="Arial" w:hAnsi="Arial"/>
          <w:b/>
          <w:bCs/>
          <w:color w:val="1F3864"/>
          <w:sz w:val="21"/>
          <w:szCs w:val="21"/>
        </w:rPr>
        <w:t xml:space="preserve">LIQ-13  —  Risk committee (CFP); Full board (tolerance); senior management (methodology/buffer)  ·  BHC</w:t>
      </w:r>
      <w:r>
        <w:rPr>
          <w:sz w:val="2"/>
          <w:szCs w:val="2"/>
        </w:rPr>
        <w:t xml:space="preserve"/>
      </w:r>
    </w:p>
    <w:p>
      <w:pPr>
        <w:spacing w:after="24"/>
      </w:pPr>
      <w:r>
        <w:rPr>
          <w:rFonts w:ascii="Arial" w:cs="Arial" w:eastAsia="Arial" w:hAnsi="Arial"/>
          <w:sz w:val="21"/>
          <w:szCs w:val="21"/>
        </w:rPr>
        <w:t xml:space="preserve">No separate board-approval duty exists for the ILST methodology or for LCR/NSFR; senior management approves ILST practices/assumptions, reviews results quarterly, and approves the liquidity buffer. Board/risk-committee hooks run through the risk-tolerance approval (LIQ-01) and the CFP approval (LIQ-04).</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Internal Liquidity Stress Testing, 12 CFR 252.35; LCR (12 CFR 249) and NSFR governance, 12 CFR 252.35; 252.34(c)(6).</w:t>
      </w:r>
      <w:r>
        <w:rPr>
          <w:rFonts w:ascii="Arial" w:cs="Arial" w:eastAsia="Arial" w:hAnsi="Arial"/>
          <w:i/>
          <w:iCs/>
          <w:color w:val="3B6FB0"/>
          <w:sz w:val="15"/>
          <w:szCs w:val="15"/>
        </w:rPr>
        <w:t xml:space="preserve"> [https://www.ecfr.gov/current/title-12/chapter-II/part-252]</w:t>
      </w:r>
    </w:p>
    <w:p>
      <w:pPr>
        <w:spacing w:after="6"/>
      </w:pPr>
      <w:r>
        <w:rPr>
          <w:rFonts w:ascii="Arial" w:cs="Arial" w:eastAsia="Arial" w:hAnsi="Arial"/>
          <w:i/>
          <w:iCs/>
          <w:color w:val="7030A0"/>
          <w:sz w:val="17"/>
          <w:szCs w:val="17"/>
        </w:rPr>
        <w:t xml:space="preserve">Legal force: Regulation / enforceable (cross-listed)  ·  Consequence: Enforcement + rating (rule-backed)  ·  Cadence: Quarterly  ·  Cluster: Liquidity risk management  ·  Redundancy: Candidate redundancy  ·  Confidence: High</w:t>
      </w:r>
    </w:p>
    <w:p>
      <w:pPr>
        <w:spacing w:after="104"/>
      </w:pPr>
      <w:r>
        <w:rPr>
          <w:rFonts w:ascii="Arial" w:cs="Arial" w:eastAsia="Arial" w:hAnsi="Arial"/>
          <w:i/>
          <w:iCs/>
          <w:color w:val="595959"/>
          <w:sz w:val="17"/>
          <w:szCs w:val="17"/>
        </w:rPr>
        <w:t xml:space="preserve">Note: Clarifies the absence of a discrete board ILST/LCR/NSFR attestation.</w:t>
      </w:r>
    </w:p>
    <w:p>
      <w:pPr>
        <w:keepNext/>
        <w:spacing w:after="16" w:before="104"/>
      </w:pPr>
      <w:r>
        <w:rPr>
          <w:rFonts w:ascii="Arial" w:cs="Arial" w:eastAsia="Arial" w:hAnsi="Arial"/>
          <w:b/>
          <w:bCs/>
          <w:color w:val="1F3864"/>
          <w:sz w:val="21"/>
          <w:szCs w:val="21"/>
        </w:rPr>
        <w:t xml:space="preserve">OLQ-01  —  Full board  ·  IDI</w:t>
      </w:r>
      <w:r>
        <w:rPr>
          <w:sz w:val="2"/>
          <w:szCs w:val="2"/>
        </w:rPr>
        <w:t xml:space="preserve"/>
      </w:r>
    </w:p>
    <w:p>
      <w:pPr>
        <w:spacing w:after="24"/>
      </w:pPr>
      <w:r>
        <w:rPr>
          <w:rFonts w:ascii="Arial" w:cs="Arial" w:eastAsia="Arial" w:hAnsi="Arial"/>
          <w:sz w:val="21"/>
          <w:szCs w:val="21"/>
        </w:rPr>
        <w:t xml:space="preserve">Board and management implement an effective liquidity risk-management process supported by reliable, forward-looking MIS; the board sets strategic direction, assesses liquidity risk appetite and the liquidity needed for strategic initiatives, implements policies for business-as-usual and stressed conditions, defines committee/management roles with segregation of execution and oversight, and establishes key liquidity risk limits.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Liquidity, v1.2, Board responsibilities (local ll. ~1260-1282).</w:t>
      </w:r>
      <w:r>
        <w:rPr>
          <w:rFonts w:ascii="Arial" w:cs="Arial" w:eastAsia="Arial" w:hAnsi="Arial"/>
          <w:i/>
          <w:iCs/>
          <w:color w:val="BF8F00"/>
          <w:sz w:val="15"/>
          <w:szCs w:val="15"/>
        </w:rPr>
        <w:t xml:space="preserve">  [URL not captured]</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Liquidity risk management  ·  Redundancy: Candidate redundancy  ·  Confidence: Medium</w:t>
      </w:r>
    </w:p>
    <w:p>
      <w:pPr>
        <w:spacing w:after="104"/>
      </w:pPr>
      <w:r>
        <w:rPr>
          <w:rFonts w:ascii="Arial" w:cs="Arial" w:eastAsia="Arial" w:hAnsi="Arial"/>
          <w:i/>
          <w:iCs/>
          <w:color w:val="595959"/>
          <w:sz w:val="17"/>
          <w:szCs w:val="17"/>
        </w:rPr>
        <w:t xml:space="preserve">Note: IDI-level handbook complement to SR 10-6 and Reg YY.</w:t>
      </w:r>
    </w:p>
    <w:p>
      <w:pPr>
        <w:keepNext/>
        <w:spacing w:after="16" w:before="104"/>
      </w:pPr>
      <w:r>
        <w:rPr>
          <w:rFonts w:ascii="Arial" w:cs="Arial" w:eastAsia="Arial" w:hAnsi="Arial"/>
          <w:b/>
          <w:bCs/>
          <w:color w:val="1F3864"/>
          <w:sz w:val="21"/>
          <w:szCs w:val="21"/>
        </w:rPr>
        <w:t xml:space="preserve">OLQ-02  —  Full board  ·  IDI</w:t>
      </w:r>
      <w:r>
        <w:rPr>
          <w:sz w:val="2"/>
          <w:szCs w:val="2"/>
        </w:rPr>
        <w:t xml:space="preserve"/>
      </w:r>
    </w:p>
    <w:p>
      <w:pPr>
        <w:spacing w:after="24"/>
      </w:pPr>
      <w:r>
        <w:rPr>
          <w:rFonts w:ascii="Arial" w:cs="Arial" w:eastAsia="Arial" w:hAnsi="Arial"/>
          <w:sz w:val="21"/>
          <w:szCs w:val="21"/>
        </w:rPr>
        <w:t xml:space="preserve">Board should regularly receive reports detailing the bank's liquidity position, be immediately informed of material changes in the liquidity risk profile, approve formal liquidity policies and procedures, and (in multibank holding companies) understand the liquidity profile of important affiliates and their impact on the bank.</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Liquidity, v1.2, Board reporting (local ll. ~1273-1295).</w:t>
      </w:r>
      <w:r>
        <w:rPr>
          <w:rFonts w:ascii="Arial" w:cs="Arial" w:eastAsia="Arial" w:hAnsi="Arial"/>
          <w:i/>
          <w:iCs/>
          <w:color w:val="BF8F00"/>
          <w:sz w:val="15"/>
          <w:szCs w:val="15"/>
        </w:rPr>
        <w:t xml:space="preserve">  [URL not captured]</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Liquidity risk management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OLQ-03  —  Full board; audit committee  ·  IDI</w:t>
      </w:r>
      <w:r>
        <w:rPr>
          <w:sz w:val="2"/>
          <w:szCs w:val="2"/>
        </w:rPr>
        <w:t xml:space="preserve"/>
      </w:r>
    </w:p>
    <w:p>
      <w:pPr>
        <w:spacing w:after="24"/>
      </w:pPr>
      <w:r>
        <w:rPr>
          <w:rFonts w:ascii="Arial" w:cs="Arial" w:eastAsia="Arial" w:hAnsi="Arial"/>
          <w:sz w:val="21"/>
          <w:szCs w:val="21"/>
        </w:rPr>
        <w:t xml:space="preserve">Examiners assess whether reporting and escalation processes inform the board of liquidity risks and whether control/reporting deficiencies are reported to the audit committee with remediation plans.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Comptroller's Handbook, Liquidity, v1.2, Examination procedures (local ll. ~3442-3455).</w:t>
      </w:r>
      <w:r>
        <w:rPr>
          <w:rFonts w:ascii="Arial" w:cs="Arial" w:eastAsia="Arial" w:hAnsi="Arial"/>
          <w:i/>
          <w:iCs/>
          <w:color w:val="BF8F00"/>
          <w:sz w:val="15"/>
          <w:szCs w:val="15"/>
        </w:rPr>
        <w:t xml:space="preserve">  [URL not captured]</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Liquidity risk management  ·  Redundancy: Candidate redundancy  ·  Confidence: Medium</w:t>
      </w:r>
    </w:p>
    <w:p>
      <w:pPr>
        <w:spacing w:after="96"/>
      </w:pPr>
      <w:r>
        <w:rPr>
          <w:sz w:val="2"/>
          <w:szCs w:val="2"/>
        </w:rPr>
        <w:t xml:space="preserve"/>
      </w:r>
    </w:p>
    <w:p>
      <w:pPr>
        <w:pStyle w:val="Heading2"/>
      </w:pPr>
      <w:r>
        <w:t xml:space="preserve">5. Resolution planning</w:t>
      </w:r>
    </w:p>
    <w:p>
      <w:pPr>
        <w:keepNext/>
        <w:spacing w:after="16" w:before="104"/>
      </w:pPr>
      <w:r>
        <w:rPr>
          <w:rFonts w:ascii="Arial" w:cs="Arial" w:eastAsia="Arial" w:hAnsi="Arial"/>
          <w:b/>
          <w:bCs/>
          <w:color w:val="1F3864"/>
          <w:sz w:val="21"/>
          <w:szCs w:val="21"/>
        </w:rPr>
        <w:t xml:space="preserve">RES-01  —  Full board (parent and material-entity boards)  ·  Both</w:t>
      </w:r>
      <w:r>
        <w:rPr>
          <w:sz w:val="2"/>
          <w:szCs w:val="2"/>
        </w:rPr>
        <w:t xml:space="preserve"/>
      </w:r>
    </w:p>
    <w:p>
      <w:pPr>
        <w:spacing w:after="24"/>
      </w:pPr>
      <w:r>
        <w:rPr>
          <w:rFonts w:ascii="Arial" w:cs="Arial" w:eastAsia="Arial" w:hAnsi="Arial"/>
          <w:sz w:val="21"/>
          <w:szCs w:val="21"/>
        </w:rPr>
        <w:t xml:space="preserve">Firm should identify governance mechanisms ensuring execution of required board actions at the appropriate time, with pre-action triggers and existing agreements; governance playbooks should detail the board and senior-management actions necessary to facilitate the preferred resolution strategy.</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Final Guidance for the 2019 and Subsequent Resolution Plan Submissions by the Eight Largest, Complex U.S. Banking Organizations (84 FR 1438, Feb. 4, 2019), Section IV (Governance Mechanisms), p. 54.</w:t>
      </w:r>
      <w:r>
        <w:rPr>
          <w:rFonts w:ascii="Arial" w:cs="Arial" w:eastAsia="Arial" w:hAnsi="Arial"/>
          <w:i/>
          <w:iCs/>
          <w:color w:val="BF8F00"/>
          <w:sz w:val="15"/>
          <w:szCs w:val="15"/>
        </w:rPr>
        <w:t xml:space="preserve">  [URL not captured]</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Resolution, recovery &amp; contingency funding  ·  Redundancy: Mixed (parallel-but-justified + candidate redundancy)  ·  Confidence: Medium</w:t>
      </w:r>
    </w:p>
    <w:p>
      <w:pPr>
        <w:spacing w:after="104"/>
      </w:pPr>
      <w:r>
        <w:rPr>
          <w:rFonts w:ascii="Arial" w:cs="Arial" w:eastAsia="Arial" w:hAnsi="Arial"/>
          <w:i/>
          <w:iCs/>
          <w:color w:val="595959"/>
          <w:sz w:val="17"/>
          <w:szCs w:val="17"/>
        </w:rPr>
        <w:t xml:space="preserve">Note: Operative Title I sec.165(d) guidance for the eight U.S. GSIBs (biennial filers); governed the July 2025 submissions. The underlying plan-approval duty is in Regulation QQ, 12 CFR part 243 (a legal obligation).</w:t>
      </w:r>
    </w:p>
    <w:p>
      <w:pPr>
        <w:keepNext/>
        <w:spacing w:after="16" w:before="104"/>
      </w:pPr>
      <w:r>
        <w:rPr>
          <w:rFonts w:ascii="Arial" w:cs="Arial" w:eastAsia="Arial" w:hAnsi="Arial"/>
          <w:b/>
          <w:bCs/>
          <w:color w:val="1F3864"/>
          <w:sz w:val="21"/>
          <w:szCs w:val="21"/>
        </w:rPr>
        <w:t xml:space="preserve">RES-02  —  Full board (group-wide boards)  ·  Both</w:t>
      </w:r>
      <w:r>
        <w:rPr>
          <w:sz w:val="2"/>
          <w:szCs w:val="2"/>
        </w:rPr>
        <w:t xml:space="preserve"/>
      </w:r>
    </w:p>
    <w:p>
      <w:pPr>
        <w:spacing w:after="24"/>
      </w:pPr>
      <w:r>
        <w:rPr>
          <w:rFonts w:ascii="Arial" w:cs="Arial" w:eastAsia="Arial" w:hAnsi="Arial"/>
          <w:sz w:val="21"/>
          <w:szCs w:val="21"/>
        </w:rPr>
        <w:t xml:space="preserve">Governance playbooks should discuss the boards' fiduciary responsibilities and how planned actions are consistent with them, potential conflicts of interest (including interlocking boards of directors), and any employee retention policy; playbooks updated for all entities whose boards would need to act before resolution.</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2019 U.S. GSIB Resolution Plan Guidance (84 FR 1438), Section IV, pp. 54-55.</w:t>
      </w:r>
      <w:r>
        <w:rPr>
          <w:rFonts w:ascii="Arial" w:cs="Arial" w:eastAsia="Arial" w:hAnsi="Arial"/>
          <w:i/>
          <w:iCs/>
          <w:color w:val="BF8F00"/>
          <w:sz w:val="15"/>
          <w:szCs w:val="15"/>
        </w:rPr>
        <w:t xml:space="preserve">  [URL not captured]</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Resolution, recovery &amp; contingency funding  ·  Redundancy: Mixed (parallel-but-justified +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RES-03  —  Full board (filing decision)  ·  Both</w:t>
      </w:r>
      <w:r>
        <w:rPr>
          <w:sz w:val="2"/>
          <w:szCs w:val="2"/>
        </w:rPr>
        <w:t xml:space="preserve"/>
      </w:r>
    </w:p>
    <w:p>
      <w:pPr>
        <w:spacing w:after="24"/>
      </w:pPr>
      <w:r>
        <w:rPr>
          <w:rFonts w:ascii="Arial" w:cs="Arial" w:eastAsia="Arial" w:hAnsi="Arial"/>
          <w:sz w:val="21"/>
          <w:szCs w:val="21"/>
        </w:rPr>
        <w:t xml:space="preserve">Firm should establish triggers for escalation of information to senior management and the board(s) leading to the decision to file for bankruptcy, constructed so that breach allows time for stakeholder communications and requisite board actions.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2019 U.S. GSIB Resolution Plan Guidance (84 FR 1438), Section IV, p. 55.</w:t>
      </w:r>
      <w:r>
        <w:rPr>
          <w:rFonts w:ascii="Arial" w:cs="Arial" w:eastAsia="Arial" w:hAnsi="Arial"/>
          <w:i/>
          <w:iCs/>
          <w:color w:val="BF8F00"/>
          <w:sz w:val="15"/>
          <w:szCs w:val="15"/>
        </w:rPr>
        <w:t xml:space="preserve">  [URL not captured]</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Resolution, recovery &amp; contingency funding  ·  Redundancy: Mixed (parallel-but-justified +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RES-04  —  Full board  ·  Both</w:t>
      </w:r>
      <w:r>
        <w:rPr>
          <w:sz w:val="2"/>
          <w:szCs w:val="2"/>
        </w:rPr>
        <w:t xml:space="preserve"/>
      </w:r>
    </w:p>
    <w:p>
      <w:pPr>
        <w:spacing w:after="24"/>
      </w:pPr>
      <w:r>
        <w:rPr>
          <w:rFonts w:ascii="Arial" w:cs="Arial" w:eastAsia="Arial" w:hAnsi="Arial"/>
          <w:sz w:val="21"/>
          <w:szCs w:val="21"/>
        </w:rPr>
        <w:t xml:space="preserve">The Resolution Liquidity Execution Need (RLEN) estimate should be tied to governance mechanisms and incorporated into playbooks to assist the board of directors in taking timely resolution-related actions.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2019 U.S. GSIB Resolution Plan Guidance (84 FR 1438), Liquidity section, p. 53.</w:t>
      </w:r>
      <w:r>
        <w:rPr>
          <w:rFonts w:ascii="Arial" w:cs="Arial" w:eastAsia="Arial" w:hAnsi="Arial"/>
          <w:i/>
          <w:iCs/>
          <w:color w:val="BF8F00"/>
          <w:sz w:val="15"/>
          <w:szCs w:val="15"/>
        </w:rPr>
        <w:t xml:space="preserve">  [URL not captured]</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Resolution, recovery &amp; contingency funding  ·  Redundancy: Mixed (parallel-but-justified +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RES-05  —  Full board or appropriate committee  ·  IDI</w:t>
      </w:r>
      <w:r>
        <w:rPr>
          <w:sz w:val="2"/>
          <w:szCs w:val="2"/>
        </w:rPr>
        <w:t xml:space="preserve"/>
      </w:r>
    </w:p>
    <w:p>
      <w:pPr>
        <w:spacing w:after="24"/>
      </w:pPr>
      <w:r>
        <w:rPr>
          <w:rFonts w:ascii="Arial" w:cs="Arial" w:eastAsia="Arial" w:hAnsi="Arial"/>
          <w:sz w:val="21"/>
          <w:szCs w:val="21"/>
        </w:rPr>
        <w:t xml:space="preserve">A covered IDI's resolution submission must include procedures for escalating decision-making to senior management or the board of directors (or an appropriate committee thereof).</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FDIC IDI Resolution Plan Rule, 12 CFR 360.10 (89 FR 56620, July 9, 2024; eff. Oct. 1, 2024); implementing FIL-63-2025 (Dec. 31, 2025), 12 CFR 360.10 (content requirements).</w:t>
      </w:r>
      <w:r>
        <w:rPr>
          <w:rFonts w:ascii="Arial" w:cs="Arial" w:eastAsia="Arial" w:hAnsi="Arial"/>
          <w:i/>
          <w:iCs/>
          <w:color w:val="3B6FB0"/>
          <w:sz w:val="15"/>
          <w:szCs w:val="15"/>
        </w:rPr>
        <w:t xml:space="preserve"> [https://www.ecfr.gov/current/title-12/chapter-III/part-360/section-360.10]</w:t>
      </w:r>
    </w:p>
    <w:p>
      <w:pPr>
        <w:spacing w:after="6"/>
      </w:pPr>
      <w:r>
        <w:rPr>
          <w:rFonts w:ascii="Arial" w:cs="Arial" w:eastAsia="Arial" w:hAnsi="Arial"/>
          <w:i/>
          <w:iCs/>
          <w:color w:val="7030A0"/>
          <w:sz w:val="17"/>
          <w:szCs w:val="17"/>
        </w:rPr>
        <w:t xml:space="preserve">Legal force: Regulation / enforceable (cross-listed)  ·  Consequence: Enforcement + rating (rule-backed)  ·  Cadence: Periodic / ongoing  ·  Cluster: Resolution, recovery &amp; contingency funding  ·  Redundancy: Mixed (parallel-but-justified + candidate redundancy)  ·  Confidence: High</w:t>
      </w:r>
    </w:p>
    <w:p>
      <w:pPr>
        <w:spacing w:after="104"/>
      </w:pPr>
      <w:r>
        <w:rPr>
          <w:rFonts w:ascii="Arial" w:cs="Arial" w:eastAsia="Arial" w:hAnsi="Arial"/>
          <w:i/>
          <w:iCs/>
          <w:color w:val="595959"/>
          <w:sz w:val="17"/>
          <w:szCs w:val="17"/>
        </w:rPr>
        <w:t xml:space="preserve">Note: Rule content requirement. April 2025 modified supervisory approach waived speculative/low-value content; FDIC plans to propose rule changes in 2026. U.S. GSIB CIDIs scheduled to file by July 1, 2026 submit only an interim supplement.</w:t>
      </w:r>
    </w:p>
    <w:p>
      <w:pPr>
        <w:pStyle w:val="Heading2"/>
      </w:pPr>
      <w:r>
        <w:t xml:space="preserve">6. Recovery planning</w:t>
      </w:r>
    </w:p>
    <w:p>
      <w:pPr>
        <w:keepNext/>
        <w:spacing w:after="16" w:before="104"/>
      </w:pPr>
      <w:r>
        <w:rPr>
          <w:rFonts w:ascii="Arial" w:cs="Arial" w:eastAsia="Arial" w:hAnsi="Arial"/>
          <w:b/>
          <w:bCs/>
          <w:color w:val="1F3864"/>
          <w:sz w:val="21"/>
          <w:szCs w:val="21"/>
        </w:rPr>
        <w:t xml:space="preserve">REC-01  —  Full board (oversight of capabilities)  ·  BHC</w:t>
      </w:r>
      <w:r>
        <w:rPr>
          <w:sz w:val="2"/>
          <w:szCs w:val="2"/>
        </w:rPr>
        <w:t xml:space="preserve"/>
      </w:r>
    </w:p>
    <w:p>
      <w:pPr>
        <w:spacing w:after="24"/>
      </w:pPr>
      <w:r>
        <w:rPr>
          <w:rFonts w:ascii="Arial" w:cs="Arial" w:eastAsia="Arial" w:hAnsi="Arial"/>
          <w:sz w:val="21"/>
          <w:szCs w:val="21"/>
        </w:rPr>
        <w:t xml:space="preserve">The eight U.S. GSIB BHCs must maintain enumerated recovery/resolution-preparedness capabilities (collateral management; payment, clearing, and settlement obligations; legal-entity funding analysis under stress; MIS producing legal-entity data with integrity controls; robust arrangements for shared/outsourced services), under board and senior-management oversight.</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14-1, Heightened Supervisory Expectations for Recovery and Resolution Preparedness for Certain Large Bank Holding Companies (Jan. 24, 2014), Attachment, Principles and Practices for Recovery and Resolution Preparedness.</w:t>
      </w:r>
      <w:r>
        <w:rPr>
          <w:rFonts w:ascii="Arial" w:cs="Arial" w:eastAsia="Arial" w:hAnsi="Arial"/>
          <w:i/>
          <w:iCs/>
          <w:color w:val="3B6FB0"/>
          <w:sz w:val="15"/>
          <w:szCs w:val="15"/>
        </w:rPr>
        <w:t xml:space="preserve"> [https://www.federalreserve.gov/supervisionreg/srletters/sr1401.htm]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Resolution, recovery &amp; contingency funding  ·  Redundancy: Mixed (parallel-but-justified + candidate redundancy)  ·  Confidence: Medium</w:t>
      </w:r>
    </w:p>
    <w:p>
      <w:pPr>
        <w:spacing w:after="104"/>
      </w:pPr>
      <w:r>
        <w:rPr>
          <w:rFonts w:ascii="Arial" w:cs="Arial" w:eastAsia="Arial" w:hAnsi="Arial"/>
          <w:i/>
          <w:iCs/>
          <w:color w:val="595959"/>
          <w:sz w:val="17"/>
          <w:szCs w:val="17"/>
        </w:rPr>
        <w:t xml:space="preserve">Note: Applies only to the eight U.S. GSIB BHCs (named in fn. 1). Exposed to the 2025-26 deregulatory current; re-verify before reliance.</w:t>
      </w:r>
    </w:p>
    <w:p>
      <w:pPr>
        <w:keepNext/>
        <w:spacing w:after="16" w:before="104"/>
      </w:pPr>
      <w:r>
        <w:rPr>
          <w:rFonts w:ascii="Arial" w:cs="Arial" w:eastAsia="Arial" w:hAnsi="Arial"/>
          <w:b/>
          <w:bCs/>
          <w:color w:val="1F3864"/>
          <w:sz w:val="21"/>
          <w:szCs w:val="21"/>
        </w:rPr>
        <w:t xml:space="preserve">REC-02  —  Full board or designated committee  ·  BHC</w:t>
      </w:r>
      <w:r>
        <w:rPr>
          <w:sz w:val="2"/>
          <w:szCs w:val="2"/>
        </w:rPr>
        <w:t xml:space="preserve"/>
      </w:r>
    </w:p>
    <w:p>
      <w:pPr>
        <w:spacing w:after="24"/>
      </w:pPr>
      <w:r>
        <w:rPr>
          <w:rFonts w:ascii="Arial" w:cs="Arial" w:eastAsia="Arial" w:hAnsi="Arial"/>
          <w:sz w:val="21"/>
          <w:szCs w:val="21"/>
        </w:rPr>
        <w:t xml:space="preserve">Board is responsible for oversight of the firm's recovery planning process; the board, or a designated committee thereof, should focus this oversight on the firm's ability to identify and implement recovery options and oversee management's remediation of weaknesses.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14-8, Consolidated Recovery Planning for Certain Large Domestic Bank Holding Companies (Sept. 25, 2014; revised Oct. 1, 2025), Section 'Role of the Board of Directors'.</w:t>
      </w:r>
      <w:r>
        <w:rPr>
          <w:rFonts w:ascii="Arial" w:cs="Arial" w:eastAsia="Arial" w:hAnsi="Arial"/>
          <w:i/>
          <w:iCs/>
          <w:color w:val="3B6FB0"/>
          <w:sz w:val="15"/>
          <w:szCs w:val="15"/>
        </w:rPr>
        <w:t xml:space="preserve"> [https://www.federalreserve.gov/supervisionreg/srletters/sr1408.htm]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Event-driven  ·  Cluster: Resolution, recovery &amp; contingency funding  ·  Redundancy: Mixed (parallel-but-justified + candidate redundancy)  ·  Confidence: Medium</w:t>
      </w:r>
    </w:p>
    <w:p>
      <w:pPr>
        <w:spacing w:after="104"/>
      </w:pPr>
      <w:r>
        <w:rPr>
          <w:rFonts w:ascii="Arial" w:cs="Arial" w:eastAsia="Arial" w:hAnsi="Arial"/>
          <w:i/>
          <w:iCs/>
          <w:color w:val="595959"/>
          <w:sz w:val="17"/>
          <w:szCs w:val="17"/>
        </w:rPr>
        <w:t xml:space="preserve">Note: Oct. 1, 2025 revision removed reputational-risk references; board-oversight language unchanged. This is the operative recovery-planning board expectation for the GSIBs at the holding-company level.</w:t>
      </w:r>
    </w:p>
    <w:p>
      <w:pPr>
        <w:keepNext/>
        <w:spacing w:after="16" w:before="104"/>
      </w:pPr>
      <w:r>
        <w:rPr>
          <w:rFonts w:ascii="Arial" w:cs="Arial" w:eastAsia="Arial" w:hAnsi="Arial"/>
          <w:b/>
          <w:bCs/>
          <w:color w:val="1F3864"/>
          <w:sz w:val="21"/>
          <w:szCs w:val="21"/>
        </w:rPr>
        <w:t xml:space="preserve">REC-03  —  Full board  ·  BHC</w:t>
      </w:r>
      <w:r>
        <w:rPr>
          <w:sz w:val="2"/>
          <w:szCs w:val="2"/>
        </w:rPr>
        <w:t xml:space="preserve"/>
      </w:r>
    </w:p>
    <w:p>
      <w:pPr>
        <w:spacing w:after="24"/>
      </w:pPr>
      <w:r>
        <w:rPr>
          <w:rFonts w:ascii="Arial" w:cs="Arial" w:eastAsia="Arial" w:hAnsi="Arial"/>
          <w:sz w:val="21"/>
          <w:szCs w:val="21"/>
        </w:rPr>
        <w:t xml:space="preserve">Successful integration should yield timely escalation by management of identified weaknesses and planned responses to the board; the recovery plan's internal-governance element must describe triggers indicating entry into recovery and related escalation procedures, including notification of the board of directors.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14-8 (rev. Oct. 1, 2025), Section 'Supervisory Expectations'; 'Internal Governance' element.</w:t>
      </w:r>
      <w:r>
        <w:rPr>
          <w:rFonts w:ascii="Arial" w:cs="Arial" w:eastAsia="Arial" w:hAnsi="Arial"/>
          <w:i/>
          <w:iCs/>
          <w:color w:val="3B6FB0"/>
          <w:sz w:val="15"/>
          <w:szCs w:val="15"/>
        </w:rPr>
        <w:t xml:space="preserve"> [https://www.federalreserve.gov/supervisionreg/srletters/sr1408.htm]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Resolution, recovery &amp; contingency funding  ·  Redundancy: Mixed (parallel-but-justified +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REC-04  —  n/a (rescinded)  ·  IDI</w:t>
      </w:r>
      <w:r>
        <w:rPr>
          <w:rFonts w:ascii="Arial" w:cs="Arial" w:eastAsia="Arial" w:hAnsi="Arial"/>
          <w:b/>
          <w:bCs/>
          <w:color w:val="C00000"/>
          <w:sz w:val="17"/>
          <w:szCs w:val="17"/>
        </w:rPr>
        <w:t xml:space="preserve">  [RESCINDED EFFECTIVE MAY 1, 2026]</w:t>
      </w:r>
    </w:p>
    <w:p>
      <w:pPr>
        <w:spacing w:after="24"/>
      </w:pPr>
      <w:r>
        <w:rPr>
          <w:rFonts w:ascii="Arial" w:cs="Arial" w:eastAsia="Arial" w:hAnsi="Arial"/>
          <w:sz w:val="21"/>
          <w:szCs w:val="21"/>
        </w:rPr>
        <w:t xml:space="preserve">RESCINDED: Board (or an appropriate committee) was to review and approve the recovery plan at least annually and oversee the recovery-planning process. As of May 1, 2026 this IDI-level board duty no longer exists.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Guidelines Establishing Standards for Recovery Planning, 12 CFR part 30, Appendix E (81 FR 66791, 2016; amended 2018, 2024), App. E, Section III.</w:t>
      </w:r>
      <w:r>
        <w:rPr>
          <w:rFonts w:ascii="Arial" w:cs="Arial" w:eastAsia="Arial" w:hAnsi="Arial"/>
          <w:i/>
          <w:iCs/>
          <w:color w:val="3B6FB0"/>
          <w:sz w:val="15"/>
          <w:szCs w:val="15"/>
        </w:rPr>
        <w:t xml:space="preserve"> [https://www.occ.gov/news-issuances/bulletins/2026/bulletin-2026-10.html]</w:t>
      </w:r>
    </w:p>
    <w:p>
      <w:pPr>
        <w:spacing w:after="6"/>
      </w:pPr>
      <w:r>
        <w:rPr>
          <w:rFonts w:ascii="Arial" w:cs="Arial" w:eastAsia="Arial" w:hAnsi="Arial"/>
          <w:i/>
          <w:iCs/>
          <w:color w:val="7030A0"/>
          <w:sz w:val="17"/>
          <w:szCs w:val="17"/>
        </w:rPr>
        <w:t xml:space="preserve">Legal force: Rescinded / retired  ·  Consequence: None (not current)  ·  Cadence: Annual  ·  Cluster: Resolution, recovery &amp; contingency funding  ·  Redundancy: Mixed (parallel-but-justified + candidate redundancy)  ·  Confidence: High (web-verified)</w:t>
      </w:r>
    </w:p>
    <w:p>
      <w:pPr>
        <w:spacing w:after="104"/>
      </w:pPr>
      <w:r>
        <w:rPr>
          <w:rFonts w:ascii="Arial" w:cs="Arial" w:eastAsia="Arial" w:hAnsi="Arial"/>
          <w:i/>
          <w:iCs/>
          <w:color w:val="595959"/>
          <w:sz w:val="17"/>
          <w:szCs w:val="17"/>
        </w:rPr>
        <w:t xml:space="preserve">Note: Rescission final rule 91 FR 16156 (Apr. 1, 2026); OCC Bulletin 2026-10, which also rescinded the Comptroller's Handbook 'Recovery Planning' booklet and OCC Bulletins 2025-35, 2024-31, 2024-16, 2018-47. OCC will no longer examine for recovery-planning documentation. BHC-level recovery planning continues under FRB SR 14-8 (REC-02).</w:t>
      </w:r>
    </w:p>
    <w:p>
      <w:pPr>
        <w:pStyle w:val="Heading2"/>
      </w:pPr>
      <w:r>
        <w:t xml:space="preserve">7. Operational resilience</w:t>
      </w:r>
    </w:p>
    <w:p>
      <w:pPr>
        <w:keepNext/>
        <w:spacing w:after="16" w:before="104"/>
      </w:pPr>
      <w:r>
        <w:rPr>
          <w:rFonts w:ascii="Arial" w:cs="Arial" w:eastAsia="Arial" w:hAnsi="Arial"/>
          <w:b/>
          <w:bCs/>
          <w:color w:val="1F3864"/>
          <w:sz w:val="21"/>
          <w:szCs w:val="21"/>
        </w:rPr>
        <w:t xml:space="preserve">OPR-01  —  Full board  ·  Both</w:t>
      </w:r>
      <w:r>
        <w:rPr>
          <w:sz w:val="2"/>
          <w:szCs w:val="2"/>
        </w:rPr>
        <w:t xml:space="preserve"/>
      </w:r>
    </w:p>
    <w:p>
      <w:pPr>
        <w:spacing w:after="24"/>
      </w:pPr>
      <w:r>
        <w:rPr>
          <w:rFonts w:ascii="Arial" w:cs="Arial" w:eastAsia="Arial" w:hAnsi="Arial"/>
          <w:sz w:val="21"/>
          <w:szCs w:val="21"/>
        </w:rPr>
        <w:t xml:space="preserve">Board of directors approves and periodically reviews the firm's risk appetite for weathering disruption from operational risks (enterprise-wide and for critical operations and core business lines) and articulates the firm's tolerance for disruption.</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Sound Practices to Strengthen Operational Resilience (Oct. 30, 2020); FRB SR 20-24; OCC Bulletin 2020-94, Governance, sec. 1(a).</w:t>
      </w:r>
      <w:r>
        <w:rPr>
          <w:rFonts w:ascii="Arial" w:cs="Arial" w:eastAsia="Arial" w:hAnsi="Arial"/>
          <w:i/>
          <w:iCs/>
          <w:color w:val="3B6FB0"/>
          <w:sz w:val="15"/>
          <w:szCs w:val="15"/>
        </w:rPr>
        <w:t xml:space="preserve"> [https://www.federalreserve.gov/supervisionreg/srletters/SR2024.htm]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Operational resilience / business continuity  ·  Redundancy: Limited overlap  ·  Confidence: Medium</w:t>
      </w:r>
    </w:p>
    <w:p>
      <w:pPr>
        <w:spacing w:after="104"/>
      </w:pPr>
      <w:r>
        <w:rPr>
          <w:rFonts w:ascii="Arial" w:cs="Arial" w:eastAsia="Arial" w:hAnsi="Arial"/>
          <w:i/>
          <w:iCs/>
          <w:color w:val="595959"/>
          <w:sz w:val="17"/>
          <w:szCs w:val="17"/>
        </w:rPr>
        <w:t xml:space="preserve">Note: Applies to firms &gt;=$250B (or &gt;=$100B with elevated risk metrics) — all eight GSIBs and large IDIs. Paper states it sets no new regulation; consolidates existing expectations.</w:t>
      </w:r>
    </w:p>
    <w:p>
      <w:pPr>
        <w:keepNext/>
        <w:spacing w:after="16" w:before="104"/>
      </w:pPr>
      <w:r>
        <w:rPr>
          <w:rFonts w:ascii="Arial" w:cs="Arial" w:eastAsia="Arial" w:hAnsi="Arial"/>
          <w:b/>
          <w:bCs/>
          <w:color w:val="1F3864"/>
          <w:sz w:val="21"/>
          <w:szCs w:val="21"/>
        </w:rPr>
        <w:t xml:space="preserve">OPR-02  —  Full board  ·  Both</w:t>
      </w:r>
      <w:r>
        <w:rPr>
          <w:sz w:val="2"/>
          <w:szCs w:val="2"/>
        </w:rPr>
        <w:t xml:space="preserve"/>
      </w:r>
    </w:p>
    <w:p>
      <w:pPr>
        <w:spacing w:after="24"/>
      </w:pPr>
      <w:r>
        <w:rPr>
          <w:rFonts w:ascii="Arial" w:cs="Arial" w:eastAsia="Arial" w:hAnsi="Arial"/>
          <w:sz w:val="21"/>
          <w:szCs w:val="21"/>
        </w:rPr>
        <w:t xml:space="preserve">Board works with senior management to confirm operational-resilience practices are led and staffed by individuals with relevant expertise, approves appropriate budgets and resources, and promotes a culture of effective risk management.</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Sound Practices (SR 20-24 / OCC 2020-94), Governance, sec. 1(b).</w:t>
      </w:r>
      <w:r>
        <w:rPr>
          <w:rFonts w:ascii="Arial" w:cs="Arial" w:eastAsia="Arial" w:hAnsi="Arial"/>
          <w:i/>
          <w:iCs/>
          <w:color w:val="3B6FB0"/>
          <w:sz w:val="15"/>
          <w:szCs w:val="15"/>
        </w:rPr>
        <w:t xml:space="preserve"> [https://www.federalreserve.gov/supervisionreg/srletters/SR2024.htm]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Operational resilience / business continuity  ·  Redundancy: Limited overlap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OPR-03  —  Full board  ·  Both</w:t>
      </w:r>
      <w:r>
        <w:rPr>
          <w:sz w:val="2"/>
          <w:szCs w:val="2"/>
        </w:rPr>
        <w:t xml:space="preserve"/>
      </w:r>
    </w:p>
    <w:p>
      <w:pPr>
        <w:spacing w:after="24"/>
      </w:pPr>
      <w:r>
        <w:rPr>
          <w:rFonts w:ascii="Arial" w:cs="Arial" w:eastAsia="Arial" w:hAnsi="Arial"/>
          <w:sz w:val="21"/>
          <w:szCs w:val="21"/>
        </w:rPr>
        <w:t xml:space="preserve">Board oversees the firm's management of operational risk across its business-line operations, its independent operational risk-management function, and its independent internal (or external) audit function.</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Sound Practices (SR 20-24 / OCC 2020-94), Governance, sec. 1(c).</w:t>
      </w:r>
      <w:r>
        <w:rPr>
          <w:rFonts w:ascii="Arial" w:cs="Arial" w:eastAsia="Arial" w:hAnsi="Arial"/>
          <w:i/>
          <w:iCs/>
          <w:color w:val="3B6FB0"/>
          <w:sz w:val="15"/>
          <w:szCs w:val="15"/>
        </w:rPr>
        <w:t xml:space="preserve"> [https://www.federalreserve.gov/supervisionreg/srletters/SR2024.htm]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Operational resilience / business continuity  ·  Redundancy: Limited overlap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OPR-04  —  Full board  ·  Both</w:t>
      </w:r>
      <w:r>
        <w:rPr>
          <w:sz w:val="2"/>
          <w:szCs w:val="2"/>
        </w:rPr>
        <w:t xml:space="preserve"/>
      </w:r>
    </w:p>
    <w:p>
      <w:pPr>
        <w:spacing w:after="24"/>
      </w:pPr>
      <w:r>
        <w:rPr>
          <w:rFonts w:ascii="Arial" w:cs="Arial" w:eastAsia="Arial" w:hAnsi="Arial"/>
          <w:sz w:val="21"/>
          <w:szCs w:val="21"/>
        </w:rPr>
        <w:t xml:space="preserve">Firm conducts continuous surveillance and reporting to senior management and the board sufficient for timely decisions to respond to disruption; the board-set risk appetite/tolerance reflects the scope and level of cyber risk the firm is willing to accept.</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Sound Practices (SR 20-24 / OCC 2020-94), Sec. 7 and 7(c); Appendix A (cyber).</w:t>
      </w:r>
      <w:r>
        <w:rPr>
          <w:rFonts w:ascii="Arial" w:cs="Arial" w:eastAsia="Arial" w:hAnsi="Arial"/>
          <w:i/>
          <w:iCs/>
          <w:color w:val="3B6FB0"/>
          <w:sz w:val="15"/>
          <w:szCs w:val="15"/>
        </w:rPr>
        <w:t xml:space="preserve"> [https://www.federalreserve.gov/supervisionreg/srletters/SR2024.htm]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Operational resilience / business continuity  ·  Redundancy: Limited overlap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OPR-05  —  Full board (may use a business continuity committee)  ·  Both</w:t>
      </w:r>
      <w:r>
        <w:rPr>
          <w:sz w:val="2"/>
          <w:szCs w:val="2"/>
        </w:rPr>
        <w:t xml:space="preserve"/>
      </w:r>
    </w:p>
    <w:p>
      <w:pPr>
        <w:spacing w:after="24"/>
      </w:pPr>
      <w:r>
        <w:rPr>
          <w:rFonts w:ascii="Arial" w:cs="Arial" w:eastAsia="Arial" w:hAnsi="Arial"/>
          <w:sz w:val="21"/>
          <w:szCs w:val="21"/>
        </w:rPr>
        <w:t xml:space="preserve">Board and senior management govern business continuity by defining responsibilities and accountability and allocating adequate resources, set the tone at the top, and consider the entity's entire operations including affiliates and third-party providers; the board reviews BCM results and provides credible challenge to management.</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FFIEC IT Examination Handbook, Business Continuity Management booklet (Nov. 14, 2019; OCC Bulletin 2019-57; FDIC FIL-71-2019), Sec. II.A, Board and Senior Management Responsibilities.</w:t>
      </w:r>
      <w:r>
        <w:rPr>
          <w:rFonts w:ascii="Arial" w:cs="Arial" w:eastAsia="Arial" w:hAnsi="Arial"/>
          <w:i/>
          <w:iCs/>
          <w:color w:val="3B6FB0"/>
          <w:sz w:val="15"/>
          <w:szCs w:val="15"/>
        </w:rPr>
        <w:t xml:space="preserve"> [https://ithandbook.ffiec.gov/]</w:t>
      </w:r>
    </w:p>
    <w:p>
      <w:pPr>
        <w:spacing w:after="6"/>
      </w:pPr>
      <w:r>
        <w:rPr>
          <w:rFonts w:ascii="Arial" w:cs="Arial" w:eastAsia="Arial" w:hAnsi="Arial"/>
          <w:i/>
          <w:iCs/>
          <w:color w:val="7030A0"/>
          <w:sz w:val="17"/>
          <w:szCs w:val="17"/>
        </w:rPr>
        <w:t xml:space="preserve">Legal force: Examination manual  ·  Consequence: Exam findings / MRAs; informs ratings (no direct legal force)  ·  Cadence: Periodic / ongoing  ·  Cluster: Operational resilience / business continuity  ·  Redundancy: Limited overlap  ·  Confidence: Medium</w:t>
      </w:r>
    </w:p>
    <w:p>
      <w:pPr>
        <w:spacing w:after="104"/>
      </w:pPr>
      <w:r>
        <w:rPr>
          <w:rFonts w:ascii="Arial" w:cs="Arial" w:eastAsia="Arial" w:hAnsi="Arial"/>
          <w:i/>
          <w:iCs/>
          <w:color w:val="595959"/>
          <w:sz w:val="17"/>
          <w:szCs w:val="17"/>
        </w:rPr>
        <w:t xml:space="preserve">Note: Cross-referenced by SR 20-24 as the operative BCM source.</w:t>
      </w:r>
    </w:p>
    <w:p>
      <w:pPr>
        <w:pStyle w:val="Heading2"/>
      </w:pPr>
      <w:r>
        <w:t xml:space="preserve">8. Model risk governance</w:t>
      </w:r>
    </w:p>
    <w:p>
      <w:pPr>
        <w:keepNext/>
        <w:spacing w:after="16" w:before="104"/>
      </w:pPr>
      <w:r>
        <w:rPr>
          <w:rFonts w:ascii="Arial" w:cs="Arial" w:eastAsia="Arial" w:hAnsi="Arial"/>
          <w:b/>
          <w:bCs/>
          <w:color w:val="1F3864"/>
          <w:sz w:val="21"/>
          <w:szCs w:val="21"/>
        </w:rPr>
        <w:t xml:space="preserve">MOD-01  —  Not specified (institution's allocation)  ·  Both</w:t>
      </w:r>
      <w:r>
        <w:rPr>
          <w:sz w:val="2"/>
          <w:szCs w:val="2"/>
        </w:rPr>
        <w:t xml:space="preserve"/>
      </w:r>
    </w:p>
    <w:p>
      <w:pPr>
        <w:spacing w:after="24"/>
      </w:pPr>
      <w:r>
        <w:rPr>
          <w:rFonts w:ascii="Arial" w:cs="Arial" w:eastAsia="Arial" w:hAnsi="Arial"/>
          <w:sz w:val="21"/>
          <w:szCs w:val="21"/>
        </w:rPr>
        <w:t xml:space="preserve">CURRENT STANDARD: model governance is supported by clear policies and effective controls, with delineated roles, responsibilities, and accountability; the guidance does NOT specify the board as the locus of model-risk governance, does not require board approval of MRM policy, and sets no board model-risk-tolerance or board-reporting mandate. Allocation among board/management/committee is left to the institution.</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26-2 / OCC Bulletin 2026-13, Revised Guidance on Model Risk Management (Apr. 17, 2026), Sec. VI (Governance and Controls).</w:t>
      </w:r>
      <w:r>
        <w:rPr>
          <w:rFonts w:ascii="Arial" w:cs="Arial" w:eastAsia="Arial" w:hAnsi="Arial"/>
          <w:i/>
          <w:iCs/>
          <w:color w:val="3B6FB0"/>
          <w:sz w:val="15"/>
          <w:szCs w:val="15"/>
        </w:rPr>
        <w:t xml:space="preserve"> [https://www.federalreserve.gov/supervisionreg/srletters/SR2602.htm]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Model risk governance  ·  Redundancy: Mostly removed (2026)  ·  Confidence: High (web-verified)</w:t>
      </w:r>
    </w:p>
    <w:p>
      <w:pPr>
        <w:spacing w:after="104"/>
      </w:pPr>
      <w:r>
        <w:rPr>
          <w:rFonts w:ascii="Arial" w:cs="Arial" w:eastAsia="Arial" w:hAnsi="Arial"/>
          <w:i/>
          <w:iCs/>
          <w:color w:val="595959"/>
          <w:sz w:val="17"/>
          <w:szCs w:val="17"/>
        </w:rPr>
        <w:t xml:space="preserve">Note: Most relevant to organizations &gt;$30B (covers all GSIBs). Explicitly de-prescriptive: 'does not set forth enforceable standards.' Superseded SR 11-7, SR 21-8, OCC 2011-12, OCC 2021-19, OCC 1997-24, and the OCC MRM Handbook booklet. Generative/agentic AI models carved out; interagency AI/MRM RFI forthcoming.</w:t>
      </w:r>
    </w:p>
    <w:p>
      <w:pPr>
        <w:keepNext/>
        <w:spacing w:after="16" w:before="104"/>
      </w:pPr>
      <w:r>
        <w:rPr>
          <w:rFonts w:ascii="Arial" w:cs="Arial" w:eastAsia="Arial" w:hAnsi="Arial"/>
          <w:b/>
          <w:bCs/>
          <w:color w:val="1F3864"/>
          <w:sz w:val="21"/>
          <w:szCs w:val="21"/>
        </w:rPr>
        <w:t xml:space="preserve">MOD-02  —  Full board (superseded)  ·  Both</w:t>
      </w:r>
      <w:r>
        <w:rPr>
          <w:rFonts w:ascii="Arial" w:cs="Arial" w:eastAsia="Arial" w:hAnsi="Arial"/>
          <w:b/>
          <w:bCs/>
          <w:color w:val="C00000"/>
          <w:sz w:val="17"/>
          <w:szCs w:val="17"/>
        </w:rPr>
        <w:t xml:space="preserve">  [SUPERSEDED APR. 17, 2026]</w:t>
      </w:r>
    </w:p>
    <w:p>
      <w:pPr>
        <w:spacing w:after="24"/>
      </w:pPr>
      <w:r>
        <w:rPr>
          <w:rFonts w:ascii="Arial" w:cs="Arial" w:eastAsia="Arial" w:hAnsi="Arial"/>
          <w:sz w:val="21"/>
          <w:szCs w:val="21"/>
        </w:rPr>
        <w:t xml:space="preserve">SUPERSEDED: Board and senior management established a bank-wide model-risk-management framework and set tone; board ensured the level of model risk was within tolerance and directed changes; board received regular reporting on aggregate and individual model risk and on policy compliance.</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11-7 / OCC Bulletin 2011-12 / FDIC FIL-22-2017, Supervisory Guidance on Model Risk Management (Apr. 4, 2011), Governance, Policies, and Controls (Board of Directors and Senior Management).</w:t>
      </w:r>
      <w:r>
        <w:rPr>
          <w:rFonts w:ascii="Arial" w:cs="Arial" w:eastAsia="Arial" w:hAnsi="Arial"/>
          <w:i/>
          <w:iCs/>
          <w:color w:val="BF8F00"/>
          <w:sz w:val="15"/>
          <w:szCs w:val="15"/>
        </w:rPr>
        <w:t xml:space="preserve">  [URL not captured]</w:t>
      </w:r>
    </w:p>
    <w:p>
      <w:pPr>
        <w:spacing w:after="6"/>
      </w:pPr>
      <w:r>
        <w:rPr>
          <w:rFonts w:ascii="Arial" w:cs="Arial" w:eastAsia="Arial" w:hAnsi="Arial"/>
          <w:i/>
          <w:iCs/>
          <w:color w:val="7030A0"/>
          <w:sz w:val="17"/>
          <w:szCs w:val="17"/>
        </w:rPr>
        <w:t xml:space="preserve">Legal force: Superseded guidance  ·  Consequence: None (not current)  ·  Cadence: Periodic / ongoing  ·  Cluster: Model risk governance  ·  Redundancy: Mostly removed (2026)  ·  Confidence: Medium</w:t>
      </w:r>
    </w:p>
    <w:p>
      <w:pPr>
        <w:spacing w:after="104"/>
      </w:pPr>
      <w:r>
        <w:rPr>
          <w:rFonts w:ascii="Arial" w:cs="Arial" w:eastAsia="Arial" w:hAnsi="Arial"/>
          <w:i/>
          <w:iCs/>
          <w:color w:val="595959"/>
          <w:sz w:val="17"/>
          <w:szCs w:val="17"/>
        </w:rPr>
        <w:t xml:space="preserve">Note: Documented for contrast: these explicit board duties were eliminated by SR 26-2 / OCC 2026-13. Residual board model-risk oversight now flows only indirectly via the OCC Heightened Standards risk-governance framework (GOV-21 et seq.) and firms' own SR 21-3 practices.</w:t>
      </w:r>
    </w:p>
    <w:p>
      <w:pPr>
        <w:pStyle w:val="Heading2"/>
      </w:pPr>
      <w:r>
        <w:t xml:space="preserve">9. Third-party risk management</w:t>
      </w:r>
    </w:p>
    <w:p>
      <w:pPr>
        <w:keepNext/>
        <w:spacing w:after="16" w:before="104"/>
      </w:pPr>
      <w:r>
        <w:rPr>
          <w:rFonts w:ascii="Arial" w:cs="Arial" w:eastAsia="Arial" w:hAnsi="Arial"/>
          <w:b/>
          <w:bCs/>
          <w:color w:val="1F3864"/>
          <w:sz w:val="21"/>
          <w:szCs w:val="21"/>
        </w:rPr>
        <w:t xml:space="preserve">TPR-01  —  Full board (committee may be designated)  ·  Both</w:t>
      </w:r>
      <w:r>
        <w:rPr>
          <w:sz w:val="2"/>
          <w:szCs w:val="2"/>
        </w:rPr>
        <w:t xml:space="preserve"/>
      </w:r>
    </w:p>
    <w:p>
      <w:pPr>
        <w:spacing w:after="24"/>
      </w:pPr>
      <w:r>
        <w:rPr>
          <w:rFonts w:ascii="Arial" w:cs="Arial" w:eastAsia="Arial" w:hAnsi="Arial"/>
          <w:sz w:val="21"/>
          <w:szCs w:val="21"/>
        </w:rPr>
        <w:t xml:space="preserve">Board has ultimate responsibility for providing oversight of third-party risk management and holding management accountable; provides clear guidance on acceptable risk appetite, approves appropriate policies, and ensures appropriate procedures and practices are established.</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Interagency Guidance on Third-Party Relationships: Risk Management (88 FR 37920, June 9, 2023); FRB SR 23-4; OCC Bulletin 2023-17; FDIC FIL-29-2023, Sec. D.1 (Oversight and Accountability), p. 20.</w:t>
      </w:r>
      <w:r>
        <w:rPr>
          <w:rFonts w:ascii="Arial" w:cs="Arial" w:eastAsia="Arial" w:hAnsi="Arial"/>
          <w:i/>
          <w:iCs/>
          <w:color w:val="3B6FB0"/>
          <w:sz w:val="15"/>
          <w:szCs w:val="15"/>
        </w:rPr>
        <w:t xml:space="preserve"> [https://www.federalreserve.gov/supervisionreg/srletters/sr2304.htm]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Third-party risk management  ·  Redundancy: Candidate redundancy  ·  Confidence: Medium</w:t>
      </w:r>
    </w:p>
    <w:p>
      <w:pPr>
        <w:spacing w:after="104"/>
      </w:pPr>
      <w:r>
        <w:rPr>
          <w:rFonts w:ascii="Arial" w:cs="Arial" w:eastAsia="Arial" w:hAnsi="Arial"/>
          <w:i/>
          <w:iCs/>
          <w:color w:val="595959"/>
          <w:sz w:val="17"/>
          <w:szCs w:val="17"/>
        </w:rPr>
        <w:t xml:space="preserve">Note: Survived the 2025-26 deregulatory wave intact. Rescinded prior OCC 2013-29, SR 13-19/CA 13-21, FDIC FIL-44-2008.</w:t>
      </w:r>
    </w:p>
    <w:p>
      <w:pPr>
        <w:keepNext/>
        <w:spacing w:after="16" w:before="104"/>
      </w:pPr>
      <w:r>
        <w:rPr>
          <w:rFonts w:ascii="Arial" w:cs="Arial" w:eastAsia="Arial" w:hAnsi="Arial"/>
          <w:b/>
          <w:bCs/>
          <w:color w:val="1F3864"/>
          <w:sz w:val="21"/>
          <w:szCs w:val="21"/>
        </w:rPr>
        <w:t xml:space="preserve">TPR-02  —  Full board or designated board committee  ·  Both</w:t>
      </w:r>
      <w:r>
        <w:rPr>
          <w:sz w:val="2"/>
          <w:szCs w:val="2"/>
        </w:rPr>
        <w:t xml:space="preserve"/>
      </w:r>
    </w:p>
    <w:p>
      <w:pPr>
        <w:spacing w:after="24"/>
      </w:pPr>
      <w:r>
        <w:rPr>
          <w:rFonts w:ascii="Arial" w:cs="Arial" w:eastAsia="Arial" w:hAnsi="Arial"/>
          <w:sz w:val="21"/>
          <w:szCs w:val="21"/>
        </w:rPr>
        <w:t xml:space="preserve">Board (or a designated board committee) typically considers whether third-party relationships align with strategic goals and risk appetite and comply with law; whether there is appropriate periodic reporting on planning, due diligence, contracting, and ongoing monitoring; and whether management has remedied significant performance deterioration or material issues.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Interagency Third-Party Guidance (SR 23-4 / OCC 2023-17 / FIL-29-2023), Sec. D.1, p. 20.</w:t>
      </w:r>
      <w:r>
        <w:rPr>
          <w:rFonts w:ascii="Arial" w:cs="Arial" w:eastAsia="Arial" w:hAnsi="Arial"/>
          <w:i/>
          <w:iCs/>
          <w:color w:val="3B6FB0"/>
          <w:sz w:val="15"/>
          <w:szCs w:val="15"/>
        </w:rPr>
        <w:t xml:space="preserve"> [https://www.federalreserve.gov/supervisionreg/srletters/sr2304.htm]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Event-driven  ·  Cluster: Third-party risk management  ·  Redundancy: Candidate redundancy  ·  Confidence: Medium</w:t>
      </w:r>
    </w:p>
    <w:p>
      <w:pPr>
        <w:spacing w:after="104"/>
      </w:pPr>
      <w:r>
        <w:rPr>
          <w:rFonts w:ascii="Arial" w:cs="Arial" w:eastAsia="Arial" w:hAnsi="Arial"/>
          <w:i/>
          <w:iCs/>
          <w:color w:val="595959"/>
          <w:sz w:val="17"/>
          <w:szCs w:val="17"/>
        </w:rPr>
        <w:t xml:space="preserve">Note: Guidance does not specify which committee.</w:t>
      </w:r>
    </w:p>
    <w:p>
      <w:pPr>
        <w:keepNext/>
        <w:spacing w:after="16" w:before="104"/>
      </w:pPr>
      <w:r>
        <w:rPr>
          <w:rFonts w:ascii="Arial" w:cs="Arial" w:eastAsia="Arial" w:hAnsi="Arial"/>
          <w:b/>
          <w:bCs/>
          <w:color w:val="1F3864"/>
          <w:sz w:val="21"/>
          <w:szCs w:val="21"/>
        </w:rPr>
        <w:t xml:space="preserve">TPR-03  —  Full board (delegation permitted)  ·  Both</w:t>
      </w:r>
      <w:r>
        <w:rPr>
          <w:sz w:val="2"/>
          <w:szCs w:val="2"/>
        </w:rPr>
        <w:t xml:space="preserve"/>
      </w:r>
    </w:p>
    <w:p>
      <w:pPr>
        <w:spacing w:after="24"/>
      </w:pPr>
      <w:r>
        <w:rPr>
          <w:rFonts w:ascii="Arial" w:cs="Arial" w:eastAsia="Arial" w:hAnsi="Arial"/>
          <w:sz w:val="21"/>
          <w:szCs w:val="21"/>
        </w:rPr>
        <w:t xml:space="preserve">As part of oversight, the board should be aware of and, as appropriate, may approve or delegate approval of contracts involving higher-risk activities.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Interagency Third-Party Guidance (SR 23-4 / OCC 2023-17 / FIL-29-2023), Sec. C.3 (Contract Negotiation), p. 11.</w:t>
      </w:r>
      <w:r>
        <w:rPr>
          <w:rFonts w:ascii="Arial" w:cs="Arial" w:eastAsia="Arial" w:hAnsi="Arial"/>
          <w:i/>
          <w:iCs/>
          <w:color w:val="3B6FB0"/>
          <w:sz w:val="15"/>
          <w:szCs w:val="15"/>
        </w:rPr>
        <w:t xml:space="preserve"> [https://www.federalreserve.gov/supervisionreg/srletters/sr2304.htm]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Third-party risk management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TPR-04  —  Full board or designated committee  ·  Both</w:t>
      </w:r>
      <w:r>
        <w:rPr>
          <w:sz w:val="2"/>
          <w:szCs w:val="2"/>
        </w:rPr>
        <w:t xml:space="preserve"/>
      </w:r>
    </w:p>
    <w:p>
      <w:pPr>
        <w:spacing w:after="24"/>
      </w:pPr>
      <w:r>
        <w:rPr>
          <w:rFonts w:ascii="Arial" w:cs="Arial" w:eastAsia="Arial" w:hAnsi="Arial"/>
          <w:sz w:val="21"/>
          <w:szCs w:val="21"/>
        </w:rPr>
        <w:t xml:space="preserve">When critical activities are involved, plans may be presented to and approved by the board of directors (or a designated board committee).</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Interagency Third-Party Guidance (SR 23-4 / OCC 2023-17 / FIL-29-2023), Sec. C.1 (Planning), p. 4.</w:t>
      </w:r>
      <w:r>
        <w:rPr>
          <w:rFonts w:ascii="Arial" w:cs="Arial" w:eastAsia="Arial" w:hAnsi="Arial"/>
          <w:i/>
          <w:iCs/>
          <w:color w:val="3B6FB0"/>
          <w:sz w:val="15"/>
          <w:szCs w:val="15"/>
        </w:rPr>
        <w:t xml:space="preserve"> [https://www.federalreserve.gov/supervisionreg/srletters/sr2304.htm]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Event-driven  ·  Cluster: Third-party risk management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TPR-05  —  Full board (escalation recipient)  ·  Both</w:t>
      </w:r>
      <w:r>
        <w:rPr>
          <w:sz w:val="2"/>
          <w:szCs w:val="2"/>
        </w:rPr>
        <w:t xml:space="preserve"/>
      </w:r>
    </w:p>
    <w:p>
      <w:pPr>
        <w:spacing w:after="24"/>
      </w:pPr>
      <w:r>
        <w:rPr>
          <w:rFonts w:ascii="Arial" w:cs="Arial" w:eastAsia="Arial" w:hAnsi="Arial"/>
          <w:sz w:val="21"/>
          <w:szCs w:val="21"/>
        </w:rPr>
        <w:t xml:space="preserve">Management escalates significant issues to the board and monitors resulting remediation; independent-review issues are escalated to the board as appropriate.</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Interagency Third-Party Guidance (SR 23-4 / OCC 2023-17 / FIL-29-2023), Secs. D.1 and D.2 (Independent Reviews), pp. 21-22.</w:t>
      </w:r>
      <w:r>
        <w:rPr>
          <w:rFonts w:ascii="Arial" w:cs="Arial" w:eastAsia="Arial" w:hAnsi="Arial"/>
          <w:i/>
          <w:iCs/>
          <w:color w:val="3B6FB0"/>
          <w:sz w:val="15"/>
          <w:szCs w:val="15"/>
        </w:rPr>
        <w:t xml:space="preserve"> [https://www.federalreserve.gov/supervisionreg/srletters/sr2304.htm]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Third-party risk management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TPR-06  —  Full board or designated committee  ·  Both</w:t>
      </w:r>
      <w:r>
        <w:rPr>
          <w:sz w:val="2"/>
          <w:szCs w:val="2"/>
        </w:rPr>
        <w:t xml:space="preserve"/>
      </w:r>
    </w:p>
    <w:p>
      <w:pPr>
        <w:spacing w:after="24"/>
      </w:pPr>
      <w:r>
        <w:rPr>
          <w:rFonts w:ascii="Arial" w:cs="Arial" w:eastAsia="Arial" w:hAnsi="Arial"/>
          <w:sz w:val="21"/>
          <w:szCs w:val="21"/>
        </w:rPr>
        <w:t xml:space="preserve">Documentation and reporting should support board oversight, including reporting on dependency on a single third party for multiple activities or other concentrations.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Interagency Guidance on Third-Party Relationships: Risk Management (88 FR 37920, 2023); SR 23-4; OCC 2023-17; FDIC FIL-29-2023, Sec. D (local ll. ~1092-1124).</w:t>
      </w:r>
      <w:r>
        <w:rPr>
          <w:rFonts w:ascii="Arial" w:cs="Arial" w:eastAsia="Arial" w:hAnsi="Arial"/>
          <w:i/>
          <w:iCs/>
          <w:color w:val="3B6FB0"/>
          <w:sz w:val="15"/>
          <w:szCs w:val="15"/>
        </w:rPr>
        <w:t xml:space="preserve"> [https://www.federalreserve.gov/supervisionreg/srletters/sr2304.htm]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Third-party risk management  ·  Redundancy: Candidate redundancy  ·  Confidence: Medium</w:t>
      </w:r>
    </w:p>
    <w:p>
      <w:pPr>
        <w:spacing w:after="104"/>
      </w:pPr>
      <w:r>
        <w:rPr>
          <w:rFonts w:ascii="Arial" w:cs="Arial" w:eastAsia="Arial" w:hAnsi="Arial"/>
          <w:i/>
          <w:iCs/>
          <w:color w:val="595959"/>
          <w:sz w:val="17"/>
          <w:szCs w:val="17"/>
        </w:rPr>
        <w:t xml:space="preserve">Note: Particularly relevant to GSIB operational resilience and concentration risk.</w:t>
      </w:r>
    </w:p>
    <w:p>
      <w:pPr>
        <w:keepNext/>
        <w:spacing w:after="16" w:before="104"/>
      </w:pPr>
      <w:r>
        <w:rPr>
          <w:rFonts w:ascii="Arial" w:cs="Arial" w:eastAsia="Arial" w:hAnsi="Arial"/>
          <w:b/>
          <w:bCs/>
          <w:color w:val="1F3864"/>
          <w:sz w:val="21"/>
          <w:szCs w:val="21"/>
        </w:rPr>
        <w:t xml:space="preserve">TPR-07  —  Full board; management  ·  IDI (consumer)</w:t>
      </w:r>
      <w:r>
        <w:rPr>
          <w:sz w:val="2"/>
          <w:szCs w:val="2"/>
        </w:rPr>
        <w:t xml:space="preserve"/>
      </w:r>
    </w:p>
    <w:p>
      <w:pPr>
        <w:spacing w:after="24"/>
      </w:pPr>
      <w:r>
        <w:rPr>
          <w:rFonts w:ascii="Arial" w:cs="Arial" w:eastAsia="Arial" w:hAnsi="Arial"/>
          <w:sz w:val="21"/>
          <w:szCs w:val="21"/>
        </w:rPr>
        <w:t xml:space="preserve">Board and management should conduct ongoing due diligence and oversight of service providers — including their policies, procedures, internal controls, and training — to ensure compliance with Federal consumer financial laws.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CFPB Supervision and Examination Manual, Compliance Management Review, CMR service-provider oversight (local ll. ~2921-2944).</w:t>
      </w:r>
      <w:r>
        <w:rPr>
          <w:rFonts w:ascii="Arial" w:cs="Arial" w:eastAsia="Arial" w:hAnsi="Arial"/>
          <w:i/>
          <w:iCs/>
          <w:color w:val="3B6FB0"/>
          <w:sz w:val="15"/>
          <w:szCs w:val="15"/>
        </w:rPr>
        <w:t xml:space="preserve"> [https://www.consumerfinance.gov/compliance/supervision-examinations/]</w:t>
      </w:r>
    </w:p>
    <w:p>
      <w:pPr>
        <w:spacing w:after="6"/>
      </w:pPr>
      <w:r>
        <w:rPr>
          <w:rFonts w:ascii="Arial" w:cs="Arial" w:eastAsia="Arial" w:hAnsi="Arial"/>
          <w:i/>
          <w:iCs/>
          <w:color w:val="7030A0"/>
          <w:sz w:val="17"/>
          <w:szCs w:val="17"/>
        </w:rPr>
        <w:t xml:space="preserve">Legal force: Supervisory guidance  ·  Consequence: Minimal in 2026 (CFPB supervision curtailed)  ·  Cadence: Periodic / ongoing  ·  Cluster: Third-party risk management  ·  Redundancy: Candidate redundancy  ·  Confidence: Medium</w:t>
      </w:r>
    </w:p>
    <w:p>
      <w:pPr>
        <w:spacing w:after="104"/>
      </w:pPr>
      <w:r>
        <w:rPr>
          <w:rFonts w:ascii="Arial" w:cs="Arial" w:eastAsia="Arial" w:hAnsi="Arial"/>
          <w:i/>
          <w:iCs/>
          <w:color w:val="595959"/>
          <w:sz w:val="17"/>
          <w:szCs w:val="17"/>
        </w:rPr>
        <w:t xml:space="preserve">Note: Consumer-compliance overlay on interagency third-party guidance.</w:t>
      </w:r>
    </w:p>
    <w:p>
      <w:pPr>
        <w:pStyle w:val="Heading2"/>
      </w:pPr>
      <w:r>
        <w:t xml:space="preserve">10. Incentive compensation</w:t>
      </w:r>
    </w:p>
    <w:p>
      <w:pPr>
        <w:keepNext/>
        <w:spacing w:after="16" w:before="104"/>
      </w:pPr>
      <w:r>
        <w:rPr>
          <w:rFonts w:ascii="Arial" w:cs="Arial" w:eastAsia="Arial" w:hAnsi="Arial"/>
          <w:b/>
          <w:bCs/>
          <w:color w:val="1F3864"/>
          <w:sz w:val="21"/>
          <w:szCs w:val="21"/>
        </w:rPr>
        <w:t xml:space="preserve">INC-01  —  Full board or delegated committee (compensation committee in practice)  ·  Both</w:t>
      </w:r>
      <w:r>
        <w:rPr>
          <w:sz w:val="2"/>
          <w:szCs w:val="2"/>
        </w:rPr>
        <w:t xml:space="preserve"/>
      </w:r>
    </w:p>
    <w:p>
      <w:pPr>
        <w:spacing w:after="24"/>
      </w:pPr>
      <w:r>
        <w:rPr>
          <w:rFonts w:ascii="Arial" w:cs="Arial" w:eastAsia="Arial" w:hAnsi="Arial"/>
          <w:sz w:val="21"/>
          <w:szCs w:val="21"/>
        </w:rPr>
        <w:t xml:space="preserve">Board of a large banking organization should actively oversee the development and operation of the organization's incentive-compensation policies, systems, and related control processes.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Guidance on Sound Incentive Compensation Policies (75 FR 36395, June 25, 2010); OCC Bulletin 2010-24, Principle 3 (Strong Corporate Governance).</w:t>
      </w:r>
      <w:r>
        <w:rPr>
          <w:rFonts w:ascii="Arial" w:cs="Arial" w:eastAsia="Arial" w:hAnsi="Arial"/>
          <w:i/>
          <w:iCs/>
          <w:color w:val="3B6FB0"/>
          <w:sz w:val="15"/>
          <w:szCs w:val="15"/>
        </w:rPr>
        <w:t xml:space="preserve"> [https://www.federalregister.gov/documents/2010/06/25/2010-15435/guidance-on-sound-incentive-compensation-policies]</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Incentive compensation  ·  Redundancy: Candidate redundancy  ·  Confidence: Medium</w:t>
      </w:r>
    </w:p>
    <w:p>
      <w:pPr>
        <w:spacing w:after="104"/>
      </w:pPr>
      <w:r>
        <w:rPr>
          <w:rFonts w:ascii="Arial" w:cs="Arial" w:eastAsia="Arial" w:hAnsi="Arial"/>
          <w:i/>
          <w:iCs/>
          <w:color w:val="595959"/>
          <w:sz w:val="17"/>
          <w:szCs w:val="17"/>
        </w:rPr>
        <w:t xml:space="preserve">Note: CORRECTION: This guidance has no FRB 'SR 10-1' number (SR 10-1 is the Interagency Advisory on Interest Rate Risk). The operative cite is 75 FR 36395 / OCC Bulletin 2010-24.</w:t>
      </w:r>
    </w:p>
    <w:p>
      <w:pPr>
        <w:keepNext/>
        <w:spacing w:after="16" w:before="104"/>
      </w:pPr>
      <w:r>
        <w:rPr>
          <w:rFonts w:ascii="Arial" w:cs="Arial" w:eastAsia="Arial" w:hAnsi="Arial"/>
          <w:b/>
          <w:bCs/>
          <w:color w:val="1F3864"/>
          <w:sz w:val="21"/>
          <w:szCs w:val="21"/>
        </w:rPr>
        <w:t xml:space="preserve">INC-02  —  Full board or Compensation committee  ·  Both</w:t>
      </w:r>
      <w:r>
        <w:rPr>
          <w:sz w:val="2"/>
          <w:szCs w:val="2"/>
        </w:rPr>
        <w:t xml:space="preserve"/>
      </w:r>
    </w:p>
    <w:p>
      <w:pPr>
        <w:spacing w:after="24"/>
      </w:pPr>
      <w:r>
        <w:rPr>
          <w:rFonts w:ascii="Arial" w:cs="Arial" w:eastAsia="Arial" w:hAnsi="Arial"/>
          <w:sz w:val="21"/>
          <w:szCs w:val="21"/>
        </w:rPr>
        <w:t xml:space="preserve">Boards of directors, or their compensation committees, should regularly review the design and functioning of incentive-compensation practices to ensure consistency with safety and soundness, including identification of 'covered employees' and risk-balancing of their arrangements.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Guidance on Sound Incentive Compensation Policies (75 FR 36395, 2010), Principle 3.</w:t>
      </w:r>
      <w:r>
        <w:rPr>
          <w:rFonts w:ascii="Arial" w:cs="Arial" w:eastAsia="Arial" w:hAnsi="Arial"/>
          <w:i/>
          <w:iCs/>
          <w:color w:val="3B6FB0"/>
          <w:sz w:val="15"/>
          <w:szCs w:val="15"/>
        </w:rPr>
        <w:t xml:space="preserve"> [https://www.federalregister.gov/documents/2010/06/25/2010-15435/guidance-on-sound-incentive-compensation-policies]</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Incentive compensation  ·  Redundancy: Candidate redundancy  ·  Confidence: Medium</w:t>
      </w:r>
    </w:p>
    <w:p>
      <w:pPr>
        <w:spacing w:after="104"/>
      </w:pPr>
      <w:r>
        <w:rPr>
          <w:rFonts w:ascii="Arial" w:cs="Arial" w:eastAsia="Arial" w:hAnsi="Arial"/>
          <w:i/>
          <w:iCs/>
          <w:color w:val="595959"/>
          <w:sz w:val="17"/>
          <w:szCs w:val="17"/>
        </w:rPr>
        <w:t xml:space="preserve">Note: The only cluster source that names the compensation committee explicitly.</w:t>
      </w:r>
    </w:p>
    <w:p>
      <w:pPr>
        <w:keepNext/>
        <w:spacing w:after="16" w:before="104"/>
      </w:pPr>
      <w:r>
        <w:rPr>
          <w:rFonts w:ascii="Arial" w:cs="Arial" w:eastAsia="Arial" w:hAnsi="Arial"/>
          <w:b/>
          <w:bCs/>
          <w:color w:val="1F3864"/>
          <w:sz w:val="21"/>
          <w:szCs w:val="21"/>
        </w:rPr>
        <w:t xml:space="preserve">INC-03  —  Full board (and compensation committee)  ·  Both</w:t>
      </w:r>
      <w:r>
        <w:rPr>
          <w:sz w:val="2"/>
          <w:szCs w:val="2"/>
        </w:rPr>
        <w:t xml:space="preserve"/>
      </w:r>
    </w:p>
    <w:p>
      <w:pPr>
        <w:spacing w:after="24"/>
      </w:pPr>
      <w:r>
        <w:rPr>
          <w:rFonts w:ascii="Arial" w:cs="Arial" w:eastAsia="Arial" w:hAnsi="Arial"/>
          <w:sz w:val="21"/>
          <w:szCs w:val="21"/>
        </w:rPr>
        <w:t xml:space="preserve">Board should have, or have access to, a level of expertise and experience in risk-management and compensation practices appropriate to the organization, and should receive appropriate data/analysis including independent risk-management and control-function input.</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Guidance on Sound Incentive Compensation Policies (75 FR 36395, 2010), Principle 3.</w:t>
      </w:r>
      <w:r>
        <w:rPr>
          <w:rFonts w:ascii="Arial" w:cs="Arial" w:eastAsia="Arial" w:hAnsi="Arial"/>
          <w:i/>
          <w:iCs/>
          <w:color w:val="3B6FB0"/>
          <w:sz w:val="15"/>
          <w:szCs w:val="15"/>
        </w:rPr>
        <w:t xml:space="preserve"> [https://www.federalregister.gov/documents/2010/06/25/2010-15435/guidance-on-sound-incentive-compensation-policies]</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Incentive compensation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INC-04  —  n/a (proposed)  ·  Both</w:t>
      </w:r>
      <w:r>
        <w:rPr>
          <w:sz w:val="2"/>
          <w:szCs w:val="2"/>
        </w:rPr>
        <w:t xml:space="preserve"/>
      </w:r>
    </w:p>
    <w:p>
      <w:pPr>
        <w:spacing w:after="24"/>
      </w:pPr>
      <w:r>
        <w:rPr>
          <w:rFonts w:ascii="Arial" w:cs="Arial" w:eastAsia="Arial" w:hAnsi="Arial"/>
          <w:sz w:val="21"/>
          <w:szCs w:val="21"/>
        </w:rPr>
        <w:t xml:space="preserve">NOT IN FORCE: A sec. 956 final rule would impose board/committee duties over incentive-based compensation, but has never been finalized through three proposal cycles. The May 2024 re-proposal was issued by FDIC/OCC/FHFA/NCUA; the FRB and SEC did not join.</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Dodd-Frank sec. 956 Incentive-Based Compensation rulemaking (2011; 2016 re-proposal 81 FR 37670; May 2024 re-proposal, OCC Bulletin 2024-12), Proposed only.</w:t>
      </w:r>
      <w:r>
        <w:rPr>
          <w:rFonts w:ascii="Arial" w:cs="Arial" w:eastAsia="Arial" w:hAnsi="Arial"/>
          <w:i/>
          <w:iCs/>
          <w:color w:val="3B6FB0"/>
          <w:sz w:val="15"/>
          <w:szCs w:val="15"/>
        </w:rPr>
        <w:t xml:space="preserve"> [https://www.ecfr.gov/current/title-12/chapter-II/part-236]</w:t>
      </w:r>
    </w:p>
    <w:p>
      <w:pPr>
        <w:spacing w:after="6"/>
      </w:pPr>
      <w:r>
        <w:rPr>
          <w:rFonts w:ascii="Arial" w:cs="Arial" w:eastAsia="Arial" w:hAnsi="Arial"/>
          <w:i/>
          <w:iCs/>
          <w:color w:val="7030A0"/>
          <w:sz w:val="17"/>
          <w:szCs w:val="17"/>
        </w:rPr>
        <w:t xml:space="preserve">Legal force: Proposal  ·  Consequence: None yet (proposed)  ·  Cadence: Periodic / ongoing  ·  Cluster: Incentive compensation  ·  Redundancy: Candidate redundancy  ·  Confidence: Medium</w:t>
      </w:r>
    </w:p>
    <w:p>
      <w:pPr>
        <w:spacing w:after="104"/>
      </w:pPr>
      <w:r>
        <w:rPr>
          <w:rFonts w:ascii="Arial" w:cs="Arial" w:eastAsia="Arial" w:hAnsi="Arial"/>
          <w:i/>
          <w:iCs/>
          <w:color w:val="595959"/>
          <w:sz w:val="17"/>
          <w:szCs w:val="17"/>
        </w:rPr>
        <w:t xml:space="preserve">Note: GAO-25-107032 (2025) flagged the 15-year non-finalization. No board-level sec. 956 regulatory duty in force; the 2010 guidance (INC-01..03) remains the operative standard.</w:t>
      </w:r>
    </w:p>
    <w:p>
      <w:pPr>
        <w:keepNext/>
        <w:spacing w:after="16" w:before="104"/>
      </w:pPr>
      <w:r>
        <w:rPr>
          <w:rFonts w:ascii="Arial" w:cs="Arial" w:eastAsia="Arial" w:hAnsi="Arial"/>
          <w:b/>
          <w:bCs/>
          <w:color w:val="1F3864"/>
          <w:sz w:val="21"/>
          <w:szCs w:val="21"/>
        </w:rPr>
        <w:t xml:space="preserve">INC-05  —  Full board or appropriate committee  ·  IDI</w:t>
      </w:r>
      <w:r>
        <w:rPr>
          <w:sz w:val="2"/>
          <w:szCs w:val="2"/>
        </w:rPr>
        <w:t xml:space="preserve"/>
      </w:r>
    </w:p>
    <w:p>
      <w:pPr>
        <w:spacing w:after="24"/>
      </w:pPr>
      <w:r>
        <w:rPr>
          <w:rFonts w:ascii="Arial" w:cs="Arial" w:eastAsia="Arial" w:hAnsi="Arial"/>
          <w:sz w:val="21"/>
          <w:szCs w:val="21"/>
        </w:rPr>
        <w:t xml:space="preserve">Board or appropriate committee reviews and approves the written talent-management program (development, recruitment, succession for CEO/CAE/CRO and others); and oversees compensation and performance-management programs that must be incorporated into front-line-unit and IRM decision-making.</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secs. III.E / II.L (Talent Management); III (Risk Governance Framework).</w:t>
      </w:r>
      <w:r>
        <w:rPr>
          <w:rFonts w:ascii="Arial" w:cs="Arial" w:eastAsia="Arial" w:hAnsi="Arial"/>
          <w:i/>
          <w:iCs/>
          <w:color w:val="3B6FB0"/>
          <w:sz w:val="15"/>
          <w:szCs w:val="15"/>
        </w:rPr>
        <w:t xml:space="preserve"> [https://www.ecfr.gov/current/title-12/chapter-I/part-30/appendix-Appendix%20D%20to%20Part%2030]</w:t>
      </w:r>
    </w:p>
    <w:p>
      <w:pPr>
        <w:spacing w:after="6"/>
      </w:pPr>
      <w:r>
        <w:rPr>
          <w:rFonts w:ascii="Arial" w:cs="Arial" w:eastAsia="Arial" w:hAnsi="Arial"/>
          <w:i/>
          <w:iCs/>
          <w:color w:val="7030A0"/>
          <w:sz w:val="17"/>
          <w:szCs w:val="17"/>
        </w:rPr>
        <w:t xml:space="preserve">Legal force: Regulation / enforceable (cross-listed)  ·  Consequence: Enforcement + rating (rule-backed)  ·  Cadence: Periodic / ongoing  ·  Cluster: Incentive compensation  ·  Redundancy: Candidate redundancy  ·  Confidence: Medium</w:t>
      </w:r>
    </w:p>
    <w:p>
      <w:pPr>
        <w:spacing w:after="104"/>
      </w:pPr>
      <w:r>
        <w:rPr>
          <w:rFonts w:ascii="Arial" w:cs="Arial" w:eastAsia="Arial" w:hAnsi="Arial"/>
          <w:i/>
          <w:iCs/>
          <w:color w:val="595959"/>
          <w:sz w:val="17"/>
          <w:szCs w:val="17"/>
        </w:rPr>
        <w:t xml:space="preserve">Note: Enforceable guideline; the only third/comp-cluster source with hard director-independence expectations.</w:t>
      </w:r>
    </w:p>
    <w:p>
      <w:pPr>
        <w:pStyle w:val="Heading2"/>
      </w:pPr>
      <w:r>
        <w:t xml:space="preserve">11. Cybersecurity governance</w:t>
      </w:r>
    </w:p>
    <w:p>
      <w:pPr>
        <w:keepNext/>
        <w:spacing w:after="16" w:before="104"/>
      </w:pPr>
      <w:r>
        <w:rPr>
          <w:rFonts w:ascii="Arial" w:cs="Arial" w:eastAsia="Arial" w:hAnsi="Arial"/>
          <w:b/>
          <w:bCs/>
          <w:color w:val="1F3864"/>
          <w:sz w:val="21"/>
          <w:szCs w:val="21"/>
        </w:rPr>
        <w:t xml:space="preserve">CYB-01  —  Full board (typically discharged through risk and/or audit committee at large firms)  ·  Both</w:t>
      </w:r>
      <w:r>
        <w:rPr>
          <w:sz w:val="2"/>
          <w:szCs w:val="2"/>
        </w:rPr>
        <w:t xml:space="preserve"/>
      </w:r>
    </w:p>
    <w:p>
      <w:pPr>
        <w:spacing w:after="24"/>
      </w:pPr>
      <w:r>
        <w:rPr>
          <w:rFonts w:ascii="Arial" w:cs="Arial" w:eastAsia="Arial" w:hAnsi="Arial"/>
          <w:sz w:val="21"/>
          <w:szCs w:val="21"/>
        </w:rPr>
        <w:t xml:space="preserve">Board oversees the development, implementation, management, and maintenance of the information security program; annually approves the written information security program and policies; assigns responsibility for implementation; and reviews management reports.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FFIEC IT Examination Handbook, Information Security booklet (Sept. 2016 ed.), Sec. I.A / I.B (Governance of the Information Security Program).</w:t>
      </w:r>
      <w:r>
        <w:rPr>
          <w:rFonts w:ascii="Arial" w:cs="Arial" w:eastAsia="Arial" w:hAnsi="Arial"/>
          <w:i/>
          <w:iCs/>
          <w:color w:val="3B6FB0"/>
          <w:sz w:val="15"/>
          <w:szCs w:val="15"/>
        </w:rPr>
        <w:t xml:space="preserve"> [https://ithandbook.ffiec.gov/]</w:t>
      </w:r>
    </w:p>
    <w:p>
      <w:pPr>
        <w:spacing w:after="6"/>
      </w:pPr>
      <w:r>
        <w:rPr>
          <w:rFonts w:ascii="Arial" w:cs="Arial" w:eastAsia="Arial" w:hAnsi="Arial"/>
          <w:i/>
          <w:iCs/>
          <w:color w:val="7030A0"/>
          <w:sz w:val="17"/>
          <w:szCs w:val="17"/>
        </w:rPr>
        <w:t xml:space="preserve">Legal force: Examination manual  ·  Consequence: Exam findings / MRAs; informs ratings (no direct legal force)  ·  Cadence: Annual  ·  Cluster: Information security &amp; cybersecurity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CYB-02  —  Full board  ·  Both</w:t>
      </w:r>
      <w:r>
        <w:rPr>
          <w:sz w:val="2"/>
          <w:szCs w:val="2"/>
        </w:rPr>
        <w:t xml:space="preserve"/>
      </w:r>
    </w:p>
    <w:p>
      <w:pPr>
        <w:spacing w:after="24"/>
      </w:pPr>
      <w:r>
        <w:rPr>
          <w:rFonts w:ascii="Arial" w:cs="Arial" w:eastAsia="Arial" w:hAnsi="Arial"/>
          <w:sz w:val="21"/>
          <w:szCs w:val="21"/>
        </w:rPr>
        <w:t xml:space="preserve">Board should reasonably understand the business case for information security and the business implications of information security risks; provide management direction; approve information security plans, policies, and programs; review assessments of program effectiveness; discuss corrective-action recommendations; and hold management accountable.</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FFIEC IT Examination Handbook, Information Security booklet, Sec. I.B.</w:t>
      </w:r>
      <w:r>
        <w:rPr>
          <w:rFonts w:ascii="Arial" w:cs="Arial" w:eastAsia="Arial" w:hAnsi="Arial"/>
          <w:i/>
          <w:iCs/>
          <w:color w:val="3B6FB0"/>
          <w:sz w:val="15"/>
          <w:szCs w:val="15"/>
        </w:rPr>
        <w:t xml:space="preserve"> [https://ithandbook.ffiec.gov/]</w:t>
      </w:r>
    </w:p>
    <w:p>
      <w:pPr>
        <w:spacing w:after="6"/>
      </w:pPr>
      <w:r>
        <w:rPr>
          <w:rFonts w:ascii="Arial" w:cs="Arial" w:eastAsia="Arial" w:hAnsi="Arial"/>
          <w:i/>
          <w:iCs/>
          <w:color w:val="7030A0"/>
          <w:sz w:val="17"/>
          <w:szCs w:val="17"/>
        </w:rPr>
        <w:t xml:space="preserve">Legal force: Examination manual  ·  Consequence: Exam findings / MRAs; informs ratings (no direct legal force)  ·  Cadence: Periodic / ongoing  ·  Cluster: Information security &amp; cybersecurity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CYB-03  —  Full board (committee delegation permitted)  ·  Both</w:t>
      </w:r>
      <w:r>
        <w:rPr>
          <w:sz w:val="2"/>
          <w:szCs w:val="2"/>
        </w:rPr>
        <w:t xml:space="preserve"/>
      </w:r>
    </w:p>
    <w:p>
      <w:pPr>
        <w:spacing w:after="24"/>
      </w:pPr>
      <w:r>
        <w:rPr>
          <w:rFonts w:ascii="Arial" w:cs="Arial" w:eastAsia="Arial" w:hAnsi="Arial"/>
          <w:sz w:val="21"/>
          <w:szCs w:val="21"/>
        </w:rPr>
        <w:t xml:space="preserve">Board oversees the institution's IT activities and governance, including approving the IT strategic plan, aligning IT with business strategy, setting IT risk appetite, and holding management accountable; may delegate to a board committee but retains ultimate responsibility.</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FFIEC IT Examination Handbook, Management booklet, Sec. I.A.1 (Board of Directors Oversight).</w:t>
      </w:r>
      <w:r>
        <w:rPr>
          <w:rFonts w:ascii="Arial" w:cs="Arial" w:eastAsia="Arial" w:hAnsi="Arial"/>
          <w:i/>
          <w:iCs/>
          <w:color w:val="3B6FB0"/>
          <w:sz w:val="15"/>
          <w:szCs w:val="15"/>
        </w:rPr>
        <w:t xml:space="preserve"> [https://ithandbook.ffiec.gov/]</w:t>
      </w:r>
    </w:p>
    <w:p>
      <w:pPr>
        <w:spacing w:after="6"/>
      </w:pPr>
      <w:r>
        <w:rPr>
          <w:rFonts w:ascii="Arial" w:cs="Arial" w:eastAsia="Arial" w:hAnsi="Arial"/>
          <w:i/>
          <w:iCs/>
          <w:color w:val="7030A0"/>
          <w:sz w:val="17"/>
          <w:szCs w:val="17"/>
        </w:rPr>
        <w:t xml:space="preserve">Legal force: Examination manual  ·  Consequence: Exam findings / MRAs; informs ratings (no direct legal force)  ·  Cadence: Periodic / ongoing  ·  Cluster: Information security &amp; cybersecurity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CYB-04  —  Full board or appropriate committee  ·  Both</w:t>
      </w:r>
      <w:r>
        <w:rPr>
          <w:sz w:val="2"/>
          <w:szCs w:val="2"/>
        </w:rPr>
        <w:t xml:space="preserve"/>
      </w:r>
    </w:p>
    <w:p>
      <w:pPr>
        <w:spacing w:after="24"/>
      </w:pPr>
      <w:r>
        <w:rPr>
          <w:rFonts w:ascii="Arial" w:cs="Arial" w:eastAsia="Arial" w:hAnsi="Arial"/>
          <w:sz w:val="21"/>
          <w:szCs w:val="21"/>
        </w:rPr>
        <w:t xml:space="preserve">Board or an appropriate committee of the board shall approve the bank's written information security program and oversee its development, implementation, and maintenance, including assigning specific responsibility for implementation and reviewing management reports.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Interagency Guidelines Establishing Information Security Standards, 12 CFR part 30 App. B (OCC) / part 208 App. D-2 &amp; part 225 App. F (FRB) / part 364 App. B (FDIC) (GLBA sec. 501(b)), App. B, sec. III.A (Involve the Board of Directors).</w:t>
      </w:r>
      <w:r>
        <w:rPr>
          <w:rFonts w:ascii="Arial" w:cs="Arial" w:eastAsia="Arial" w:hAnsi="Arial"/>
          <w:i/>
          <w:iCs/>
          <w:color w:val="3B6FB0"/>
          <w:sz w:val="15"/>
          <w:szCs w:val="15"/>
        </w:rPr>
        <w:t xml:space="preserve"> [https://www.ecfr.gov/current/title-12/chapter-I/part-30/appendix-Appendix%20D%20to%20Part%2030]</w:t>
      </w:r>
    </w:p>
    <w:p>
      <w:pPr>
        <w:spacing w:after="6"/>
      </w:pPr>
      <w:r>
        <w:rPr>
          <w:rFonts w:ascii="Arial" w:cs="Arial" w:eastAsia="Arial" w:hAnsi="Arial"/>
          <w:i/>
          <w:iCs/>
          <w:color w:val="7030A0"/>
          <w:sz w:val="17"/>
          <w:szCs w:val="17"/>
        </w:rPr>
        <w:t xml:space="preserve">Legal force: Regulation / enforceable (cross-listed)  ·  Consequence: Enforcement + rating (rule-backed)  ·  Cadence: Periodic / ongoing  ·  Cluster: Information security &amp; cybersecurity  ·  Redundancy: Candidate redundancy  ·  Confidence: Medium</w:t>
      </w:r>
    </w:p>
    <w:p>
      <w:pPr>
        <w:spacing w:after="104"/>
      </w:pPr>
      <w:r>
        <w:rPr>
          <w:rFonts w:ascii="Arial" w:cs="Arial" w:eastAsia="Arial" w:hAnsi="Arial"/>
          <w:i/>
          <w:iCs/>
          <w:color w:val="595959"/>
          <w:sz w:val="17"/>
          <w:szCs w:val="17"/>
        </w:rPr>
        <w:t xml:space="preserve">Note: Enforceable standard (regulation/guideline), the hardest regulatory anchor for the board cyber/info-sec duty. Distributed via FIL-27-2005.</w:t>
      </w:r>
    </w:p>
    <w:p>
      <w:pPr>
        <w:keepNext/>
        <w:spacing w:after="16" w:before="104"/>
      </w:pPr>
      <w:r>
        <w:rPr>
          <w:rFonts w:ascii="Arial" w:cs="Arial" w:eastAsia="Arial" w:hAnsi="Arial"/>
          <w:b/>
          <w:bCs/>
          <w:color w:val="1F3864"/>
          <w:sz w:val="21"/>
          <w:szCs w:val="21"/>
        </w:rPr>
        <w:t xml:space="preserve">CYB-05  —  Full board or appropriate committee  ·  Both</w:t>
      </w:r>
      <w:r>
        <w:rPr>
          <w:sz w:val="2"/>
          <w:szCs w:val="2"/>
        </w:rPr>
        <w:t xml:space="preserve"/>
      </w:r>
    </w:p>
    <w:p>
      <w:pPr>
        <w:spacing w:after="24"/>
      </w:pPr>
      <w:r>
        <w:rPr>
          <w:rFonts w:ascii="Arial" w:cs="Arial" w:eastAsia="Arial" w:hAnsi="Arial"/>
          <w:sz w:val="21"/>
          <w:szCs w:val="21"/>
        </w:rPr>
        <w:t xml:space="preserve">Each bank shall report to its board or an appropriate committee at least annually, describing the overall status of the information security program and compliance, and addressing risk assessment/management, service-provider arrangements, test results, security breaches/violations and management responses, and recommendations for program changes.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Interagency Guidelines Establishing Information Security Standards, 12 CFR part 30 App. B, App. B, sec. III.F (Report to the Board).</w:t>
      </w:r>
      <w:r>
        <w:rPr>
          <w:rFonts w:ascii="Arial" w:cs="Arial" w:eastAsia="Arial" w:hAnsi="Arial"/>
          <w:i/>
          <w:iCs/>
          <w:color w:val="3B6FB0"/>
          <w:sz w:val="15"/>
          <w:szCs w:val="15"/>
        </w:rPr>
        <w:t xml:space="preserve"> [https://www.ecfr.gov/current/title-12/chapter-I/part-30/appendix-Appendix%20B%20to%20Part%2030]</w:t>
      </w:r>
    </w:p>
    <w:p>
      <w:pPr>
        <w:spacing w:after="6"/>
      </w:pPr>
      <w:r>
        <w:rPr>
          <w:rFonts w:ascii="Arial" w:cs="Arial" w:eastAsia="Arial" w:hAnsi="Arial"/>
          <w:i/>
          <w:iCs/>
          <w:color w:val="7030A0"/>
          <w:sz w:val="17"/>
          <w:szCs w:val="17"/>
        </w:rPr>
        <w:t xml:space="preserve">Legal force: Regulation / enforceable (cross-listed)  ·  Consequence: Enforcement + rating (rule-backed)  ·  Cadence: Annual  ·  Cluster: Information security &amp; cybersecurity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CYB-06  —  Entity-level (board-relevant via oversight)  ·  Both</w:t>
      </w:r>
      <w:r>
        <w:rPr>
          <w:sz w:val="2"/>
          <w:szCs w:val="2"/>
        </w:rPr>
        <w:t xml:space="preserve"/>
      </w:r>
    </w:p>
    <w:p>
      <w:pPr>
        <w:spacing w:after="24"/>
      </w:pPr>
      <w:r>
        <w:rPr>
          <w:rFonts w:ascii="Arial" w:cs="Arial" w:eastAsia="Arial" w:hAnsi="Arial"/>
          <w:sz w:val="21"/>
          <w:szCs w:val="21"/>
        </w:rPr>
        <w:t xml:space="preserve">Entity-level duty to notify the primary federal regulator within 36 hours of a 'notification incident.' No direct board-action duty, but the incident determination relies on board-overseen escalation/incident-response governance (CYB-01/CYB-04), and service-provider notifications feed the board-overseen info-security and third-party programs.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Computer-Security Incident Notification Rule (86 FR 66424, Nov. 23, 2021); 12 CFR part 53 (OCC) / 225 subpart N (FRB) / 304 subpart C (FDIC); OCC Bulletin 2021-55; FDIC FIL-74-2021, Final rule.</w:t>
      </w:r>
      <w:r>
        <w:rPr>
          <w:rFonts w:ascii="Arial" w:cs="Arial" w:eastAsia="Arial" w:hAnsi="Arial"/>
          <w:i/>
          <w:iCs/>
          <w:color w:val="BF8F00"/>
          <w:sz w:val="15"/>
          <w:szCs w:val="15"/>
        </w:rPr>
        <w:t xml:space="preserve">  [URL not captured]</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Event-driven  ·  Cluster: Information security &amp; cybersecurity  ·  Redundancy: Candidate redundancy  ·  Confidence: Medium</w:t>
      </w:r>
    </w:p>
    <w:p>
      <w:pPr>
        <w:spacing w:after="104"/>
      </w:pPr>
      <w:r>
        <w:rPr>
          <w:rFonts w:ascii="Arial" w:cs="Arial" w:eastAsia="Arial" w:hAnsi="Arial"/>
          <w:i/>
          <w:iCs/>
          <w:color w:val="595959"/>
          <w:sz w:val="17"/>
          <w:szCs w:val="17"/>
        </w:rPr>
        <w:t xml:space="preserve">Note: Included for completeness; no discrete numbered board expectation.</w:t>
      </w:r>
    </w:p>
    <w:p>
      <w:pPr>
        <w:keepNext/>
        <w:spacing w:after="16" w:before="104"/>
      </w:pPr>
      <w:r>
        <w:rPr>
          <w:rFonts w:ascii="Arial" w:cs="Arial" w:eastAsia="Arial" w:hAnsi="Arial"/>
          <w:b/>
          <w:bCs/>
          <w:color w:val="1F3864"/>
          <w:sz w:val="21"/>
          <w:szCs w:val="21"/>
        </w:rPr>
        <w:t xml:space="preserve">CYB-07  —  n/a (retired)  ·  Both</w:t>
      </w:r>
      <w:r>
        <w:rPr>
          <w:rFonts w:ascii="Arial" w:cs="Arial" w:eastAsia="Arial" w:hAnsi="Arial"/>
          <w:b/>
          <w:bCs/>
          <w:color w:val="C00000"/>
          <w:sz w:val="17"/>
          <w:szCs w:val="17"/>
        </w:rPr>
        <w:t xml:space="preserve">  [RETIRED AUG. 31, 2025]</w:t>
      </w:r>
    </w:p>
    <w:p>
      <w:pPr>
        <w:spacing w:after="24"/>
      </w:pPr>
      <w:r>
        <w:rPr>
          <w:rFonts w:ascii="Arial" w:cs="Arial" w:eastAsia="Arial" w:hAnsi="Arial"/>
          <w:sz w:val="21"/>
          <w:szCs w:val="21"/>
        </w:rPr>
        <w:t xml:space="preserve">RETIRED: The CAT was sunset on Aug. 31, 2025; any board-level expectation premised on CAT completion or CAT-based reporting is no longer current. The FFIEC pointed institutions to industry/government frameworks (CRI Cyber Profile, CIS Controls, NIST CSF 2.0, CISA CPGs).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FFIEC Cybersecurity Assessment Tool (CAT), Sunset announcement (FFIEC, Aug. 29, 2024; SR 24-7; OCC Bulletin 2024-25).</w:t>
      </w:r>
      <w:r>
        <w:rPr>
          <w:rFonts w:ascii="Arial" w:cs="Arial" w:eastAsia="Arial" w:hAnsi="Arial"/>
          <w:i/>
          <w:iCs/>
          <w:color w:val="BF8F00"/>
          <w:sz w:val="15"/>
          <w:szCs w:val="15"/>
        </w:rPr>
        <w:t xml:space="preserve">  [URL not captured]</w:t>
      </w:r>
    </w:p>
    <w:p>
      <w:pPr>
        <w:spacing w:after="6"/>
      </w:pPr>
      <w:r>
        <w:rPr>
          <w:rFonts w:ascii="Arial" w:cs="Arial" w:eastAsia="Arial" w:hAnsi="Arial"/>
          <w:i/>
          <w:iCs/>
          <w:color w:val="7030A0"/>
          <w:sz w:val="17"/>
          <w:szCs w:val="17"/>
        </w:rPr>
        <w:t xml:space="preserve">Legal force: Rescinded / retired  ·  Consequence: None (not current)  ·  Cadence: Periodic / ongoing  ·  Cluster: Information security &amp; cybersecurity  ·  Redundancy: Candidate redundancy  ·  Confidence: High</w:t>
      </w:r>
    </w:p>
    <w:p>
      <w:pPr>
        <w:spacing w:after="104"/>
      </w:pPr>
      <w:r>
        <w:rPr>
          <w:rFonts w:ascii="Arial" w:cs="Arial" w:eastAsia="Arial" w:hAnsi="Arial"/>
          <w:i/>
          <w:iCs/>
          <w:color w:val="595959"/>
          <w:sz w:val="17"/>
          <w:szCs w:val="17"/>
        </w:rPr>
        <w:t xml:space="preserve">Note: No 1:1 regulatory replacement; the IT Handbook (CYB-01..03) and 12 CFR 30 App. B (CYB-04/05) remain the examination baseline.</w:t>
      </w:r>
    </w:p>
    <w:p>
      <w:pPr>
        <w:keepNext/>
        <w:spacing w:after="16" w:before="104"/>
      </w:pPr>
      <w:r>
        <w:rPr>
          <w:rFonts w:ascii="Arial" w:cs="Arial" w:eastAsia="Arial" w:hAnsi="Arial"/>
          <w:b/>
          <w:bCs/>
          <w:color w:val="1F3864"/>
          <w:sz w:val="21"/>
          <w:szCs w:val="21"/>
        </w:rPr>
        <w:t xml:space="preserve">CYB-08  —  Full board  ·  Both</w:t>
      </w:r>
      <w:r>
        <w:rPr>
          <w:sz w:val="2"/>
          <w:szCs w:val="2"/>
        </w:rPr>
        <w:t xml:space="preserve"/>
      </w:r>
    </w:p>
    <w:p>
      <w:pPr>
        <w:spacing w:after="24"/>
      </w:pPr>
      <w:r>
        <w:rPr>
          <w:rFonts w:ascii="Arial" w:cs="Arial" w:eastAsia="Arial" w:hAnsi="Arial"/>
          <w:sz w:val="21"/>
          <w:szCs w:val="21"/>
        </w:rPr>
        <w:t xml:space="preserve">Board should ensure management provides sufficient resources, expertise, and authority to implement and maintain the information security program.</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FFIEC IT Examination Handbook, Information Security booklet, Governance / resources sections.</w:t>
      </w:r>
      <w:r>
        <w:rPr>
          <w:rFonts w:ascii="Arial" w:cs="Arial" w:eastAsia="Arial" w:hAnsi="Arial"/>
          <w:i/>
          <w:iCs/>
          <w:color w:val="3B6FB0"/>
          <w:sz w:val="15"/>
          <w:szCs w:val="15"/>
        </w:rPr>
        <w:t xml:space="preserve"> [https://ithandbook.ffiec.gov/]</w:t>
      </w:r>
    </w:p>
    <w:p>
      <w:pPr>
        <w:spacing w:after="6"/>
      </w:pPr>
      <w:r>
        <w:rPr>
          <w:rFonts w:ascii="Arial" w:cs="Arial" w:eastAsia="Arial" w:hAnsi="Arial"/>
          <w:i/>
          <w:iCs/>
          <w:color w:val="7030A0"/>
          <w:sz w:val="17"/>
          <w:szCs w:val="17"/>
        </w:rPr>
        <w:t xml:space="preserve">Legal force: Examination manual  ·  Consequence: Exam findings / MRAs; informs ratings (no direct legal force)  ·  Cadence: Periodic / ongoing  ·  Cluster: Information security &amp; cybersecurity  ·  Redundancy: Candidate redundancy  ·  Confidence: Medium</w:t>
      </w:r>
    </w:p>
    <w:p>
      <w:pPr>
        <w:spacing w:after="104"/>
      </w:pPr>
      <w:r>
        <w:rPr>
          <w:rFonts w:ascii="Arial" w:cs="Arial" w:eastAsia="Arial" w:hAnsi="Arial"/>
          <w:i/>
          <w:iCs/>
          <w:color w:val="595959"/>
          <w:sz w:val="17"/>
          <w:szCs w:val="17"/>
        </w:rPr>
        <w:t xml:space="preserve">Note: Parallels operational-resilience resource expectation (OPR-02).</w:t>
      </w:r>
    </w:p>
    <w:p>
      <w:pPr>
        <w:pStyle w:val="Heading2"/>
      </w:pPr>
      <w:r>
        <w:t xml:space="preserve">12. BSA/AML program oversight</w:t>
      </w:r>
    </w:p>
    <w:p>
      <w:pPr>
        <w:keepNext/>
        <w:spacing w:after="16" w:before="104"/>
      </w:pPr>
      <w:r>
        <w:rPr>
          <w:rFonts w:ascii="Arial" w:cs="Arial" w:eastAsia="Arial" w:hAnsi="Arial"/>
          <w:b/>
          <w:bCs/>
          <w:color w:val="1F3864"/>
          <w:sz w:val="21"/>
          <w:szCs w:val="21"/>
        </w:rPr>
        <w:t xml:space="preserve">BSA-01  —  Full board (approval + minute notation)  ·  Both</w:t>
      </w:r>
      <w:r>
        <w:rPr>
          <w:sz w:val="2"/>
          <w:szCs w:val="2"/>
        </w:rPr>
        <w:t xml:space="preserve"/>
      </w:r>
    </w:p>
    <w:p>
      <w:pPr>
        <w:spacing w:after="24"/>
      </w:pPr>
      <w:r>
        <w:rPr>
          <w:rFonts w:ascii="Arial" w:cs="Arial" w:eastAsia="Arial" w:hAnsi="Arial"/>
          <w:sz w:val="21"/>
          <w:szCs w:val="21"/>
        </w:rPr>
        <w:t xml:space="preserve">The BSA/AML compliance program must be written, approved by the board of directors, and noted in the board minutes; it must be commensurate with the bank's ML/TF and illicit-finance risk profile.</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FFIEC BSA/AML Examination Manual, Assessing the BSA/AML Compliance Program (Introduction), Introduction, para. 1 (citing 12 CFR 208.63, 326.8, 21.21, 748.2).</w:t>
      </w:r>
      <w:r>
        <w:rPr>
          <w:rFonts w:ascii="Arial" w:cs="Arial" w:eastAsia="Arial" w:hAnsi="Arial"/>
          <w:i/>
          <w:iCs/>
          <w:color w:val="3B6FB0"/>
          <w:sz w:val="15"/>
          <w:szCs w:val="15"/>
        </w:rPr>
        <w:t xml:space="preserve"> [https://bsaaml.ffiec.gov/manual]</w:t>
      </w:r>
    </w:p>
    <w:p>
      <w:pPr>
        <w:spacing w:after="6"/>
      </w:pPr>
      <w:r>
        <w:rPr>
          <w:rFonts w:ascii="Arial" w:cs="Arial" w:eastAsia="Arial" w:hAnsi="Arial"/>
          <w:i/>
          <w:iCs/>
          <w:color w:val="7030A0"/>
          <w:sz w:val="17"/>
          <w:szCs w:val="17"/>
        </w:rPr>
        <w:t xml:space="preserve">Legal force: Examination manual  ·  Consequence: Exam findings / MRAs; informs ratings (no direct legal force)  ·  Cadence: Periodic / ongoing  ·  Cluster: BSA/AML program  ·  Redundancy: Candidate redundancy (intra-program)  ·  Confidence: High</w:t>
      </w:r>
    </w:p>
    <w:p>
      <w:pPr>
        <w:spacing w:after="104"/>
      </w:pPr>
      <w:r>
        <w:rPr>
          <w:rFonts w:ascii="Arial" w:cs="Arial" w:eastAsia="Arial" w:hAnsi="Arial"/>
          <w:i/>
          <w:iCs/>
          <w:color w:val="595959"/>
          <w:sz w:val="17"/>
          <w:szCs w:val="17"/>
        </w:rPr>
        <w:t xml:space="preserve">Note: For U.S. branches/agencies of foreign banks, may be approved by delegates acting under the express authority of the foreign bank's board. Underlying program-rule architecture subject to pending 2026 reproposal (BSA-09/10).</w:t>
      </w:r>
    </w:p>
    <w:p>
      <w:pPr>
        <w:keepNext/>
        <w:spacing w:after="16" w:before="104"/>
      </w:pPr>
      <w:r>
        <w:rPr>
          <w:rFonts w:ascii="Arial" w:cs="Arial" w:eastAsia="Arial" w:hAnsi="Arial"/>
          <w:b/>
          <w:bCs/>
          <w:color w:val="1F3864"/>
          <w:sz w:val="21"/>
          <w:szCs w:val="21"/>
        </w:rPr>
        <w:t xml:space="preserve">BSA-02  —  Full board (acting through senior management)  ·  Both</w:t>
      </w:r>
      <w:r>
        <w:rPr>
          <w:sz w:val="2"/>
          <w:szCs w:val="2"/>
        </w:rPr>
        <w:t xml:space="preserve"/>
      </w:r>
    </w:p>
    <w:p>
      <w:pPr>
        <w:spacing w:after="24"/>
      </w:pPr>
      <w:r>
        <w:rPr>
          <w:rFonts w:ascii="Arial" w:cs="Arial" w:eastAsia="Arial" w:hAnsi="Arial"/>
          <w:sz w:val="21"/>
          <w:szCs w:val="21"/>
        </w:rPr>
        <w:t xml:space="preserve">Board, acting through senior management, is ultimately responsible for ensuring the bank maintains a system of internal controls to assure ongoing BSA compliance, and plays an important role in establishing a culture that prioritizes compliance and holds senior management accountable.</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FFIEC BSA/AML Examination Manual, BSA/AML Internal Controls, Internal Controls, para. 1 (citing 12 CFR 208.63(c)(1), etc.).</w:t>
      </w:r>
      <w:r>
        <w:rPr>
          <w:rFonts w:ascii="Arial" w:cs="Arial" w:eastAsia="Arial" w:hAnsi="Arial"/>
          <w:i/>
          <w:iCs/>
          <w:color w:val="3B6FB0"/>
          <w:sz w:val="15"/>
          <w:szCs w:val="15"/>
        </w:rPr>
        <w:t xml:space="preserve"> [https://bsaaml.ffiec.gov/manual]</w:t>
      </w:r>
    </w:p>
    <w:p>
      <w:pPr>
        <w:spacing w:after="6"/>
      </w:pPr>
      <w:r>
        <w:rPr>
          <w:rFonts w:ascii="Arial" w:cs="Arial" w:eastAsia="Arial" w:hAnsi="Arial"/>
          <w:i/>
          <w:iCs/>
          <w:color w:val="7030A0"/>
          <w:sz w:val="17"/>
          <w:szCs w:val="17"/>
        </w:rPr>
        <w:t xml:space="preserve">Legal force: Examination manual  ·  Consequence: Exam findings / MRAs; informs ratings (no direct legal force)  ·  Cadence: Periodic / ongoing  ·  Cluster: BSA/AML program  ·  Redundancy: Candidate redundancy (intra-program)  ·  Confidence: High</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BSA-03  —  Full board or committee (general reporting); full board (SAR-filing notification)  ·  Both</w:t>
      </w:r>
      <w:r>
        <w:rPr>
          <w:sz w:val="2"/>
          <w:szCs w:val="2"/>
        </w:rPr>
        <w:t xml:space="preserve"/>
      </w:r>
    </w:p>
    <w:p>
      <w:pPr>
        <w:spacing w:after="24"/>
      </w:pPr>
      <w:r>
        <w:rPr>
          <w:rFonts w:ascii="Arial" w:cs="Arial" w:eastAsia="Arial" w:hAnsi="Arial"/>
          <w:sz w:val="21"/>
          <w:szCs w:val="21"/>
        </w:rPr>
        <w:t xml:space="preserve">Internal controls should include mechanisms to identify and inform the board, or a committee thereof, and senior management of BSA compliance initiatives, identified deficiencies and corrective action, and to notify the board of directors of SARs filed.</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FFIEC BSA/AML Examination Manual, BSA/AML Internal Controls, Internal Controls, bulleted control expectations.</w:t>
      </w:r>
      <w:r>
        <w:rPr>
          <w:rFonts w:ascii="Arial" w:cs="Arial" w:eastAsia="Arial" w:hAnsi="Arial"/>
          <w:i/>
          <w:iCs/>
          <w:color w:val="3B6FB0"/>
          <w:sz w:val="15"/>
          <w:szCs w:val="15"/>
        </w:rPr>
        <w:t xml:space="preserve"> [https://bsaaml.ffiec.gov/manual]</w:t>
      </w:r>
    </w:p>
    <w:p>
      <w:pPr>
        <w:spacing w:after="6"/>
      </w:pPr>
      <w:r>
        <w:rPr>
          <w:rFonts w:ascii="Arial" w:cs="Arial" w:eastAsia="Arial" w:hAnsi="Arial"/>
          <w:i/>
          <w:iCs/>
          <w:color w:val="7030A0"/>
          <w:sz w:val="17"/>
          <w:szCs w:val="17"/>
        </w:rPr>
        <w:t xml:space="preserve">Legal force: Examination manual  ·  Consequence: Exam findings / MRAs; informs ratings (no direct legal force)  ·  Cadence: Periodic / ongoing  ·  Cluster: BSA/AML program  ·  Redundancy: Candidate redundancy (intra-program)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BSA-04  —  Full board  ·  Both</w:t>
      </w:r>
      <w:r>
        <w:rPr>
          <w:sz w:val="2"/>
          <w:szCs w:val="2"/>
        </w:rPr>
        <w:t xml:space="preserve"/>
      </w:r>
    </w:p>
    <w:p>
      <w:pPr>
        <w:spacing w:after="24"/>
      </w:pPr>
      <w:r>
        <w:rPr>
          <w:rFonts w:ascii="Arial" w:cs="Arial" w:eastAsia="Arial" w:hAnsi="Arial"/>
          <w:sz w:val="21"/>
          <w:szCs w:val="21"/>
        </w:rPr>
        <w:t xml:space="preserve">Board must designate a qualified individual or individuals to serve as the BSA compliance officer, and is responsible for ensuring the officer has appropriate authority, independence, and access to resources (appointment alone is not sufficient).</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FFIEC BSA/AML Examination Manual, BSA Compliance Officer, BSA Compliance Officer, Objective + para. 1 (citing 12 CFR 208.63(c)(3), etc.).</w:t>
      </w:r>
      <w:r>
        <w:rPr>
          <w:rFonts w:ascii="Arial" w:cs="Arial" w:eastAsia="Arial" w:hAnsi="Arial"/>
          <w:i/>
          <w:iCs/>
          <w:color w:val="3B6FB0"/>
          <w:sz w:val="15"/>
          <w:szCs w:val="15"/>
        </w:rPr>
        <w:t xml:space="preserve"> [https://bsaaml.ffiec.gov/manual]</w:t>
      </w:r>
    </w:p>
    <w:p>
      <w:pPr>
        <w:spacing w:after="6"/>
      </w:pPr>
      <w:r>
        <w:rPr>
          <w:rFonts w:ascii="Arial" w:cs="Arial" w:eastAsia="Arial" w:hAnsi="Arial"/>
          <w:i/>
          <w:iCs/>
          <w:color w:val="7030A0"/>
          <w:sz w:val="17"/>
          <w:szCs w:val="17"/>
        </w:rPr>
        <w:t xml:space="preserve">Legal force: Examination manual  ·  Consequence: Exam findings / MRAs; informs ratings (no direct legal force)  ·  Cadence: Event-driven  ·  Cluster: BSA/AML program  ·  Redundancy: Candidate redundancy (intra-program)  ·  Confidence: High</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BSA-05  —  Full board (oversight)  ·  Both</w:t>
      </w:r>
      <w:r>
        <w:rPr>
          <w:sz w:val="2"/>
          <w:szCs w:val="2"/>
        </w:rPr>
        <w:t xml:space="preserve"/>
      </w:r>
    </w:p>
    <w:p>
      <w:pPr>
        <w:spacing w:after="24"/>
      </w:pPr>
      <w:r>
        <w:rPr>
          <w:rFonts w:ascii="Arial" w:cs="Arial" w:eastAsia="Arial" w:hAnsi="Arial"/>
          <w:sz w:val="21"/>
          <w:szCs w:val="21"/>
        </w:rPr>
        <w:t xml:space="preserve">Board is ultimately responsible for the bank's BSA/AML compliance and should provide oversight of senior management and the BSA compliance officer in implementing the board-approved BSA/AML compliance program.</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FFIEC BSA/AML Examination Manual, BSA Compliance Officer, BSA Compliance Officer, para. 1 (cross-ref FinCEN FIN-2014-A007).</w:t>
      </w:r>
      <w:r>
        <w:rPr>
          <w:rFonts w:ascii="Arial" w:cs="Arial" w:eastAsia="Arial" w:hAnsi="Arial"/>
          <w:i/>
          <w:iCs/>
          <w:color w:val="3B6FB0"/>
          <w:sz w:val="15"/>
          <w:szCs w:val="15"/>
        </w:rPr>
        <w:t xml:space="preserve"> [https://bsaaml.ffiec.gov/manual]</w:t>
      </w:r>
    </w:p>
    <w:p>
      <w:pPr>
        <w:spacing w:after="6"/>
      </w:pPr>
      <w:r>
        <w:rPr>
          <w:rFonts w:ascii="Arial" w:cs="Arial" w:eastAsia="Arial" w:hAnsi="Arial"/>
          <w:i/>
          <w:iCs/>
          <w:color w:val="7030A0"/>
          <w:sz w:val="17"/>
          <w:szCs w:val="17"/>
        </w:rPr>
        <w:t xml:space="preserve">Legal force: Examination manual  ·  Consequence: Exam findings / MRAs; informs ratings (no direct legal force)  ·  Cadence: Periodic / ongoing  ·  Cluster: BSA/AML program  ·  Redundancy: Candidate redundancy (intra-program)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BSA-06  —  Full board or designated board committee  ·  Both</w:t>
      </w:r>
      <w:r>
        <w:rPr>
          <w:sz w:val="2"/>
          <w:szCs w:val="2"/>
        </w:rPr>
        <w:t xml:space="preserve"/>
      </w:r>
    </w:p>
    <w:p>
      <w:pPr>
        <w:spacing w:after="24"/>
      </w:pPr>
      <w:r>
        <w:rPr>
          <w:rFonts w:ascii="Arial" w:cs="Arial" w:eastAsia="Arial" w:hAnsi="Arial"/>
          <w:sz w:val="21"/>
          <w:szCs w:val="21"/>
        </w:rPr>
        <w:t xml:space="preserve">The BSA compliance officer should regularly report the status of ongoing BSA compliance to the board (or a designated board committee) and senior management, including the required notification of SAR filings, with clear lines of reporting ultimately up to the board.</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FFIEC BSA/AML Examination Manual, BSA Compliance Officer, BSA Compliance Officer, para. 2.</w:t>
      </w:r>
      <w:r>
        <w:rPr>
          <w:rFonts w:ascii="Arial" w:cs="Arial" w:eastAsia="Arial" w:hAnsi="Arial"/>
          <w:i/>
          <w:iCs/>
          <w:color w:val="3B6FB0"/>
          <w:sz w:val="15"/>
          <w:szCs w:val="15"/>
        </w:rPr>
        <w:t xml:space="preserve"> [https://bsaaml.ffiec.gov/manual]</w:t>
      </w:r>
    </w:p>
    <w:p>
      <w:pPr>
        <w:spacing w:after="6"/>
      </w:pPr>
      <w:r>
        <w:rPr>
          <w:rFonts w:ascii="Arial" w:cs="Arial" w:eastAsia="Arial" w:hAnsi="Arial"/>
          <w:i/>
          <w:iCs/>
          <w:color w:val="7030A0"/>
          <w:sz w:val="17"/>
          <w:szCs w:val="17"/>
        </w:rPr>
        <w:t xml:space="preserve">Legal force: Examination manual  ·  Consequence: Exam findings / MRAs; informs ratings (no direct legal force)  ·  Cadence: Event-driven  ·  Cluster: BSA/AML program  ·  Redundancy: Candidate redundancy (intra-program)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BSA-07  —  Full board  ·  Both</w:t>
      </w:r>
      <w:r>
        <w:rPr>
          <w:sz w:val="2"/>
          <w:szCs w:val="2"/>
        </w:rPr>
        <w:t xml:space="preserve"/>
      </w:r>
    </w:p>
    <w:p>
      <w:pPr>
        <w:spacing w:after="24"/>
      </w:pPr>
      <w:r>
        <w:rPr>
          <w:rFonts w:ascii="Arial" w:cs="Arial" w:eastAsia="Arial" w:hAnsi="Arial"/>
          <w:sz w:val="21"/>
          <w:szCs w:val="21"/>
        </w:rPr>
        <w:t xml:space="preserve">Board of directors and senior management should receive foundational BSA training and be informed of changes/new developments, sufficient to understand the bank's risk profile and BSA requirements (need not match the depth of operations-personnel training).</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FFIEC BSA/AML Examination Manual, BSA/AML Training, BSA/AML Training, para. 2.</w:t>
      </w:r>
      <w:r>
        <w:rPr>
          <w:rFonts w:ascii="Arial" w:cs="Arial" w:eastAsia="Arial" w:hAnsi="Arial"/>
          <w:i/>
          <w:iCs/>
          <w:color w:val="3B6FB0"/>
          <w:sz w:val="15"/>
          <w:szCs w:val="15"/>
        </w:rPr>
        <w:t xml:space="preserve"> [https://bsaaml.ffiec.gov/manual]</w:t>
      </w:r>
    </w:p>
    <w:p>
      <w:pPr>
        <w:spacing w:after="6"/>
      </w:pPr>
      <w:r>
        <w:rPr>
          <w:rFonts w:ascii="Arial" w:cs="Arial" w:eastAsia="Arial" w:hAnsi="Arial"/>
          <w:i/>
          <w:iCs/>
          <w:color w:val="7030A0"/>
          <w:sz w:val="17"/>
          <w:szCs w:val="17"/>
        </w:rPr>
        <w:t xml:space="preserve">Legal force: Examination manual  ·  Consequence: Exam findings / MRAs; informs ratings (no direct legal force)  ·  Cadence: Periodic / ongoing  ·  Cluster: BSA/AML program  ·  Redundancy: Candidate redundancy (intra-program)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BSA-08  —  Full board; senior management  ·  IDI</w:t>
      </w:r>
      <w:r>
        <w:rPr>
          <w:sz w:val="2"/>
          <w:szCs w:val="2"/>
        </w:rPr>
        <w:t xml:space="preserve"/>
      </w:r>
    </w:p>
    <w:p>
      <w:pPr>
        <w:spacing w:after="24"/>
      </w:pPr>
      <w:r>
        <w:rPr>
          <w:rFonts w:ascii="Arial" w:cs="Arial" w:eastAsia="Arial" w:hAnsi="Arial"/>
          <w:sz w:val="21"/>
          <w:szCs w:val="21"/>
        </w:rPr>
        <w:t xml:space="preserve">Leadership (board and senior management) should demonstrate visible commitment to BSA compliance, devote adequate resources, ensure an independent and competent compliance function, and ensure compliance is not compromised by revenue interests.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FinCEN Advisory to U.S. Financial Institutions on Promoting a Culture of Compliance, FIN-2014-A007 (Aug. 11, 2014), Advisory.</w:t>
      </w:r>
      <w:r>
        <w:rPr>
          <w:rFonts w:ascii="Arial" w:cs="Arial" w:eastAsia="Arial" w:hAnsi="Arial"/>
          <w:i/>
          <w:iCs/>
          <w:color w:val="BF8F00"/>
          <w:sz w:val="15"/>
          <w:szCs w:val="15"/>
        </w:rPr>
        <w:t xml:space="preserve">  [URL not captured]</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BSA/AML program  ·  Redundancy: Candidate redundancy (intra-program)  ·  Confidence: Medium</w:t>
      </w:r>
    </w:p>
    <w:p>
      <w:pPr>
        <w:spacing w:after="104"/>
      </w:pPr>
      <w:r>
        <w:rPr>
          <w:rFonts w:ascii="Arial" w:cs="Arial" w:eastAsia="Arial" w:hAnsi="Arial"/>
          <w:i/>
          <w:iCs/>
          <w:color w:val="595959"/>
          <w:sz w:val="17"/>
          <w:szCs w:val="17"/>
        </w:rPr>
        <w:t xml:space="preserve">Note: Continues to be cited as live authority in the current FFIEC manual.</w:t>
      </w:r>
    </w:p>
    <w:p>
      <w:pPr>
        <w:keepNext/>
        <w:spacing w:after="16" w:before="104"/>
      </w:pPr>
      <w:r>
        <w:rPr>
          <w:rFonts w:ascii="Arial" w:cs="Arial" w:eastAsia="Arial" w:hAnsi="Arial"/>
          <w:b/>
          <w:bCs/>
          <w:color w:val="1F3864"/>
          <w:sz w:val="21"/>
          <w:szCs w:val="21"/>
        </w:rPr>
        <w:t xml:space="preserve">BSA-09  —  Full board OR equivalent governing body OR appropriate senior management (incl. board committees)  ·  IDI</w:t>
      </w:r>
      <w:r>
        <w:rPr>
          <w:sz w:val="2"/>
          <w:szCs w:val="2"/>
        </w:rPr>
        <w:t xml:space="preserve"/>
      </w:r>
    </w:p>
    <w:p>
      <w:pPr>
        <w:spacing w:after="24"/>
      </w:pPr>
      <w:r>
        <w:rPr>
          <w:rFonts w:ascii="Arial" w:cs="Arial" w:eastAsia="Arial" w:hAnsi="Arial"/>
          <w:sz w:val="21"/>
          <w:szCs w:val="21"/>
        </w:rPr>
        <w:t xml:space="preserve">PROPOSED: would require the AML/CFT program to be approved by the financial institution's board of directors or an equivalent governing body, or appropriate senior management — restoring flexibility and allowing board committees (e.g., compliance or audit) to serve as the approving group.</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FinCEN NPRM, Anti-Money Laundering and Countering the Financing of Terrorism Programs (91 FR 18704, Apr. 10, 2026; RIN 1506-AB72; comments due June 9, 2026), Proposed 31 CFR 10XX.210(d); preamble sec. V.E.2.</w:t>
      </w:r>
      <w:r>
        <w:rPr>
          <w:rFonts w:ascii="Arial" w:cs="Arial" w:eastAsia="Arial" w:hAnsi="Arial"/>
          <w:i/>
          <w:iCs/>
          <w:color w:val="BF8F00"/>
          <w:sz w:val="15"/>
          <w:szCs w:val="15"/>
        </w:rPr>
        <w:t xml:space="preserve">  [URL not captured]</w:t>
      </w:r>
    </w:p>
    <w:p>
      <w:pPr>
        <w:spacing w:after="6"/>
      </w:pPr>
      <w:r>
        <w:rPr>
          <w:rFonts w:ascii="Arial" w:cs="Arial" w:eastAsia="Arial" w:hAnsi="Arial"/>
          <w:i/>
          <w:iCs/>
          <w:color w:val="7030A0"/>
          <w:sz w:val="17"/>
          <w:szCs w:val="17"/>
        </w:rPr>
        <w:t xml:space="preserve">Legal force: Proposal  ·  Consequence: None yet (proposed)  ·  Cadence: Periodic / ongoing  ·  Cluster: BSA/AML program  ·  Redundancy: Candidate redundancy (intra-program)  ·  Confidence: High</w:t>
      </w:r>
    </w:p>
    <w:p>
      <w:pPr>
        <w:spacing w:after="104"/>
      </w:pPr>
      <w:r>
        <w:rPr>
          <w:rFonts w:ascii="Arial" w:cs="Arial" w:eastAsia="Arial" w:hAnsi="Arial"/>
          <w:i/>
          <w:iCs/>
          <w:color w:val="595959"/>
          <w:sz w:val="17"/>
          <w:szCs w:val="17"/>
        </w:rPr>
        <w:t xml:space="preserve">Note: Deliberate softening from the June 2024 NPRM (which would have mandated board approval and removed senior-management approval). The 2024 Program NPRM is withdrawn/superseded. Existing banking-agency program rules (board approval + minute notation, BSA-01) remain in force today.</w:t>
      </w:r>
    </w:p>
    <w:p>
      <w:pPr>
        <w:keepNext/>
        <w:spacing w:after="16" w:before="104"/>
      </w:pPr>
      <w:r>
        <w:rPr>
          <w:rFonts w:ascii="Arial" w:cs="Arial" w:eastAsia="Arial" w:hAnsi="Arial"/>
          <w:b/>
          <w:bCs/>
          <w:color w:val="1F3864"/>
          <w:sz w:val="21"/>
          <w:szCs w:val="21"/>
        </w:rPr>
        <w:t xml:space="preserve">BSA-10  —  Full board (per amended agency rules)  ·  Both</w:t>
      </w:r>
      <w:r>
        <w:rPr>
          <w:sz w:val="2"/>
          <w:szCs w:val="2"/>
        </w:rPr>
        <w:t xml:space="preserve"/>
      </w:r>
    </w:p>
    <w:p>
      <w:pPr>
        <w:spacing w:after="24"/>
      </w:pPr>
      <w:r>
        <w:rPr>
          <w:rFonts w:ascii="Arial" w:cs="Arial" w:eastAsia="Arial" w:hAnsi="Arial"/>
          <w:sz w:val="21"/>
          <w:szCs w:val="21"/>
        </w:rPr>
        <w:t xml:space="preserve">PROPOSED: would amend each agency's program rule to require effective, risk-based AML/CFT programs aligned with the FinCEN reproposal; carries the board-approval architecture for IDIs; clarifies enforcement reserved for significant or systemic program failures.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Banking-agencies' companion AML/CFT Program Rule NPRM (91 FR, FR Doc. 2026-06948, Apr. 10, 2026; comments due June 9, 2026), Proposed program-rule amendments.</w:t>
      </w:r>
      <w:r>
        <w:rPr>
          <w:rFonts w:ascii="Arial" w:cs="Arial" w:eastAsia="Arial" w:hAnsi="Arial"/>
          <w:i/>
          <w:iCs/>
          <w:color w:val="BF8F00"/>
          <w:sz w:val="15"/>
          <w:szCs w:val="15"/>
        </w:rPr>
        <w:t xml:space="preserve">  [URL not captured]</w:t>
      </w:r>
    </w:p>
    <w:p>
      <w:pPr>
        <w:spacing w:after="6"/>
      </w:pPr>
      <w:r>
        <w:rPr>
          <w:rFonts w:ascii="Arial" w:cs="Arial" w:eastAsia="Arial" w:hAnsi="Arial"/>
          <w:i/>
          <w:iCs/>
          <w:color w:val="7030A0"/>
          <w:sz w:val="17"/>
          <w:szCs w:val="17"/>
        </w:rPr>
        <w:t xml:space="preserve">Legal force: Proposal  ·  Consequence: None yet (proposed)  ·  Cadence: Periodic / ongoing  ·  Cluster: BSA/AML program  ·  Redundancy: Candidate redundancy (intra-program)  ·  Confidence: Medium</w:t>
      </w:r>
    </w:p>
    <w:p>
      <w:pPr>
        <w:spacing w:after="104"/>
      </w:pPr>
      <w:r>
        <w:rPr>
          <w:rFonts w:ascii="Arial" w:cs="Arial" w:eastAsia="Arial" w:hAnsi="Arial"/>
          <w:i/>
          <w:iCs/>
          <w:color w:val="595959"/>
          <w:sz w:val="17"/>
          <w:szCs w:val="17"/>
        </w:rPr>
        <w:t xml:space="preserve">Note: Existing agency program rules (board approval + minute notation) remain in force pending finalization.</w:t>
      </w:r>
    </w:p>
    <w:p>
      <w:pPr>
        <w:keepNext/>
        <w:spacing w:after="16" w:before="104"/>
      </w:pPr>
      <w:r>
        <w:rPr>
          <w:rFonts w:ascii="Arial" w:cs="Arial" w:eastAsia="Arial" w:hAnsi="Arial"/>
          <w:b/>
          <w:bCs/>
          <w:color w:val="1F3864"/>
          <w:sz w:val="21"/>
          <w:szCs w:val="21"/>
        </w:rPr>
        <w:t xml:space="preserve">BSA-11  —  Full board  ·  IDI</w:t>
      </w:r>
      <w:r>
        <w:rPr>
          <w:sz w:val="2"/>
          <w:szCs w:val="2"/>
        </w:rPr>
        <w:t xml:space="preserve"/>
      </w:r>
    </w:p>
    <w:p>
      <w:pPr>
        <w:spacing w:after="24"/>
      </w:pPr>
      <w:r>
        <w:rPr>
          <w:rFonts w:ascii="Arial" w:cs="Arial" w:eastAsia="Arial" w:hAnsi="Arial"/>
          <w:sz w:val="21"/>
          <w:szCs w:val="21"/>
        </w:rPr>
        <w:t xml:space="preserve">Board should receive orientation on BSA/AML requirements and risks and is responsible for approving and overseeing management's implementation of the BSA/AML compliance program.</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The Director's Book (2020), BSA/AML oversight (local ll. ~1184-1193, 3504-3526).</w:t>
      </w:r>
      <w:r>
        <w:rPr>
          <w:rFonts w:ascii="Arial" w:cs="Arial" w:eastAsia="Arial" w:hAnsi="Arial"/>
          <w:i/>
          <w:iCs/>
          <w:color w:val="3B6FB0"/>
          <w:sz w:val="15"/>
          <w:szCs w:val="15"/>
        </w:rPr>
        <w:t xml:space="preserve"> [https://www.occ.gov/publications-and-resources/publications/banker-education/files/pub-directors-book.pdf]</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BSA/AML program  ·  Redundancy: Candidate redundancy (intra-program)  ·  Confidence: Medium</w:t>
      </w:r>
    </w:p>
    <w:p>
      <w:pPr>
        <w:spacing w:after="104"/>
      </w:pPr>
      <w:r>
        <w:rPr>
          <w:rFonts w:ascii="Arial" w:cs="Arial" w:eastAsia="Arial" w:hAnsi="Arial"/>
          <w:i/>
          <w:iCs/>
          <w:color w:val="595959"/>
          <w:sz w:val="17"/>
          <w:szCs w:val="17"/>
        </w:rPr>
        <w:t xml:space="preserve">Note: OCC IDI-specific complement to the FFIEC manual.</w:t>
      </w:r>
    </w:p>
    <w:p>
      <w:pPr>
        <w:keepNext/>
        <w:spacing w:after="16" w:before="104"/>
      </w:pPr>
      <w:r>
        <w:rPr>
          <w:rFonts w:ascii="Arial" w:cs="Arial" w:eastAsia="Arial" w:hAnsi="Arial"/>
          <w:b/>
          <w:bCs/>
          <w:color w:val="1F3864"/>
          <w:sz w:val="21"/>
          <w:szCs w:val="21"/>
        </w:rPr>
        <w:t xml:space="preserve">BSA-12  —  Full board or designated board committee  ·  Both</w:t>
      </w:r>
      <w:r>
        <w:rPr>
          <w:sz w:val="2"/>
          <w:szCs w:val="2"/>
        </w:rPr>
        <w:t xml:space="preserve"/>
      </w:r>
    </w:p>
    <w:p>
      <w:pPr>
        <w:spacing w:after="24"/>
      </w:pPr>
      <w:r>
        <w:rPr>
          <w:rFonts w:ascii="Arial" w:cs="Arial" w:eastAsia="Arial" w:hAnsi="Arial"/>
          <w:sz w:val="21"/>
          <w:szCs w:val="21"/>
        </w:rPr>
        <w:t xml:space="preserve">Independent testing should provide enough information for the board (or a designated board committee) to assess program adequacy; examiners determine whether testing reports directly to the board or a designated board committee — referencing a committee composed primarily or completely of outside directors.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FFIEC BSA/AML Examination Manual, Independent Testing, Independent Testing exam procedures.</w:t>
      </w:r>
      <w:r>
        <w:rPr>
          <w:rFonts w:ascii="Arial" w:cs="Arial" w:eastAsia="Arial" w:hAnsi="Arial"/>
          <w:i/>
          <w:iCs/>
          <w:color w:val="3B6FB0"/>
          <w:sz w:val="15"/>
          <w:szCs w:val="15"/>
        </w:rPr>
        <w:t xml:space="preserve"> [https://bsaaml.ffiec.gov/manual]</w:t>
      </w:r>
    </w:p>
    <w:p>
      <w:pPr>
        <w:spacing w:after="6"/>
      </w:pPr>
      <w:r>
        <w:rPr>
          <w:rFonts w:ascii="Arial" w:cs="Arial" w:eastAsia="Arial" w:hAnsi="Arial"/>
          <w:i/>
          <w:iCs/>
          <w:color w:val="7030A0"/>
          <w:sz w:val="17"/>
          <w:szCs w:val="17"/>
        </w:rPr>
        <w:t xml:space="preserve">Legal force: Examination manual  ·  Consequence: Exam findings / MRAs; informs ratings (no direct legal force)  ·  Cadence: Event-driven  ·  Cluster: BSA/AML program  ·  Redundancy: Candidate redundancy (intra-program)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BSA-13  —  Full board; senior management  ·  Both</w:t>
      </w:r>
      <w:r>
        <w:rPr>
          <w:sz w:val="2"/>
          <w:szCs w:val="2"/>
        </w:rPr>
        <w:t xml:space="preserve"/>
      </w:r>
    </w:p>
    <w:p>
      <w:pPr>
        <w:spacing w:after="24"/>
      </w:pPr>
      <w:r>
        <w:rPr>
          <w:rFonts w:ascii="Arial" w:cs="Arial" w:eastAsia="Arial" w:hAnsi="Arial"/>
          <w:sz w:val="21"/>
          <w:szCs w:val="21"/>
        </w:rPr>
        <w:t xml:space="preserve">The OFAC/sanctions compliance program should be risk-based and supported by policies, procedures, internal controls, testing, training, and management and board oversight appropriate to the risk profile.</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FFIEC BSA/AML Examination Manual, OFAC sections, OFAC / sanctions examination sections.</w:t>
      </w:r>
      <w:r>
        <w:rPr>
          <w:rFonts w:ascii="Arial" w:cs="Arial" w:eastAsia="Arial" w:hAnsi="Arial"/>
          <w:i/>
          <w:iCs/>
          <w:color w:val="3B6FB0"/>
          <w:sz w:val="15"/>
          <w:szCs w:val="15"/>
        </w:rPr>
        <w:t xml:space="preserve"> [https://bsaaml.ffiec.gov/manual]</w:t>
      </w:r>
    </w:p>
    <w:p>
      <w:pPr>
        <w:spacing w:after="6"/>
      </w:pPr>
      <w:r>
        <w:rPr>
          <w:rFonts w:ascii="Arial" w:cs="Arial" w:eastAsia="Arial" w:hAnsi="Arial"/>
          <w:i/>
          <w:iCs/>
          <w:color w:val="7030A0"/>
          <w:sz w:val="17"/>
          <w:szCs w:val="17"/>
        </w:rPr>
        <w:t xml:space="preserve">Legal force: Examination manual  ·  Consequence: Exam findings / MRAs; informs ratings (no direct legal force)  ·  Cadence: Periodic / ongoing  ·  Cluster: BSA/AML program  ·  Redundancy: Candidate redundancy (intra-program)  ·  Confidence: Medium</w:t>
      </w:r>
    </w:p>
    <w:p>
      <w:pPr>
        <w:spacing w:after="104"/>
      </w:pPr>
      <w:r>
        <w:rPr>
          <w:rFonts w:ascii="Arial" w:cs="Arial" w:eastAsia="Arial" w:hAnsi="Arial"/>
          <w:i/>
          <w:iCs/>
          <w:color w:val="595959"/>
          <w:sz w:val="17"/>
          <w:szCs w:val="17"/>
        </w:rPr>
        <w:t xml:space="preserve">Note: Less board-specific than the BSA program-structure sections.</w:t>
      </w:r>
    </w:p>
    <w:p>
      <w:pPr>
        <w:pStyle w:val="Heading2"/>
      </w:pPr>
      <w:r>
        <w:t xml:space="preserve">13. Consumer compliance oversight</w:t>
      </w:r>
    </w:p>
    <w:p>
      <w:pPr>
        <w:keepNext/>
        <w:spacing w:after="16" w:before="104"/>
      </w:pPr>
      <w:r>
        <w:rPr>
          <w:rFonts w:ascii="Arial" w:cs="Arial" w:eastAsia="Arial" w:hAnsi="Arial"/>
          <w:b/>
          <w:bCs/>
          <w:color w:val="1F3864"/>
          <w:sz w:val="21"/>
          <w:szCs w:val="21"/>
        </w:rPr>
        <w:t xml:space="preserve">CON-01  —  Full board (may delegate day-to-day to management)  ·  IDI</w:t>
      </w:r>
      <w:r>
        <w:rPr>
          <w:sz w:val="2"/>
          <w:szCs w:val="2"/>
        </w:rPr>
        <w:t xml:space="preserve"/>
      </w:r>
    </w:p>
    <w:p>
      <w:pPr>
        <w:spacing w:after="24"/>
      </w:pPr>
      <w:r>
        <w:rPr>
          <w:rFonts w:ascii="Arial" w:cs="Arial" w:eastAsia="Arial" w:hAnsi="Arial"/>
          <w:sz w:val="21"/>
          <w:szCs w:val="21"/>
        </w:rPr>
        <w:t xml:space="preserve">Board should oversee the bank's consumer-compliance management system (CMS), create a culture that prioritizes compliance, and hold management accountable for implementing a CMS consistent with the bank's strategic direction, risk culture, and risk appetite.</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Comptroller's Handbook, Compliance Management Systems booklet, v1.0 (June 2018), Oversight and Commitment / Board of Directors, pp. 6-7.</w:t>
      </w:r>
      <w:r>
        <w:rPr>
          <w:rFonts w:ascii="Arial" w:cs="Arial" w:eastAsia="Arial" w:hAnsi="Arial"/>
          <w:i/>
          <w:iCs/>
          <w:color w:val="BF8F00"/>
          <w:sz w:val="15"/>
          <w:szCs w:val="15"/>
        </w:rPr>
        <w:t xml:space="preserve">  [URL not captured]</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Consumer compliance (CMS)  ·  Redundancy: Candidate redundancy  ·  Confidence: Medium</w:t>
      </w:r>
    </w:p>
    <w:p>
      <w:pPr>
        <w:spacing w:after="104"/>
      </w:pPr>
      <w:r>
        <w:rPr>
          <w:rFonts w:ascii="Arial" w:cs="Arial" w:eastAsia="Arial" w:hAnsi="Arial"/>
          <w:i/>
          <w:iCs/>
          <w:color w:val="595959"/>
          <w:sz w:val="17"/>
          <w:szCs w:val="17"/>
        </w:rPr>
        <w:t xml:space="preserve">Note: Applies to national banks/FSAs (GSIB lead IDIs). OCC continues to examine GSIB national banks for consumer compliance.</w:t>
      </w:r>
    </w:p>
    <w:p>
      <w:pPr>
        <w:keepNext/>
        <w:spacing w:after="16" w:before="104"/>
      </w:pPr>
      <w:r>
        <w:rPr>
          <w:rFonts w:ascii="Arial" w:cs="Arial" w:eastAsia="Arial" w:hAnsi="Arial"/>
          <w:b/>
          <w:bCs/>
          <w:color w:val="1F3864"/>
          <w:sz w:val="21"/>
          <w:szCs w:val="21"/>
        </w:rPr>
        <w:t xml:space="preserve">CON-02  —  Full board or board committee  ·  IDI</w:t>
      </w:r>
      <w:r>
        <w:rPr>
          <w:sz w:val="2"/>
          <w:szCs w:val="2"/>
        </w:rPr>
        <w:t xml:space="preserve"/>
      </w:r>
    </w:p>
    <w:p>
      <w:pPr>
        <w:spacing w:after="24"/>
      </w:pPr>
      <w:r>
        <w:rPr>
          <w:rFonts w:ascii="Arial" w:cs="Arial" w:eastAsia="Arial" w:hAnsi="Arial"/>
          <w:sz w:val="21"/>
          <w:szCs w:val="21"/>
        </w:rPr>
        <w:t xml:space="preserve">Board should receive sufficient consumer-compliance information (MIS reports, risk assessments, monitoring and independent audit reports) to assess CMS effectiveness and, when appropriate, provide credible challenge to management; board or board-committee minutes should reflect receipt and deliberation of consumer-compliance risk-management information.</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Comptroller's Handbook, Compliance Management Systems booklet, v1.0 (June 2018), Board of Directors, p. 7.</w:t>
      </w:r>
      <w:r>
        <w:rPr>
          <w:rFonts w:ascii="Arial" w:cs="Arial" w:eastAsia="Arial" w:hAnsi="Arial"/>
          <w:i/>
          <w:iCs/>
          <w:color w:val="BF8F00"/>
          <w:sz w:val="15"/>
          <w:szCs w:val="15"/>
        </w:rPr>
        <w:t xml:space="preserve">  [URL not captured]</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Consumer compliance (CMS)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CON-03  —  Full board  ·  IDI</w:t>
      </w:r>
      <w:r>
        <w:rPr>
          <w:sz w:val="2"/>
          <w:szCs w:val="2"/>
        </w:rPr>
        <w:t xml:space="preserve"/>
      </w:r>
    </w:p>
    <w:p>
      <w:pPr>
        <w:spacing w:after="24"/>
      </w:pPr>
      <w:r>
        <w:rPr>
          <w:rFonts w:ascii="Arial" w:cs="Arial" w:eastAsia="Arial" w:hAnsi="Arial"/>
          <w:sz w:val="21"/>
          <w:szCs w:val="21"/>
        </w:rPr>
        <w:t xml:space="preserve">Board should understand its consumer-compliance roles and responsibilities and periodically assess directors' consumer-compliance skills and competencies relative to the bank's size, complexity, and risk profile.</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Comptroller's Handbook, Compliance Management Systems booklet, v1.0 (June 2018), Board of Directors, p. 7.</w:t>
      </w:r>
      <w:r>
        <w:rPr>
          <w:rFonts w:ascii="Arial" w:cs="Arial" w:eastAsia="Arial" w:hAnsi="Arial"/>
          <w:i/>
          <w:iCs/>
          <w:color w:val="BF8F00"/>
          <w:sz w:val="15"/>
          <w:szCs w:val="15"/>
        </w:rPr>
        <w:t xml:space="preserve">  [URL not captured]</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Consumer compliance (CMS)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CON-04  —  Full board; management  ·  IDI</w:t>
      </w:r>
      <w:r>
        <w:rPr>
          <w:sz w:val="2"/>
          <w:szCs w:val="2"/>
        </w:rPr>
        <w:t xml:space="preserve"/>
      </w:r>
    </w:p>
    <w:p>
      <w:pPr>
        <w:spacing w:after="24"/>
      </w:pPr>
      <w:r>
        <w:rPr>
          <w:rFonts w:ascii="Arial" w:cs="Arial" w:eastAsia="Arial" w:hAnsi="Arial"/>
          <w:sz w:val="21"/>
          <w:szCs w:val="21"/>
        </w:rPr>
        <w:t xml:space="preserve">Responsibility for ensuring the institution and its third-party providers comply rests with the board and management; every FDIC-supervised institution must have an effective CMS, with two pillars: board and management oversight, and the consumer-compliance program.</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FDIC Consumer Compliance Examination Manual, sec. II-3.1 (Compliance Management System), Sec. II-3.1.</w:t>
      </w:r>
      <w:r>
        <w:rPr>
          <w:rFonts w:ascii="Arial" w:cs="Arial" w:eastAsia="Arial" w:hAnsi="Arial"/>
          <w:i/>
          <w:iCs/>
          <w:color w:val="BF8F00"/>
          <w:sz w:val="15"/>
          <w:szCs w:val="15"/>
        </w:rPr>
        <w:t xml:space="preserve">  [URL not captured]</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Consumer compliance (CMS)  ·  Redundancy: Candidate redundancy  ·  Confidence: Medium</w:t>
      </w:r>
    </w:p>
    <w:p>
      <w:pPr>
        <w:spacing w:after="104"/>
      </w:pPr>
      <w:r>
        <w:rPr>
          <w:rFonts w:ascii="Arial" w:cs="Arial" w:eastAsia="Arial" w:hAnsi="Arial"/>
          <w:i/>
          <w:iCs/>
          <w:color w:val="595959"/>
          <w:sz w:val="17"/>
          <w:szCs w:val="17"/>
        </w:rPr>
        <w:t xml:space="preserve">Note: Applies to FDIC-supervised IDIs; relevant to any state-nonmember IDI subsidiary of a GSIB. Quote-verify against the live PDF before citation.</w:t>
      </w:r>
    </w:p>
    <w:p>
      <w:pPr>
        <w:keepNext/>
        <w:spacing w:after="16" w:before="104"/>
      </w:pPr>
      <w:r>
        <w:rPr>
          <w:rFonts w:ascii="Arial" w:cs="Arial" w:eastAsia="Arial" w:hAnsi="Arial"/>
          <w:b/>
          <w:bCs/>
          <w:color w:val="1F3864"/>
          <w:sz w:val="21"/>
          <w:szCs w:val="21"/>
        </w:rPr>
        <w:t xml:space="preserve">CON-05  —  Full board (audit scope/frequency); directors as training recipients  ·  IDI</w:t>
      </w:r>
      <w:r>
        <w:rPr>
          <w:sz w:val="2"/>
          <w:szCs w:val="2"/>
        </w:rPr>
        <w:t xml:space="preserve"/>
      </w:r>
    </w:p>
    <w:p>
      <w:pPr>
        <w:spacing w:after="24"/>
      </w:pPr>
      <w:r>
        <w:rPr>
          <w:rFonts w:ascii="Arial" w:cs="Arial" w:eastAsia="Arial" w:hAnsi="Arial"/>
          <w:sz w:val="21"/>
          <w:szCs w:val="21"/>
        </w:rPr>
        <w:t xml:space="preserve">Board should determine the scope and frequency of compliance audits; the compliance officer establishes a regular training schedule for directors, management, and staff.</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FDIC Consumer Compliance Examination Manual, sec. II-3.1, Sec. II-3.1 (audit and training subsections).</w:t>
      </w:r>
      <w:r>
        <w:rPr>
          <w:rFonts w:ascii="Arial" w:cs="Arial" w:eastAsia="Arial" w:hAnsi="Arial"/>
          <w:i/>
          <w:iCs/>
          <w:color w:val="BF8F00"/>
          <w:sz w:val="15"/>
          <w:szCs w:val="15"/>
        </w:rPr>
        <w:t xml:space="preserve">  [URL not captured]</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Consumer compliance (CMS)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CON-06  —  Full board (day-to-day oversight often via Risk Committee or a dedicated compliance committee at GSIBs)  ·  BHC</w:t>
      </w:r>
      <w:r>
        <w:rPr>
          <w:sz w:val="2"/>
          <w:szCs w:val="2"/>
        </w:rPr>
        <w:t xml:space="preserve"/>
      </w:r>
    </w:p>
    <w:p>
      <w:pPr>
        <w:spacing w:after="24"/>
      </w:pPr>
      <w:r>
        <w:rPr>
          <w:rFonts w:ascii="Arial" w:cs="Arial" w:eastAsia="Arial" w:hAnsi="Arial"/>
          <w:sz w:val="21"/>
          <w:szCs w:val="21"/>
        </w:rPr>
        <w:t xml:space="preserve">Board should oversee development of, review, approve, and periodically monitor the firm's compliance strategy and its alignment with overall strategy; direct senior management on the board's information needs; hold senior management accountable for effective implementation and timely resolution of compliance issues; and hold management accountable for performance-management/compensation programs that promote compliance, including for conduct.</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08-8 / CA 08-11, Compliance Risk Management Programs and Oversight at Large Banking Organizations with Complex Compliance Profiles (Oct. 16, 2008; revised Oct. 1, 2025), Sec. IV (Responsibilities of the Board of Directors and Senior Management), p. 8; sec. I.</w:t>
      </w:r>
      <w:r>
        <w:rPr>
          <w:rFonts w:ascii="Arial" w:cs="Arial" w:eastAsia="Arial" w:hAnsi="Arial"/>
          <w:i/>
          <w:iCs/>
          <w:color w:val="3B6FB0"/>
          <w:sz w:val="15"/>
          <w:szCs w:val="15"/>
        </w:rPr>
        <w:t xml:space="preserve"> [https://www.federalreserve.gov/supervisionreg/srletters/SR0808.htm]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Consumer compliance (CMS)  ·  Redundancy: Candidate redundancy  ·  Confidence: Medium</w:t>
      </w:r>
    </w:p>
    <w:p>
      <w:pPr>
        <w:spacing w:after="104"/>
      </w:pPr>
      <w:r>
        <w:rPr>
          <w:rFonts w:ascii="Arial" w:cs="Arial" w:eastAsia="Arial" w:hAnsi="Arial"/>
          <w:i/>
          <w:iCs/>
          <w:color w:val="595959"/>
          <w:sz w:val="17"/>
          <w:szCs w:val="17"/>
        </w:rPr>
        <w:t xml:space="preserve">Note: Directly governs Category I GSIB holding companies ($50B+). Oct. 1, 2025 revision removed reputational-risk references; Feb. 26, 2021 revision conformed it to SR 21-3.</w:t>
      </w:r>
    </w:p>
    <w:p>
      <w:pPr>
        <w:keepNext/>
        <w:spacing w:after="16" w:before="104"/>
      </w:pPr>
      <w:r>
        <w:rPr>
          <w:rFonts w:ascii="Arial" w:cs="Arial" w:eastAsia="Arial" w:hAnsi="Arial"/>
          <w:b/>
          <w:bCs/>
          <w:color w:val="1F3864"/>
          <w:sz w:val="21"/>
          <w:szCs w:val="21"/>
        </w:rPr>
        <w:t xml:space="preserve">CON-07  —  Full board (reporting to board or a committee)  ·  BHC</w:t>
      </w:r>
      <w:r>
        <w:rPr>
          <w:sz w:val="2"/>
          <w:szCs w:val="2"/>
        </w:rPr>
        <w:t xml:space="preserve"/>
      </w:r>
    </w:p>
    <w:p>
      <w:pPr>
        <w:spacing w:after="24"/>
      </w:pPr>
      <w:r>
        <w:rPr>
          <w:rFonts w:ascii="Arial" w:cs="Arial" w:eastAsia="Arial" w:hAnsi="Arial"/>
          <w:sz w:val="21"/>
          <w:szCs w:val="21"/>
        </w:rPr>
        <w:t xml:space="preserve">Board should promote the stature and independence of the corporate compliance function and provide an appropriate level of resources; the corporate compliance function should report to the board, or a committee thereof, on significant compliance matters; compliance staff should not be compensated on business-line financial performance.</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SR 08-8 / CA 08-11 (rev. Oct. 1, 2025), Sec. IV (Boards of Directors), p. 9; sec. II.</w:t>
      </w:r>
      <w:r>
        <w:rPr>
          <w:rFonts w:ascii="Arial" w:cs="Arial" w:eastAsia="Arial" w:hAnsi="Arial"/>
          <w:i/>
          <w:iCs/>
          <w:color w:val="3B6FB0"/>
          <w:sz w:val="15"/>
          <w:szCs w:val="15"/>
        </w:rPr>
        <w:t xml:space="preserve"> [https://www.federalreserve.gov/supervisionreg/srletters/SR0808.htm]</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Consumer compliance (CMS)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CON-08  —  Full board  ·  IDI (consumer)</w:t>
      </w:r>
      <w:r>
        <w:rPr>
          <w:sz w:val="2"/>
          <w:szCs w:val="2"/>
        </w:rPr>
        <w:t xml:space="preserve"/>
      </w:r>
    </w:p>
    <w:p>
      <w:pPr>
        <w:spacing w:after="24"/>
      </w:pPr>
      <w:r>
        <w:rPr>
          <w:rFonts w:ascii="Arial" w:cs="Arial" w:eastAsia="Arial" w:hAnsi="Arial"/>
          <w:sz w:val="21"/>
          <w:szCs w:val="21"/>
        </w:rPr>
        <w:t xml:space="preserve">Board approval and oversight of the compliance management system, board reporting, and board accountability for the CMS. NOMINALLY IN FORCE but lightly enforced: the manual remains posted and not formally rescinded, but examination intensity, scope, and practical enforcement have been materially diminished in 2025-2026.</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CFPB Supervision and Examination Manual, Compliance Management Review (CMR), CMR module (board and senior management).</w:t>
      </w:r>
      <w:r>
        <w:rPr>
          <w:rFonts w:ascii="Arial" w:cs="Arial" w:eastAsia="Arial" w:hAnsi="Arial"/>
          <w:i/>
          <w:iCs/>
          <w:color w:val="3B6FB0"/>
          <w:sz w:val="15"/>
          <w:szCs w:val="15"/>
        </w:rPr>
        <w:t xml:space="preserve"> [https://www.consumerfinance.gov/compliance/supervision-examinations/]</w:t>
      </w:r>
    </w:p>
    <w:p>
      <w:pPr>
        <w:spacing w:after="6"/>
      </w:pPr>
      <w:r>
        <w:rPr>
          <w:rFonts w:ascii="Arial" w:cs="Arial" w:eastAsia="Arial" w:hAnsi="Arial"/>
          <w:i/>
          <w:iCs/>
          <w:color w:val="7030A0"/>
          <w:sz w:val="17"/>
          <w:szCs w:val="17"/>
        </w:rPr>
        <w:t xml:space="preserve">Legal force: Supervisory guidance  ·  Consequence: Minimal in 2026 (CFPB supervision curtailed)  ·  Cadence: Periodic / ongoing  ·  Cluster: Consumer compliance (CMS)  ·  Redundancy: Candidate redundancy  ·  Confidence: High (web-verified)</w:t>
      </w:r>
    </w:p>
    <w:p>
      <w:pPr>
        <w:spacing w:after="104"/>
      </w:pPr>
      <w:r>
        <w:rPr>
          <w:rFonts w:ascii="Arial" w:cs="Arial" w:eastAsia="Arial" w:hAnsi="Arial"/>
          <w:i/>
          <w:iCs/>
          <w:color w:val="595959"/>
          <w:sz w:val="17"/>
          <w:szCs w:val="17"/>
        </w:rPr>
        <w:t xml:space="preserve">Note: As of June 2026 the CFPB operates under a 'Humility in Supervision Pledge' (announced Nov. 21, 2025) with far fewer, narrower exams focused on servicemembers/veterans and clear statutory authority, MRAs limited to pattern-and-practice violations with identifiable consumer harm, and deference to other regulators. Operative board-level consumer-compliance pressure on GSIB IDIs now comes mainly from the prudential regulators (OCC/FDIC/FRB).</w:t>
      </w:r>
    </w:p>
    <w:p>
      <w:pPr>
        <w:keepNext/>
        <w:spacing w:after="16" w:before="104"/>
      </w:pPr>
      <w:r>
        <w:rPr>
          <w:rFonts w:ascii="Arial" w:cs="Arial" w:eastAsia="Arial" w:hAnsi="Arial"/>
          <w:b/>
          <w:bCs/>
          <w:color w:val="1F3864"/>
          <w:sz w:val="21"/>
          <w:szCs w:val="21"/>
        </w:rPr>
        <w:t xml:space="preserve">CON-09  —  Full board or compliance/risk committee  ·  Both</w:t>
      </w:r>
      <w:r>
        <w:rPr>
          <w:sz w:val="2"/>
          <w:szCs w:val="2"/>
        </w:rPr>
        <w:t xml:space="preserve"/>
      </w:r>
    </w:p>
    <w:p>
      <w:pPr>
        <w:spacing w:after="24"/>
      </w:pPr>
      <w:r>
        <w:rPr>
          <w:rFonts w:ascii="Arial" w:cs="Arial" w:eastAsia="Arial" w:hAnsi="Arial"/>
          <w:sz w:val="21"/>
          <w:szCs w:val="21"/>
        </w:rPr>
        <w:t xml:space="preserve">Board is expected to ensure the CMS covers fair-lending risk (ECOA/Reg B, FHA, HMDA/Reg C), receive fair-lending risk assessments, monitoring, and audit results, and provide credible challenge; examiners assess board/management oversight of fair-lending risk as part of the CMS.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FFIEC Interagency Fair Lending Examination Procedures; consumer-compliance manuals (OCC CMS booklet; FDIC CEM; SR 08-8), Fair-lending exam procedures; CMS expectations.</w:t>
      </w:r>
      <w:r>
        <w:rPr>
          <w:rFonts w:ascii="Arial" w:cs="Arial" w:eastAsia="Arial" w:hAnsi="Arial"/>
          <w:i/>
          <w:iCs/>
          <w:color w:val="3B6FB0"/>
          <w:sz w:val="15"/>
          <w:szCs w:val="15"/>
        </w:rPr>
        <w:t xml:space="preserve"> [https://www.federalreserve.gov/supervisionreg/srletters/SR0808.htm]</w:t>
      </w:r>
    </w:p>
    <w:p>
      <w:pPr>
        <w:spacing w:after="6"/>
      </w:pPr>
      <w:r>
        <w:rPr>
          <w:rFonts w:ascii="Arial" w:cs="Arial" w:eastAsia="Arial" w:hAnsi="Arial"/>
          <w:i/>
          <w:iCs/>
          <w:color w:val="7030A0"/>
          <w:sz w:val="17"/>
          <w:szCs w:val="17"/>
        </w:rPr>
        <w:t xml:space="preserve">Legal force: Examination manual  ·  Consequence: Exam findings / MRAs; informs ratings (no direct legal force)  ·  Cadence: Periodic / ongoing  ·  Cluster: Consumer compliance (CMS)  ·  Redundancy: Candidate redundancy  ·  Confidence: Medium</w:t>
      </w:r>
    </w:p>
    <w:p>
      <w:pPr>
        <w:spacing w:after="104"/>
      </w:pPr>
      <w:r>
        <w:rPr>
          <w:rFonts w:ascii="Arial" w:cs="Arial" w:eastAsia="Arial" w:hAnsi="Arial"/>
          <w:i/>
          <w:iCs/>
          <w:color w:val="595959"/>
          <w:sz w:val="17"/>
          <w:szCs w:val="17"/>
        </w:rPr>
        <w:t xml:space="preserve">Note: Fair-lending oversight is embedded in CMS expectations rather than a standalone board mandate.</w:t>
      </w:r>
    </w:p>
    <w:p>
      <w:pPr>
        <w:keepNext/>
        <w:spacing w:after="16" w:before="104"/>
      </w:pPr>
      <w:r>
        <w:rPr>
          <w:rFonts w:ascii="Arial" w:cs="Arial" w:eastAsia="Arial" w:hAnsi="Arial"/>
          <w:b/>
          <w:bCs/>
          <w:color w:val="1F3864"/>
          <w:sz w:val="21"/>
          <w:szCs w:val="21"/>
        </w:rPr>
        <w:t xml:space="preserve">CON-10  —  Full board (or equivalent oversight body)  ·  IDI (consumer)</w:t>
      </w:r>
      <w:r>
        <w:rPr>
          <w:sz w:val="2"/>
          <w:szCs w:val="2"/>
        </w:rPr>
        <w:t xml:space="preserve"/>
      </w:r>
    </w:p>
    <w:p>
      <w:pPr>
        <w:spacing w:after="24"/>
      </w:pPr>
      <w:r>
        <w:rPr>
          <w:rFonts w:ascii="Arial" w:cs="Arial" w:eastAsia="Arial" w:hAnsi="Arial"/>
          <w:sz w:val="21"/>
          <w:szCs w:val="21"/>
        </w:rPr>
        <w:t xml:space="preserve">In a depository institution the board is ultimately responsible for developing and administering a compliance management system that ensures compliance with Federal consumer financial laws and minimizes consumer-harm risk; oversight is assessed for commitment, change management, risk comprehension, self-identification, corrective action, resources, staff accountability, and service-provider oversight.</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CFPB Supervision and Examination Manual, Compliance Management Review, Module 1, CMR Module 1 (local ll. ~2878-2949).</w:t>
      </w:r>
      <w:r>
        <w:rPr>
          <w:rFonts w:ascii="Arial" w:cs="Arial" w:eastAsia="Arial" w:hAnsi="Arial"/>
          <w:i/>
          <w:iCs/>
          <w:color w:val="3B6FB0"/>
          <w:sz w:val="15"/>
          <w:szCs w:val="15"/>
        </w:rPr>
        <w:t xml:space="preserve"> [https://www.consumerfinance.gov/compliance/supervision-examinations/]</w:t>
      </w:r>
    </w:p>
    <w:p>
      <w:pPr>
        <w:spacing w:after="6"/>
      </w:pPr>
      <w:r>
        <w:rPr>
          <w:rFonts w:ascii="Arial" w:cs="Arial" w:eastAsia="Arial" w:hAnsi="Arial"/>
          <w:i/>
          <w:iCs/>
          <w:color w:val="7030A0"/>
          <w:sz w:val="17"/>
          <w:szCs w:val="17"/>
        </w:rPr>
        <w:t xml:space="preserve">Legal force: Supervisory guidance  ·  Consequence: Minimal in 2026 (CFPB supervision curtailed)  ·  Cadence: Periodic / ongoing  ·  Cluster: Consumer compliance (CMS)  ·  Redundancy: Candidate redundancy  ·  Confidence: Medium</w:t>
      </w:r>
    </w:p>
    <w:p>
      <w:pPr>
        <w:spacing w:after="104"/>
      </w:pPr>
      <w:r>
        <w:rPr>
          <w:rFonts w:ascii="Arial" w:cs="Arial" w:eastAsia="Arial" w:hAnsi="Arial"/>
          <w:i/>
          <w:iCs/>
          <w:color w:val="595959"/>
          <w:sz w:val="17"/>
          <w:szCs w:val="17"/>
        </w:rPr>
        <w:t xml:space="preserve">Note: See CON-08 currency flag (CFPB Humility Pledge posture).</w:t>
      </w:r>
    </w:p>
    <w:p>
      <w:pPr>
        <w:keepNext/>
        <w:spacing w:after="16" w:before="104"/>
      </w:pPr>
      <w:r>
        <w:rPr>
          <w:rFonts w:ascii="Arial" w:cs="Arial" w:eastAsia="Arial" w:hAnsi="Arial"/>
          <w:b/>
          <w:bCs/>
          <w:color w:val="1F3864"/>
          <w:sz w:val="21"/>
          <w:szCs w:val="21"/>
        </w:rPr>
        <w:t xml:space="preserve">CON-11  —  Full board; audit committee; risk committee  ·  IDI (consumer)</w:t>
      </w:r>
      <w:r>
        <w:rPr>
          <w:sz w:val="2"/>
          <w:szCs w:val="2"/>
        </w:rPr>
        <w:t xml:space="preserve"/>
      </w:r>
    </w:p>
    <w:p>
      <w:pPr>
        <w:spacing w:after="24"/>
      </w:pPr>
      <w:r>
        <w:rPr>
          <w:rFonts w:ascii="Arial" w:cs="Arial" w:eastAsia="Arial" w:hAnsi="Arial"/>
          <w:sz w:val="21"/>
          <w:szCs w:val="21"/>
        </w:rPr>
        <w:t xml:space="preserve">Examiners review board minutes, delegated board-committee responsibilities for compliance, management-committee reporting to the board, a formal board/committee-adopted compliance program, the compliance budget, the chief compliance officer's independent access to directors, and board coverage of sales practices, performance goals/quotas, and incentive structures.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CFPB Supervision and Examination Manual, Compliance Management Review, CMR procedures (local ll. ~2991-3065).</w:t>
      </w:r>
      <w:r>
        <w:rPr>
          <w:rFonts w:ascii="Arial" w:cs="Arial" w:eastAsia="Arial" w:hAnsi="Arial"/>
          <w:i/>
          <w:iCs/>
          <w:color w:val="3B6FB0"/>
          <w:sz w:val="15"/>
          <w:szCs w:val="15"/>
        </w:rPr>
        <w:t xml:space="preserve"> [https://www.consumerfinance.gov/compliance/supervision-examinations/]</w:t>
      </w:r>
    </w:p>
    <w:p>
      <w:pPr>
        <w:spacing w:after="6"/>
      </w:pPr>
      <w:r>
        <w:rPr>
          <w:rFonts w:ascii="Arial" w:cs="Arial" w:eastAsia="Arial" w:hAnsi="Arial"/>
          <w:i/>
          <w:iCs/>
          <w:color w:val="7030A0"/>
          <w:sz w:val="17"/>
          <w:szCs w:val="17"/>
        </w:rPr>
        <w:t xml:space="preserve">Legal force: Supervisory guidance  ·  Consequence: Minimal in 2026 (CFPB supervision curtailed)  ·  Cadence: Periodic / ongoing  ·  Cluster: Consumer compliance (CMS)  ·  Redundancy: Candidate redundancy  ·  Confidence: Medium</w:t>
      </w:r>
    </w:p>
    <w:p>
      <w:pPr>
        <w:spacing w:after="104"/>
      </w:pPr>
      <w:r>
        <w:rPr>
          <w:rFonts w:ascii="Arial" w:cs="Arial" w:eastAsia="Arial" w:hAnsi="Arial"/>
          <w:i/>
          <w:iCs/>
          <w:color w:val="595959"/>
          <w:sz w:val="17"/>
          <w:szCs w:val="17"/>
        </w:rPr>
        <w:t xml:space="preserve">Note: Specifically names audit and risk committees; links consumer compliance to incentive compensation.</w:t>
      </w:r>
    </w:p>
    <w:p>
      <w:pPr>
        <w:keepNext/>
        <w:spacing w:after="16" w:before="104"/>
      </w:pPr>
      <w:r>
        <w:rPr>
          <w:rFonts w:ascii="Arial" w:cs="Arial" w:eastAsia="Arial" w:hAnsi="Arial"/>
          <w:b/>
          <w:bCs/>
          <w:color w:val="1F3864"/>
          <w:sz w:val="21"/>
          <w:szCs w:val="21"/>
        </w:rPr>
        <w:t xml:space="preserve">CON-12  —  Board or designated committee  ·  IDI (consumer)</w:t>
      </w:r>
      <w:r>
        <w:rPr>
          <w:sz w:val="2"/>
          <w:szCs w:val="2"/>
        </w:rPr>
        <w:t xml:space="preserve"/>
      </w:r>
    </w:p>
    <w:p>
      <w:pPr>
        <w:spacing w:after="24"/>
      </w:pPr>
      <w:r>
        <w:rPr>
          <w:rFonts w:ascii="Arial" w:cs="Arial" w:eastAsia="Arial" w:hAnsi="Arial"/>
          <w:sz w:val="21"/>
          <w:szCs w:val="21"/>
        </w:rPr>
        <w:t xml:space="preserve">A compliance audit, independent of compliance and business functions, should give the board (or a designated committee) a determination of whether board-adopted policies and procedures are implemented and followed; monitoring and audit findings should be escalated to management and the board as appropriate.</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CFPB Supervision and Examination Manual, Compliance Management Review, CMR Monitoring/Audit (local ll. ~3354-3401).</w:t>
      </w:r>
      <w:r>
        <w:rPr>
          <w:rFonts w:ascii="Arial" w:cs="Arial" w:eastAsia="Arial" w:hAnsi="Arial"/>
          <w:i/>
          <w:iCs/>
          <w:color w:val="3B6FB0"/>
          <w:sz w:val="15"/>
          <w:szCs w:val="15"/>
        </w:rPr>
        <w:t xml:space="preserve"> [https://www.consumerfinance.gov/compliance/supervision-examinations/]</w:t>
      </w:r>
    </w:p>
    <w:p>
      <w:pPr>
        <w:spacing w:after="6"/>
      </w:pPr>
      <w:r>
        <w:rPr>
          <w:rFonts w:ascii="Arial" w:cs="Arial" w:eastAsia="Arial" w:hAnsi="Arial"/>
          <w:i/>
          <w:iCs/>
          <w:color w:val="7030A0"/>
          <w:sz w:val="17"/>
          <w:szCs w:val="17"/>
        </w:rPr>
        <w:t xml:space="preserve">Legal force: Supervisory guidance  ·  Consequence: Minimal in 2026 (CFPB supervision curtailed)  ·  Cadence: Event-driven  ·  Cluster: Consumer compliance (CMS)  ·  Redundancy: Candidate redundancy  ·  Confidence: Medium</w:t>
      </w:r>
    </w:p>
    <w:p>
      <w:pPr>
        <w:spacing w:after="96"/>
      </w:pPr>
      <w:r>
        <w:rPr>
          <w:sz w:val="2"/>
          <w:szCs w:val="2"/>
        </w:rPr>
        <w:t xml:space="preserve"/>
      </w:r>
    </w:p>
    <w:p>
      <w:pPr>
        <w:keepNext/>
        <w:spacing w:after="16" w:before="104"/>
      </w:pPr>
      <w:r>
        <w:rPr>
          <w:rFonts w:ascii="Arial" w:cs="Arial" w:eastAsia="Arial" w:hAnsi="Arial"/>
          <w:b/>
          <w:bCs/>
          <w:color w:val="1F3864"/>
          <w:sz w:val="21"/>
          <w:szCs w:val="21"/>
        </w:rPr>
        <w:t xml:space="preserve">CON-13  —  Full board  ·  IDI</w:t>
      </w:r>
      <w:r>
        <w:rPr>
          <w:sz w:val="2"/>
          <w:szCs w:val="2"/>
        </w:rPr>
        <w:t xml:space="preserve"/>
      </w:r>
    </w:p>
    <w:p>
      <w:pPr>
        <w:spacing w:after="24"/>
      </w:pPr>
      <w:r>
        <w:rPr>
          <w:rFonts w:ascii="Arial" w:cs="Arial" w:eastAsia="Arial" w:hAnsi="Arial"/>
          <w:sz w:val="21"/>
          <w:szCs w:val="21"/>
        </w:rPr>
        <w:t xml:space="preserve">Board should oversee the consumer compliance management system; larger, more complex banks should receive periodic state-of-compliance reports; the board is responsible for a culture prioritizing compliance and confirming internal controls.</w:t>
      </w:r>
    </w:p>
    <w:p>
      <w:pPr>
        <w:spacing w:after="6"/>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The Director's Book (2020), Consumer compliance (local ll. ~3442-3473, 3895-3901).</w:t>
      </w:r>
      <w:r>
        <w:rPr>
          <w:rFonts w:ascii="Arial" w:cs="Arial" w:eastAsia="Arial" w:hAnsi="Arial"/>
          <w:i/>
          <w:iCs/>
          <w:color w:val="3B6FB0"/>
          <w:sz w:val="15"/>
          <w:szCs w:val="15"/>
        </w:rPr>
        <w:t xml:space="preserve"> [https://www.occ.gov/publications-and-resources/publications/banker-education/files/pub-directors-book.pdf]</w:t>
      </w:r>
    </w:p>
    <w:p>
      <w:pPr>
        <w:spacing w:after="6"/>
      </w:pPr>
      <w:r>
        <w:rPr>
          <w:rFonts w:ascii="Arial" w:cs="Arial" w:eastAsia="Arial" w:hAnsi="Arial"/>
          <w:i/>
          <w:iCs/>
          <w:color w:val="7030A0"/>
          <w:sz w:val="17"/>
          <w:szCs w:val="17"/>
        </w:rPr>
        <w:t xml:space="preserve">Legal force: Supervisory guidance  ·  Consequence: Exam findings / MRAs; informs ratings (no direct legal force)  ·  Cadence: Periodic / ongoing  ·  Cluster: Consumer compliance (CMS)  ·  Redundancy: Candidate redundancy  ·  Confidence: Medium</w:t>
      </w:r>
    </w:p>
    <w:p>
      <w:pPr>
        <w:spacing w:after="104"/>
      </w:pPr>
      <w:r>
        <w:rPr>
          <w:rFonts w:ascii="Arial" w:cs="Arial" w:eastAsia="Arial" w:hAnsi="Arial"/>
          <w:i/>
          <w:iCs/>
          <w:color w:val="595959"/>
          <w:sz w:val="17"/>
          <w:szCs w:val="17"/>
        </w:rPr>
        <w:t xml:space="preserve">Note: OCC IDI complement to the OCC CMS booklet and SR 08-8.</w:t>
      </w:r>
    </w:p>
    <w:p>
      <w:r>
        <w:br w:type="page"/>
      </w:r>
    </w:p>
    <w:p>
      <w:pPr>
        <w:pStyle w:val="Heading1"/>
      </w:pPr>
      <w:r>
        <w:t xml:space="preserve">Expectations — inconsistencies, conflicts, and the examination-manual gap</w:t>
      </w:r>
    </w:p>
    <w:p>
      <w:pPr>
        <w:spacing w:after="120" w:before="0"/>
      </w:pPr>
      <w:r>
        <w:rPr>
          <w:rFonts w:ascii="Arial" w:cs="Arial" w:eastAsia="Arial" w:hAnsi="Arial"/>
          <w:sz w:val="22"/>
          <w:szCs w:val="22"/>
        </w:rPr>
        <w:t xml:space="preserve">The 'ensure' (SR 12-17) versus 'oversee' (SR 21-3) tension, the disclaimed-but-not-withdrawn examination manuals, the independence-threshold divergence, and the typed conflict matrix.</w:t>
      </w:r>
    </w:p>
    <w:p>
      <w:pPr>
        <w:pStyle w:val="Heading2"/>
      </w:pPr>
      <w:r>
        <w:t xml:space="preserve">Examination-manual status (SR 21-4)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Item</w:t>
            </w:r>
          </w:p>
        </w:tc>
        <w:tc>
          <w:tcPr>
            <w:tcW w:type="dxa" w:w="676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Detail</w:t>
            </w:r>
          </w:p>
        </w:tc>
      </w:tr>
      <w:tr>
        <w:tc>
          <w:tcPr>
            <w:tcW w:type="dxa" w:w="2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SR 21-4 / CA 21-2 governing instruction</w:t>
            </w:r>
          </w:p>
        </w:tc>
        <w:tc>
          <w:tcPr>
            <w:tcW w:type="dxa" w:w="67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Firms should not rely on the examination manuals for board expectations, and examiners should not refer to them in governance assessments — but the manuals were not formally withdrawn, producing an 'asymmetric information' gap between published text and supervisory practice.</w:t>
            </w:r>
          </w:p>
        </w:tc>
      </w:tr>
      <w:tr>
        <w:tc>
          <w:tcPr>
            <w:tcW w:type="dxa" w:w="2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CBEM Supplement 53 (May 2021)</w:t>
            </w:r>
          </w:p>
        </w:tc>
        <w:tc>
          <w:tcPr>
            <w:tcW w:type="dxa" w:w="67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Reorganized the Commercial Bank Examination Manual to align with CAMELS; removed Complex Wholesale Borrowings sections (SR 01-8 inactivated).</w:t>
            </w:r>
          </w:p>
        </w:tc>
      </w:tr>
      <w:tr>
        <w:tc>
          <w:tcPr>
            <w:tcW w:type="dxa" w:w="2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CBEM Supplement 54 (May 2022)</w:t>
            </w:r>
          </w:p>
        </w:tc>
        <w:tc>
          <w:tcPr>
            <w:tcW w:type="dxa" w:w="67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Eliminated numerous examination-procedure sections and migrated them to non-public Examination Documentation (ED) modules — reducing transparency of examiner criteria.</w:t>
            </w:r>
          </w:p>
        </w:tc>
      </w:tr>
      <w:tr>
        <w:tc>
          <w:tcPr>
            <w:tcW w:type="dxa" w:w="2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CBEM Supplement 55 (Oct 2023)</w:t>
            </w:r>
          </w:p>
        </w:tc>
        <w:tc>
          <w:tcPr>
            <w:tcW w:type="dxa" w:w="67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Revised Sections 1200.1 (CAMELS/Risk-Management Rating), 4012.1 (Risk-Management Processes for firms &gt;$100B), and 5300.1 (IT) to better reflect board and senior-management roles.</w:t>
            </w:r>
          </w:p>
        </w:tc>
      </w:tr>
      <w:tr>
        <w:tc>
          <w:tcPr>
            <w:tcW w:type="dxa" w:w="2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CBEM Supplement 56 (Feb 2026)</w:t>
            </w:r>
          </w:p>
        </w:tc>
        <w:tc>
          <w:tcPr>
            <w:tcW w:type="dxa" w:w="67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Removed reputational risk from examination programs and further aligned content with SR 21-3 across capital, liquidity, credit-risk review, third-party, IT, and payment systems; confirmed reliance on ED modules and current interagency statements.</w:t>
            </w:r>
          </w:p>
        </w:tc>
      </w:tr>
      <w:tr>
        <w:tc>
          <w:tcPr>
            <w:tcW w:type="dxa" w:w="2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Stale sections not yet revised</w:t>
            </w:r>
          </w:p>
        </w:tc>
        <w:tc>
          <w:tcPr>
            <w:tcW w:type="dxa" w:w="67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CBEM 4000.1 (Apr 2020), 4000.2 (Nov 1995), and 4000.3 (Nov 2003) predate SR 21-3 and remain published but, per SR 21-4, should not be relied upon for board expectations; the BHC Supervision Manual lacks comparable published revision information.</w:t>
            </w:r>
          </w:p>
        </w:tc>
      </w:tr>
    </w:tbl>
    <w:p>
      <w:pPr>
        <w:pStyle w:val="Heading2"/>
      </w:pPr>
      <w:r>
        <w:t xml:space="preserve">Director-independence threshold divergence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Framework</w:t>
            </w:r>
          </w:p>
        </w:tc>
        <w:tc>
          <w:tcPr>
            <w:tcW w:type="dxa" w:w="626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Minimum independence requirement</w:t>
            </w:r>
          </w:p>
        </w:tc>
      </w:tr>
      <w:tr>
        <w:tc>
          <w:tcPr>
            <w:tcW w:type="dxa" w:w="31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Federal Reserve SR 21-3 / CA 21-1</w:t>
            </w:r>
          </w:p>
        </w:tc>
        <w:tc>
          <w:tcPr>
            <w:tcW w:type="dxa" w:w="62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No numerical minimum; qualitative empowerment standard (empowered lead independent director or independent chair where the chair is an executive).</w:t>
            </w:r>
          </w:p>
        </w:tc>
      </w:tr>
      <w:tr>
        <w:tc>
          <w:tcPr>
            <w:tcW w:type="dxa" w:w="31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OCC Heightened Standards (12 CFR 30 App. D, III.D)</w:t>
            </w:r>
          </w:p>
        </w:tc>
        <w:tc>
          <w:tcPr>
            <w:tcW w:type="dxa" w:w="62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At least two independent directors (3-year no-officer/employee test; no immediate-family executive tie; independent under a national exchange's listing standards).</w:t>
            </w:r>
          </w:p>
        </w:tc>
      </w:tr>
      <w:tr>
        <w:tc>
          <w:tcPr>
            <w:tcW w:type="dxa" w:w="31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Regulation YY (12 CFR 252.33)</w:t>
            </w:r>
          </w:p>
        </w:tc>
        <w:tc>
          <w:tcPr>
            <w:tcW w:type="dxa" w:w="62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Risk committee must include at least one independent director with risk-management experience.</w:t>
            </w:r>
          </w:p>
        </w:tc>
      </w:tr>
      <w:tr>
        <w:tc>
          <w:tcPr>
            <w:tcW w:type="dxa" w:w="31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12 CFR part 363 (IDI audit committee, &gt;=$1B)</w:t>
            </w:r>
          </w:p>
        </w:tc>
        <w:tc>
          <w:tcPr>
            <w:tcW w:type="dxa" w:w="62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Audit committee composed entirely of outside directors independent of management; for &gt;$3B, members with banking/financial expertise, access to outside counsel, and no large-customer members.</w:t>
            </w:r>
          </w:p>
        </w:tc>
      </w:tr>
      <w:tr>
        <w:tc>
          <w:tcPr>
            <w:tcW w:type="dxa" w:w="31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FDIC 2023 proposed corporate-governance guidelines (WITHDRAWN March 2025)</w:t>
            </w:r>
          </w:p>
        </w:tc>
        <w:tc>
          <w:tcPr>
            <w:tcW w:type="dxa" w:w="62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Would have required a board majority independent of the bank and parent — withdrawn; never in force.</w:t>
            </w:r>
          </w:p>
        </w:tc>
      </w:tr>
    </w:tbl>
    <w:p>
      <w:pPr>
        <w:pStyle w:val="Heading2"/>
      </w:pPr>
      <w:r>
        <w:t xml:space="preserve">Summary conflict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260"/>
        <w:gridCol w:w="1600"/>
      </w:tblGrid>
      <w:tr>
        <w:tc>
          <w:tcPr>
            <w:tcW w:type="dxa" w:w="20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Type</w:t>
            </w:r>
          </w:p>
        </w:tc>
        <w:tc>
          <w:tcPr>
            <w:tcW w:type="dxa" w:w="25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Sources in conflict</w:t>
            </w:r>
          </w:p>
        </w:tc>
        <w:tc>
          <w:tcPr>
            <w:tcW w:type="dxa" w:w="326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Nature</w:t>
            </w:r>
          </w:p>
        </w:tc>
        <w:tc>
          <w:tcPr>
            <w:tcW w:type="dxa" w:w="16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Status</w:t>
            </w:r>
          </w:p>
        </w:tc>
      </w:tr>
      <w:tr>
        <w:tc>
          <w:tcPr>
            <w:tcW w:type="dxa" w:w="20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Inconsistent (intra-agency)</w:t>
            </w:r>
          </w:p>
        </w:tc>
        <w:tc>
          <w:tcPr>
            <w:tcW w:type="dxa" w:w="25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SR 12-17 ('ensure') vs. SR 21-3 ('oversee')</w:t>
            </w:r>
          </w:p>
        </w:tc>
        <w:tc>
          <w:tcPr>
            <w:tcW w:type="dxa" w:w="32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Different board obligation standard: outcome-oriented 'ensure/maintain' vs. oversight-focused 'oversee/hold accountable.' SR 21-4 retained SR 12-17 without revision.</w:t>
            </w:r>
          </w:p>
        </w:tc>
        <w:tc>
          <w:tcPr>
            <w:tcW w:type="dxa" w:w="1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Unresolved</w:t>
            </w:r>
          </w:p>
        </w:tc>
      </w:tr>
      <w:tr>
        <w:tc>
          <w:tcPr>
            <w:tcW w:type="dxa" w:w="20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Partially displaced (intra-agency)</w:t>
            </w:r>
          </w:p>
        </w:tc>
        <w:tc>
          <w:tcPr>
            <w:tcW w:type="dxa" w:w="25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Fed examination manuals (CBEM/BHCSM) vs. SR 21-4</w:t>
            </w:r>
          </w:p>
        </w:tc>
        <w:tc>
          <w:tcPr>
            <w:tcW w:type="dxa" w:w="32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SR 21-4 directs firms not to rely on the manuals for board expectations and examiners not to refer to them in governance assessments, but the manuals are not formally withdrawn; stale sections remain published.</w:t>
            </w:r>
          </w:p>
        </w:tc>
        <w:tc>
          <w:tcPr>
            <w:tcW w:type="dxa" w:w="1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Revision ongoing; incomplete</w:t>
            </w:r>
          </w:p>
        </w:tc>
      </w:tr>
      <w:tr>
        <w:tc>
          <w:tcPr>
            <w:tcW w:type="dxa" w:w="20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Unresolved (intra-agency)</w:t>
            </w:r>
          </w:p>
        </w:tc>
        <w:tc>
          <w:tcPr>
            <w:tcW w:type="dxa" w:w="25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SR 21-3 vs. absent senior-management companion guidance</w:t>
            </w:r>
          </w:p>
        </w:tc>
        <w:tc>
          <w:tcPr>
            <w:tcW w:type="dxa" w:w="32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The Fed proposed but has not finalized companion guidance on senior-management responsibilities, leaving the board/management boundary incompletely defined contrary to SR 21-3's design.</w:t>
            </w:r>
          </w:p>
        </w:tc>
        <w:tc>
          <w:tcPr>
            <w:tcW w:type="dxa" w:w="1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Pending finalization</w:t>
            </w:r>
          </w:p>
        </w:tc>
      </w:tr>
      <w:tr>
        <w:tc>
          <w:tcPr>
            <w:tcW w:type="dxa" w:w="20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Inconsistent (cross-agency)</w:t>
            </w:r>
          </w:p>
        </w:tc>
        <w:tc>
          <w:tcPr>
            <w:tcW w:type="dxa" w:w="25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OCC (&gt;=2 independent directors) vs. Federal Reserve (qualitative empowerment)</w:t>
            </w:r>
          </w:p>
        </w:tc>
        <w:tc>
          <w:tcPr>
            <w:tcW w:type="dxa" w:w="32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Director-independence threshold divergence between the OCC Heightened Standards and SR 21-3.</w:t>
            </w:r>
          </w:p>
        </w:tc>
        <w:tc>
          <w:tcPr>
            <w:tcW w:type="dxa" w:w="1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Unresolved</w:t>
            </w:r>
          </w:p>
        </w:tc>
      </w:tr>
      <w:tr>
        <w:tc>
          <w:tcPr>
            <w:tcW w:type="dxa" w:w="20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Misalignment (intra-agency)</w:t>
            </w:r>
          </w:p>
        </w:tc>
        <w:tc>
          <w:tcPr>
            <w:tcW w:type="dxa" w:w="25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Prior LFI 'well managed' methodology vs. other rating systems</w:t>
            </w:r>
          </w:p>
        </w:tc>
        <w:tc>
          <w:tcPr>
            <w:tcW w:type="dxa" w:w="32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Inconsistent 'well managed' determination methodology.</w:t>
            </w:r>
          </w:p>
        </w:tc>
        <w:tc>
          <w:tcPr>
            <w:tcW w:type="dxa" w:w="1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Partially addressed by the Jan. 2026 LFI revision</w:t>
            </w:r>
          </w:p>
        </w:tc>
      </w:tr>
      <w:tr>
        <w:tc>
          <w:tcPr>
            <w:tcW w:type="dxa" w:w="20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Duplicative (cross-level)</w:t>
            </w:r>
          </w:p>
        </w:tc>
        <w:tc>
          <w:tcPr>
            <w:tcW w:type="dxa" w:w="25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Holding-company LFI framework vs. IDI CAMELS</w:t>
            </w:r>
          </w:p>
        </w:tc>
        <w:tc>
          <w:tcPr>
            <w:tcW w:type="dxa" w:w="32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Dual-track governance assessments of the same group — a structural feature of the Bank Holding Company Act and the separate-charter supervision model.</w:t>
            </w:r>
          </w:p>
        </w:tc>
        <w:tc>
          <w:tcPr>
            <w:tcW w:type="dxa" w:w="1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Structural</w:t>
            </w:r>
          </w:p>
        </w:tc>
      </w:tr>
      <w:tr>
        <w:tc>
          <w:tcPr>
            <w:tcW w:type="dxa" w:w="20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Resolved overlap (note)</w:t>
            </w:r>
          </w:p>
        </w:tc>
        <w:tc>
          <w:tcPr>
            <w:tcW w:type="dxa" w:w="25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SR 13-19/CA 13-21 vs. 2023 Interagency TPRM Guidance</w:t>
            </w:r>
          </w:p>
        </w:tc>
        <w:tc>
          <w:tcPr>
            <w:tcW w:type="dxa" w:w="32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A prior analysis flagged concurrent TPRM board expectations; in fact SR 23-4 (2023) expressly rescinded SR 13-19/CA 13-21 (and OCC 2013-29, FDIC FIL-44-2008), so this overlap is resolved, not live.</w:t>
            </w:r>
          </w:p>
        </w:tc>
        <w:tc>
          <w:tcPr>
            <w:tcW w:type="dxa" w:w="1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Resolved by SR 23-4 rescission</w:t>
            </w:r>
          </w:p>
        </w:tc>
      </w:tr>
    </w:tbl>
    <w:p>
      <w:pPr>
        <w:pStyle w:val="Heading1"/>
      </w:pPr>
      <w:r>
        <w:t xml:space="preserve">Expectations — currency developments (2025–2026)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360"/>
        <w:gridCol w:w="2200"/>
      </w:tblGrid>
      <w:tr>
        <w:tc>
          <w:tcPr>
            <w:tcW w:type="dxa" w:w="12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Date</w:t>
            </w:r>
          </w:p>
        </w:tc>
        <w:tc>
          <w:tcPr>
            <w:tcW w:type="dxa" w:w="26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Development</w:t>
            </w:r>
          </w:p>
        </w:tc>
        <w:tc>
          <w:tcPr>
            <w:tcW w:type="dxa" w:w="336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Detail</w:t>
            </w:r>
          </w:p>
        </w:tc>
        <w:tc>
          <w:tcPr>
            <w:tcW w:type="dxa" w:w="22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Effect</w:t>
            </w:r>
          </w:p>
        </w:tc>
      </w:tr>
      <w:tr>
        <w:tc>
          <w:tcPr>
            <w:tcW w:type="dxa" w:w="1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2025</w:t>
            </w:r>
          </w:p>
        </w:tc>
        <w:tc>
          <w:tcPr>
            <w:tcW w:type="dxa" w:w="2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Climate-risk principles withdrawn</w:t>
            </w:r>
          </w:p>
        </w:tc>
        <w:tc>
          <w:tcPr>
            <w:tcW w:type="dxa" w:w="33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The agencies withdrew the 2023 Interagency Principles for Climate-Related Financial Risk Management for Large Financial Institutions in 2025 (OCC news release nr-ia-2025-103).</w:t>
            </w:r>
          </w:p>
        </w:tc>
        <w:tc>
          <w:tcPr>
            <w:tcW w:type="dxa" w:w="2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Removes the board-level climate-risk governance expectations that the 2023 principles had placed on large-firm boards.</w:t>
            </w:r>
          </w:p>
        </w:tc>
      </w:tr>
      <w:tr>
        <w:tc>
          <w:tcPr>
            <w:tcW w:type="dxa" w:w="1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2025</w:t>
            </w:r>
          </w:p>
        </w:tc>
        <w:tc>
          <w:tcPr>
            <w:tcW w:type="dxa" w:w="2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Fed senior-management companion guidance not finalized</w:t>
            </w:r>
          </w:p>
        </w:tc>
        <w:tc>
          <w:tcPr>
            <w:tcW w:type="dxa" w:w="33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The Federal Reserve proposed but has not finalized companion guidance on senior-management responsibilities intended to complete the board/management division of labor underlying SR 21-3.</w:t>
            </w:r>
          </w:p>
        </w:tc>
        <w:tc>
          <w:tcPr>
            <w:tcW w:type="dxa" w:w="2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Leaves the board/management boundary incompletely defined; firms must infer the line from SR 21-3 alone.</w:t>
            </w:r>
          </w:p>
        </w:tc>
      </w:tr>
      <w:tr>
        <w:tc>
          <w:tcPr>
            <w:tcW w:type="dxa" w:w="1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2025-03</w:t>
            </w:r>
          </w:p>
        </w:tc>
        <w:tc>
          <w:tcPr>
            <w:tcW w:type="dxa" w:w="2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FDIC proposed corporate-governance guidelines withdrawn</w:t>
            </w:r>
          </w:p>
        </w:tc>
        <w:tc>
          <w:tcPr>
            <w:tcW w:type="dxa" w:w="33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The FDIC withdrew its October 2023 proposed corporate-governance and risk-management guidelines (Part 364 appendix), which would have imposed a stricter board standard (including a duty to 'confirm' compliance and a majority-independent board). Directors McKernan and Hill had dissented, citing SR 21-3/SR 16-11 as the appropriate oversight standard.</w:t>
            </w:r>
          </w:p>
        </w:tc>
        <w:tc>
          <w:tcPr>
            <w:tcW w:type="dxa" w:w="2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Removes a would-have-been stricter IDI-level board standard; SR 21-3 and SR 16-11 remain the reference points for the board's oversight (not outcome-guarantee) role.</w:t>
            </w:r>
          </w:p>
        </w:tc>
      </w:tr>
      <w:tr>
        <w:tc>
          <w:tcPr>
            <w:tcW w:type="dxa" w:w="1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2025-06</w:t>
            </w:r>
          </w:p>
        </w:tc>
        <w:tc>
          <w:tcPr>
            <w:tcW w:type="dxa" w:w="2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Reputational risk removed from FRB supervision</w:t>
            </w:r>
          </w:p>
        </w:tc>
        <w:tc>
          <w:tcPr>
            <w:tcW w:type="dxa" w:w="33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FRB announced (June 23, 2025) elimination of 'reputational risk' from examination programs; implemented via Oct. 1, 2025 revisions to SR 12-17, SR 14-8, and SR 08-8 (and other letters). Board governance duties otherwise intact.</w:t>
            </w:r>
          </w:p>
        </w:tc>
        <w:tc>
          <w:tcPr>
            <w:tcW w:type="dxa" w:w="2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Narrows scope of stresses/risks board oversight must address; symbolic of the deregulatory trajectory.</w:t>
            </w:r>
          </w:p>
        </w:tc>
      </w:tr>
      <w:tr>
        <w:tc>
          <w:tcPr>
            <w:tcW w:type="dxa" w:w="1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2025-06</w:t>
            </w:r>
          </w:p>
        </w:tc>
        <w:tc>
          <w:tcPr>
            <w:tcW w:type="dxa" w:w="2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Wells Fargo asset cap lifted</w:t>
            </w:r>
          </w:p>
        </w:tc>
        <w:tc>
          <w:tcPr>
            <w:tcW w:type="dxa" w:w="33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The 2018 board-effectiveness-linked Federal Reserve consent-order asset cap on Wells Fargo was lifted (June 2025).</w:t>
            </w:r>
          </w:p>
        </w:tc>
        <w:tc>
          <w:tcPr>
            <w:tcW w:type="dxa" w:w="2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Signals reduced supervisory posture on governance-remediation enforcement.</w:t>
            </w:r>
          </w:p>
        </w:tc>
      </w:tr>
      <w:tr>
        <w:tc>
          <w:tcPr>
            <w:tcW w:type="dxa" w:w="1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2025-08-31</w:t>
            </w:r>
          </w:p>
        </w:tc>
        <w:tc>
          <w:tcPr>
            <w:tcW w:type="dxa" w:w="2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FFIEC Cybersecurity Assessment Tool (CAT) sunset</w:t>
            </w:r>
          </w:p>
        </w:tc>
        <w:tc>
          <w:tcPr>
            <w:tcW w:type="dxa" w:w="33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CAT retired Aug. 31, 2025 (announced Aug. 29, 2024; SR 24-7; OCC Bulletin 2024-25). No 1:1 replacement; institutions pointed to NIST CSF 2.0, CRI Cyber Profile, CIS Controls, CISA CPGs.</w:t>
            </w:r>
          </w:p>
        </w:tc>
        <w:tc>
          <w:tcPr>
            <w:tcW w:type="dxa" w:w="2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Any board expectation premised on CAT completion/reporting is no longer current; IT Handbook and 12 CFR 30 App. B remain the baseline.</w:t>
            </w:r>
          </w:p>
        </w:tc>
      </w:tr>
      <w:tr>
        <w:tc>
          <w:tcPr>
            <w:tcW w:type="dxa" w:w="1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2025-10-30</w:t>
            </w:r>
          </w:p>
        </w:tc>
        <w:tc>
          <w:tcPr>
            <w:tcW w:type="dxa" w:w="2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FDIC/OCC 'unsafe or unsound practice' &amp; MRA NPRM</w:t>
            </w:r>
          </w:p>
        </w:tc>
        <w:tc>
          <w:tcPr>
            <w:tcW w:type="dxa" w:w="33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Joint NPRM (90 FR 48835 / OCC Bulletin 2025-29) would define 'unsafe or unsound practice' to require likely material financial harm — stating that acts relevant to management, governance, or controls will not be 'unsafe or unsound' absent likely financial impact — and constrain MRAs. Comments closed Dec. 29, 2025; finalization expected 2026.</w:t>
            </w:r>
          </w:p>
        </w:tc>
        <w:tc>
          <w:tcPr>
            <w:tcW w:type="dxa" w:w="2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If finalized, materially weakens the supervisory leverage behind governance-only board findings.</w:t>
            </w:r>
          </w:p>
        </w:tc>
      </w:tr>
      <w:tr>
        <w:tc>
          <w:tcPr>
            <w:tcW w:type="dxa" w:w="1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2025-11-05</w:t>
            </w:r>
          </w:p>
        </w:tc>
        <w:tc>
          <w:tcPr>
            <w:tcW w:type="dxa" w:w="2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LFI rating framework amended</w:t>
            </w:r>
          </w:p>
        </w:tc>
        <w:tc>
          <w:tcPr>
            <w:tcW w:type="dxa" w:w="33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FRB adopted (6-1) revisions to the SR 19-3 LFI rating framework: 'ascetic principle' repealed (a single Deficient-1, including in Governance &amp; Controls, no longer makes a firm 'not well managed'); enforcement presumption for Deficient-1 removed. Federal Register 90 FR 51329 (Nov. 17, 2025).</w:t>
            </w:r>
          </w:p>
        </w:tc>
        <w:tc>
          <w:tcPr>
            <w:tcW w:type="dxa" w:w="2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Substantially lowers the consequence weight of board/governance findings for GSIBs.</w:t>
            </w:r>
          </w:p>
        </w:tc>
      </w:tr>
      <w:tr>
        <w:tc>
          <w:tcPr>
            <w:tcW w:type="dxa" w:w="1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2025-11-18</w:t>
            </w:r>
          </w:p>
        </w:tc>
        <w:tc>
          <w:tcPr>
            <w:tcW w:type="dxa" w:w="2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FRB Supervisory Operating Principles</w:t>
            </w:r>
          </w:p>
        </w:tc>
        <w:tc>
          <w:tcPr>
            <w:tcW w:type="dxa" w:w="33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Examiners directed to focus on material financial risk, not processes/procedures/documentation that do not threaten safety and soundness; MRA/MRIA issuance standard tightened; nonbinding supervisory observations reinstated.</w:t>
            </w:r>
          </w:p>
        </w:tc>
        <w:tc>
          <w:tcPr>
            <w:tcW w:type="dxa" w:w="2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Functionally narrows enforcement of SR 21-3's process-oriented board expectations.</w:t>
            </w:r>
          </w:p>
        </w:tc>
      </w:tr>
      <w:tr>
        <w:tc>
          <w:tcPr>
            <w:tcW w:type="dxa" w:w="1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2025-11-21</w:t>
            </w:r>
          </w:p>
        </w:tc>
        <w:tc>
          <w:tcPr>
            <w:tcW w:type="dxa" w:w="2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CFPB 'Humility in Supervision Pledge'</w:t>
            </w:r>
          </w:p>
        </w:tc>
        <w:tc>
          <w:tcPr>
            <w:tcW w:type="dxa" w:w="33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CFPB Supervision Division announced a 'fundamentally different' 2026 exam cycle: ~50% fewer supervisory events, narrower scope, focus on servicemembers/veterans and clear statutory authority, MRAs limited to pattern-and-practice violations with identifiable consumer harm, deference to other regulators, all-virtual/shorter exams.</w:t>
            </w:r>
          </w:p>
        </w:tc>
        <w:tc>
          <w:tcPr>
            <w:tcW w:type="dxa" w:w="2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CFPB CMS/CMR board expectations remain on the books but are lightly enforced; prudential regulators now carry the operative consumer-compliance board pressure on GSIB IDIs.</w:t>
            </w:r>
          </w:p>
        </w:tc>
      </w:tr>
      <w:tr>
        <w:tc>
          <w:tcPr>
            <w:tcW w:type="dxa" w:w="1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2025-12-23</w:t>
            </w:r>
          </w:p>
        </w:tc>
        <w:tc>
          <w:tcPr>
            <w:tcW w:type="dxa" w:w="2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OCC Heightened Standards threshold NPRM</w:t>
            </w:r>
          </w:p>
        </w:tc>
        <w:tc>
          <w:tcPr>
            <w:tcW w:type="dxa" w:w="33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OCC Bulletin 2025-51 proposes raising the 'covered bank' threshold for 12 CFR 30 App. D from $50B to $700B and invites comment on reducing prescriptiveness.</w:t>
            </w:r>
          </w:p>
        </w:tc>
        <w:tc>
          <w:tcPr>
            <w:tcW w:type="dxa" w:w="2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All eight GSIB lead IDIs would remain covered; mid-size banks ($50B-$700B) would fall out. Possible substantive softening of Section III board standards.</w:t>
            </w:r>
          </w:p>
        </w:tc>
      </w:tr>
      <w:tr>
        <w:tc>
          <w:tcPr>
            <w:tcW w:type="dxa" w:w="1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2026-02-04</w:t>
            </w:r>
          </w:p>
        </w:tc>
        <w:tc>
          <w:tcPr>
            <w:tcW w:type="dxa" w:w="2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Stress Capital Buffer frozen</w:t>
            </w:r>
          </w:p>
        </w:tc>
        <w:tc>
          <w:tcPr>
            <w:tcW w:type="dxa" w:w="33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FRB voted to maintain current SCB requirements until 2027, when new requirements will be calculated on models revised after public feedback. Oct. 2025 stress-test transparency NPRs and Apr. 2025 SCB-volatility proposal affect process/calculation, not board duties.</w:t>
            </w:r>
          </w:p>
        </w:tc>
        <w:tc>
          <w:tcPr>
            <w:tcW w:type="dxa" w:w="2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Holds constant the requirement the board's post-stress capital goals must clear; board approval/oversight duties unchanged.</w:t>
            </w:r>
          </w:p>
        </w:tc>
      </w:tr>
      <w:tr>
        <w:tc>
          <w:tcPr>
            <w:tcW w:type="dxa" w:w="1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2026-04-01</w:t>
            </w:r>
          </w:p>
        </w:tc>
        <w:tc>
          <w:tcPr>
            <w:tcW w:type="dxa" w:w="2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OCC recovery-planning guidelines (App. E) rescinded</w:t>
            </w:r>
          </w:p>
        </w:tc>
        <w:tc>
          <w:tcPr>
            <w:tcW w:type="dxa" w:w="33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Final rule 91 FR 16156 (Apr. 1, 2026), effective May 1, 2026; OCC Bulletin 2026-10 also rescinded the Comptroller's Handbook 'Recovery Planning' booklet and OCC Bulletins 2025-35, 2024-31, 2024-16, 2018-47. OCC will no longer require or examine for recovery-planning documentation.</w:t>
            </w:r>
          </w:p>
        </w:tc>
        <w:tc>
          <w:tcPr>
            <w:tcW w:type="dxa" w:w="2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Eliminates the OCC IDI-level board duty to review/approve the recovery plan. BHC-level recovery planning continues under FRB SR 14-8.</w:t>
            </w:r>
          </w:p>
        </w:tc>
      </w:tr>
      <w:tr>
        <w:tc>
          <w:tcPr>
            <w:tcW w:type="dxa" w:w="1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2026-04-10</w:t>
            </w:r>
          </w:p>
        </w:tc>
        <w:tc>
          <w:tcPr>
            <w:tcW w:type="dxa" w:w="2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AML/CFT program-rule reproposal</w:t>
            </w:r>
          </w:p>
        </w:tc>
        <w:tc>
          <w:tcPr>
            <w:tcW w:type="dxa" w:w="33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FinCEN NPRM (91 FR 18704) plus companion banking-agency NPRMs (FR Doc. 2026-06948) reproposed the AML/CFT program rule; the 2024 NPRM is withdrawn/superseded. Comments due June 9, 2026. The reproposal restores flexibility on who approves the program (board, equivalent governing body, or senior management).</w:t>
            </w:r>
          </w:p>
        </w:tc>
        <w:tc>
          <w:tcPr>
            <w:tcW w:type="dxa" w:w="2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No change to current obligations (existing board-approval + minute-notation rules remain in force); watch for a final rule after June 9, 2026.</w:t>
            </w:r>
          </w:p>
        </w:tc>
      </w:tr>
      <w:tr>
        <w:tc>
          <w:tcPr>
            <w:tcW w:type="dxa" w:w="1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2026-04-17</w:t>
            </w:r>
          </w:p>
        </w:tc>
        <w:tc>
          <w:tcPr>
            <w:tcW w:type="dxa" w:w="2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Model risk management guidance replaced</w:t>
            </w:r>
          </w:p>
        </w:tc>
        <w:tc>
          <w:tcPr>
            <w:tcW w:type="dxa" w:w="33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SR 26-2 / OCC Bulletin 2026-13 superseded SR 11-7, SR 21-8, OCC 2011-12, OCC 2021-19, OCC 1997-24, and the OCC MRM Handbook booklet with a principles-based, &gt;$30B-scoped framework that does not set enforceable standards.</w:t>
            </w:r>
          </w:p>
        </w:tc>
        <w:tc>
          <w:tcPr>
            <w:tcW w:type="dxa" w:w="2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Eliminates SR 11-7's explicit board-level model-risk duties (board approval of MRM policy, board-set model-risk tolerance, mandatory board reporting).</w:t>
            </w:r>
          </w:p>
        </w:tc>
      </w:tr>
    </w:tbl>
    <w:p>
      <w:r>
        <w:br w:type="page"/>
      </w:r>
    </w:p>
    <w:p>
      <w:pPr>
        <w:pStyle w:val="Heading1"/>
        <w:spacing w:after="160"/>
      </w:pPr>
      <w:r>
        <w:rPr>
          <w:color w:val="1F3864"/>
        </w:rPr>
        <w:t xml:space="preserve">Part III — Cross-cutting analysis and reform</w:t>
      </w:r>
    </w:p>
    <w:p>
      <w:pPr>
        <w:pStyle w:val="Heading1"/>
      </w:pPr>
      <w:r>
        <w:t xml:space="preserve">Duplicate clusters — true redundancy vs. parallel-but-justified</w:t>
      </w:r>
    </w:p>
    <w:p>
      <w:pPr>
        <w:spacing w:after="120" w:before="0"/>
      </w:pPr>
      <w:r>
        <w:rPr>
          <w:rFonts w:ascii="Arial" w:cs="Arial" w:eastAsia="Arial" w:hAnsi="Arial"/>
          <w:sz w:val="22"/>
          <w:szCs w:val="22"/>
        </w:rPr>
        <w:t xml:space="preserve">The duties collapse into the functional clusters below. For each, the analysis separates what is genuinely duplicative from what is legally distinct, and names the minimum reform lever.</w:t>
      </w:r>
    </w:p>
    <w:p>
      <w:pPr>
        <w:keepNext/>
        <w:spacing w:after="10" w:before="110"/>
      </w:pPr>
      <w:r>
        <w:rPr>
          <w:rFonts w:ascii="Arial" w:cs="Arial" w:eastAsia="Arial" w:hAnsi="Arial"/>
          <w:b/>
          <w:bCs/>
          <w:color w:val="1F3864"/>
          <w:sz w:val="21"/>
          <w:szCs w:val="21"/>
        </w:rPr>
        <w:t xml:space="preserve">Risk-governance framework / strategy</w:t>
      </w:r>
      <w:r>
        <w:rPr>
          <w:rFonts w:ascii="Arial" w:cs="Arial" w:eastAsia="Arial" w:hAnsi="Arial"/>
          <w:b/>
          <w:bCs/>
          <w:color w:val="BF8F00"/>
          <w:sz w:val="18"/>
          <w:szCs w:val="18"/>
        </w:rPr>
        <w:t xml:space="preserve">  (21 duties · Candidate redundancy)</w:t>
      </w:r>
    </w:p>
    <w:p>
      <w:pPr>
        <w:spacing w:after="4" w:before="0"/>
      </w:pPr>
      <w:r>
        <w:rPr>
          <w:rFonts w:ascii="Arial" w:cs="Arial" w:eastAsia="Arial" w:hAnsi="Arial"/>
          <w:sz w:val="19"/>
          <w:szCs w:val="19"/>
        </w:rPr>
        <w:t xml:space="preserve">Sources: OCC App. D II.A/D; SR 12-17; SR 21-3; SR 95-51</w:t>
      </w:r>
    </w:p>
    <w:p>
      <w:pPr>
        <w:spacing w:after="4" w:before="0"/>
      </w:pPr>
      <w:r>
        <w:rPr>
          <w:rFonts w:ascii="Arial" w:cs="Arial" w:eastAsia="Arial" w:hAnsi="Arial"/>
          <w:sz w:val="19"/>
          <w:szCs w:val="19"/>
        </w:rPr>
        <w:t xml:space="preserve">Duplicative: Board approval/oversight of a written risk-governance framework and strategic plan at both levels.</w:t>
      </w:r>
    </w:p>
    <w:p>
      <w:pPr>
        <w:spacing w:after="4" w:before="0"/>
      </w:pPr>
      <w:r>
        <w:rPr>
          <w:rFonts w:ascii="Arial" w:cs="Arial" w:eastAsia="Arial" w:hAnsi="Arial"/>
          <w:sz w:val="19"/>
          <w:szCs w:val="19"/>
        </w:rPr>
        <w:t xml:space="preserve">Legally distinct: Bank strategic plan vs. consolidated strategy can diverge for multi-charter groups.</w:t>
      </w:r>
    </w:p>
    <w:p>
      <w:pPr>
        <w:spacing w:after="90" w:before="0"/>
      </w:pPr>
      <w:r>
        <w:rPr>
          <w:rFonts w:ascii="Arial" w:cs="Arial" w:eastAsia="Arial" w:hAnsi="Arial"/>
          <w:color w:val="1F6B3B"/>
          <w:sz w:val="19"/>
          <w:szCs w:val="19"/>
        </w:rPr>
        <w:t xml:space="preserve">Minimum reform lever: One enterprise framework approval with an IDI addendum.</w:t>
      </w:r>
    </w:p>
    <w:p>
      <w:pPr>
        <w:keepNext/>
        <w:spacing w:after="10" w:before="110"/>
      </w:pPr>
      <w:r>
        <w:rPr>
          <w:rFonts w:ascii="Arial" w:cs="Arial" w:eastAsia="Arial" w:hAnsi="Arial"/>
          <w:b/>
          <w:bCs/>
          <w:color w:val="1F3864"/>
          <w:sz w:val="21"/>
          <w:szCs w:val="21"/>
        </w:rPr>
        <w:t xml:space="preserve">Audit committee &amp; independence</w:t>
      </w:r>
      <w:r>
        <w:rPr>
          <w:rFonts w:ascii="Arial" w:cs="Arial" w:eastAsia="Arial" w:hAnsi="Arial"/>
          <w:b/>
          <w:bCs/>
          <w:color w:val="BF8F00"/>
          <w:sz w:val="18"/>
          <w:szCs w:val="18"/>
        </w:rPr>
        <w:t xml:space="preserve">  (20 duties · Candidate redundancy)</w:t>
      </w:r>
    </w:p>
    <w:p>
      <w:pPr>
        <w:spacing w:after="4" w:before="0"/>
      </w:pPr>
      <w:r>
        <w:rPr>
          <w:rFonts w:ascii="Arial" w:cs="Arial" w:eastAsia="Arial" w:hAnsi="Arial"/>
          <w:sz w:val="19"/>
          <w:szCs w:val="19"/>
        </w:rPr>
        <w:t xml:space="preserve">Sources: SOX 301; FDICIA/Part 363; OCC App. D; NYSE/Nasdaq; SR 13-1</w:t>
      </w:r>
    </w:p>
    <w:p>
      <w:pPr>
        <w:spacing w:after="4" w:before="0"/>
      </w:pPr>
      <w:r>
        <w:rPr>
          <w:rFonts w:ascii="Arial" w:cs="Arial" w:eastAsia="Arial" w:hAnsi="Arial"/>
          <w:sz w:val="19"/>
          <w:szCs w:val="19"/>
        </w:rPr>
        <w:t xml:space="preserve">Duplicative: Independent audit committee + CAE/auditor oversight required by SEC, FDIC, OCC, and exchanges with non-identical independence tests.</w:t>
      </w:r>
    </w:p>
    <w:p>
      <w:pPr>
        <w:spacing w:after="4" w:before="0"/>
      </w:pPr>
      <w:r>
        <w:rPr>
          <w:rFonts w:ascii="Arial" w:cs="Arial" w:eastAsia="Arial" w:hAnsi="Arial"/>
          <w:sz w:val="19"/>
          <w:szCs w:val="19"/>
        </w:rPr>
        <w:t xml:space="preserve">Legally distinct: FDICIA serves deposit-insurance integrity; SOX serves investor protection.</w:t>
      </w:r>
    </w:p>
    <w:p>
      <w:pPr>
        <w:spacing w:after="90" w:before="0"/>
      </w:pPr>
      <w:r>
        <w:rPr>
          <w:rFonts w:ascii="Arial" w:cs="Arial" w:eastAsia="Arial" w:hAnsi="Arial"/>
          <w:color w:val="1F6B3B"/>
          <w:sz w:val="19"/>
          <w:szCs w:val="19"/>
        </w:rPr>
        <w:t xml:space="preserve">Minimum reform lever: Single 'independent director' definition for banking organizations; one audit committee satisfies both with reconciled independence.</w:t>
      </w:r>
    </w:p>
    <w:p>
      <w:pPr>
        <w:keepNext/>
        <w:spacing w:after="10" w:before="110"/>
      </w:pPr>
      <w:r>
        <w:rPr>
          <w:rFonts w:ascii="Arial" w:cs="Arial" w:eastAsia="Arial" w:hAnsi="Arial"/>
          <w:b/>
          <w:bCs/>
          <w:color w:val="1F3864"/>
          <w:sz w:val="21"/>
          <w:szCs w:val="21"/>
        </w:rPr>
        <w:t xml:space="preserve">Capital planning &amp; stress testing</w:t>
      </w:r>
      <w:r>
        <w:rPr>
          <w:rFonts w:ascii="Arial" w:cs="Arial" w:eastAsia="Arial" w:hAnsi="Arial"/>
          <w:b/>
          <w:bCs/>
          <w:color w:val="BF8F00"/>
          <w:sz w:val="18"/>
          <w:szCs w:val="18"/>
        </w:rPr>
        <w:t xml:space="preserve">  (20 duties · Candidate redundancy (intra-level))</w:t>
      </w:r>
    </w:p>
    <w:p>
      <w:pPr>
        <w:spacing w:after="4" w:before="0"/>
      </w:pPr>
      <w:r>
        <w:rPr>
          <w:rFonts w:ascii="Arial" w:cs="Arial" w:eastAsia="Arial" w:hAnsi="Arial"/>
          <w:sz w:val="19"/>
          <w:szCs w:val="19"/>
        </w:rPr>
        <w:t xml:space="preserve">Sources: DFA 165(i); 12 CFR 225.8; Reg YY 252.44/.54; SR 15-18</w:t>
      </w:r>
    </w:p>
    <w:p>
      <w:pPr>
        <w:spacing w:after="4" w:before="0"/>
      </w:pPr>
      <w:r>
        <w:rPr>
          <w:rFonts w:ascii="Arial" w:cs="Arial" w:eastAsia="Arial" w:hAnsi="Arial"/>
          <w:sz w:val="19"/>
          <w:szCs w:val="19"/>
        </w:rPr>
        <w:t xml:space="preserve">Duplicative: Board approval of plan/policy plus stress-test oversight across rule and guidance.</w:t>
      </w:r>
    </w:p>
    <w:p>
      <w:pPr>
        <w:spacing w:after="4" w:before="0"/>
      </w:pPr>
      <w:r>
        <w:rPr>
          <w:rFonts w:ascii="Arial" w:cs="Arial" w:eastAsia="Arial" w:hAnsi="Arial"/>
          <w:sz w:val="19"/>
          <w:szCs w:val="19"/>
        </w:rPr>
        <w:t xml:space="preserve">Legally distinct: Largely a single BHC-level program; overlap is rule-vs-guidance elaboration.</w:t>
      </w:r>
    </w:p>
    <w:p>
      <w:pPr>
        <w:spacing w:after="90" w:before="0"/>
      </w:pPr>
      <w:r>
        <w:rPr>
          <w:rFonts w:ascii="Arial" w:cs="Arial" w:eastAsia="Arial" w:hAnsi="Arial"/>
          <w:color w:val="1F6B3B"/>
          <w:sz w:val="19"/>
          <w:szCs w:val="19"/>
        </w:rPr>
        <w:t xml:space="preserve">Minimum reform lever: Separate board capital-action decisions from technical methodology reporting.</w:t>
      </w:r>
    </w:p>
    <w:p>
      <w:pPr>
        <w:keepNext/>
        <w:spacing w:after="10" w:before="110"/>
      </w:pPr>
      <w:r>
        <w:rPr>
          <w:rFonts w:ascii="Arial" w:cs="Arial" w:eastAsia="Arial" w:hAnsi="Arial"/>
          <w:b/>
          <w:bCs/>
          <w:color w:val="1F3864"/>
          <w:sz w:val="21"/>
          <w:szCs w:val="21"/>
        </w:rPr>
        <w:t xml:space="preserve">Liquidity risk management</w:t>
      </w:r>
      <w:r>
        <w:rPr>
          <w:rFonts w:ascii="Arial" w:cs="Arial" w:eastAsia="Arial" w:hAnsi="Arial"/>
          <w:b/>
          <w:bCs/>
          <w:color w:val="BF8F00"/>
          <w:sz w:val="18"/>
          <w:szCs w:val="18"/>
        </w:rPr>
        <w:t xml:space="preserve">  (19 duties · Candidate redundancy)</w:t>
      </w:r>
    </w:p>
    <w:p>
      <w:pPr>
        <w:spacing w:after="4" w:before="0"/>
      </w:pPr>
      <w:r>
        <w:rPr>
          <w:rFonts w:ascii="Arial" w:cs="Arial" w:eastAsia="Arial" w:hAnsi="Arial"/>
          <w:sz w:val="19"/>
          <w:szCs w:val="19"/>
        </w:rPr>
        <w:t xml:space="preserve">Sources: Reg YY 252.34; SR 10-6; OCC Liquidity handbook</w:t>
      </w:r>
    </w:p>
    <w:p>
      <w:pPr>
        <w:spacing w:after="4" w:before="0"/>
      </w:pPr>
      <w:r>
        <w:rPr>
          <w:rFonts w:ascii="Arial" w:cs="Arial" w:eastAsia="Arial" w:hAnsi="Arial"/>
          <w:sz w:val="19"/>
          <w:szCs w:val="19"/>
        </w:rPr>
        <w:t xml:space="preserve">Duplicative: Liquidity risk-tolerance/strategy approval stated as rule (BHC) and guidance (BHC + IDI).</w:t>
      </w:r>
    </w:p>
    <w:p>
      <w:pPr>
        <w:spacing w:after="4" w:before="0"/>
      </w:pPr>
      <w:r>
        <w:rPr>
          <w:rFonts w:ascii="Arial" w:cs="Arial" w:eastAsia="Arial" w:hAnsi="Arial"/>
          <w:sz w:val="19"/>
          <w:szCs w:val="19"/>
        </w:rPr>
        <w:t xml:space="preserve">Legally distinct: IDI-level liquidity matters where the bank funds independently.</w:t>
      </w:r>
    </w:p>
    <w:p>
      <w:pPr>
        <w:spacing w:after="90" w:before="0"/>
      </w:pPr>
      <w:r>
        <w:rPr>
          <w:rFonts w:ascii="Arial" w:cs="Arial" w:eastAsia="Arial" w:hAnsi="Arial"/>
          <w:color w:val="1F6B3B"/>
          <w:sz w:val="19"/>
          <w:szCs w:val="19"/>
        </w:rPr>
        <w:t xml:space="preserve">Minimum reform lever: One board liquidity approval satisfies rule and guidance.</w:t>
      </w:r>
    </w:p>
    <w:p>
      <w:pPr>
        <w:keepNext/>
        <w:spacing w:after="10" w:before="110"/>
      </w:pPr>
      <w:r>
        <w:rPr>
          <w:rFonts w:ascii="Arial" w:cs="Arial" w:eastAsia="Arial" w:hAnsi="Arial"/>
          <w:b/>
          <w:bCs/>
          <w:color w:val="1F3864"/>
          <w:sz w:val="21"/>
          <w:szCs w:val="21"/>
        </w:rPr>
        <w:t xml:space="preserve">BSA/AML program</w:t>
      </w:r>
      <w:r>
        <w:rPr>
          <w:rFonts w:ascii="Arial" w:cs="Arial" w:eastAsia="Arial" w:hAnsi="Arial"/>
          <w:b/>
          <w:bCs/>
          <w:color w:val="BF8F00"/>
          <w:sz w:val="18"/>
          <w:szCs w:val="18"/>
        </w:rPr>
        <w:t xml:space="preserve">  (18 duties · Candidate redundancy (intra-program))</w:t>
      </w:r>
    </w:p>
    <w:p>
      <w:pPr>
        <w:spacing w:after="4" w:before="0"/>
      </w:pPr>
      <w:r>
        <w:rPr>
          <w:rFonts w:ascii="Arial" w:cs="Arial" w:eastAsia="Arial" w:hAnsi="Arial"/>
          <w:sz w:val="19"/>
          <w:szCs w:val="19"/>
        </w:rPr>
        <w:t xml:space="preserve">Sources: 31 CFR 1010.210; agency program rules; FFIEC manual; FinCEN reproposal</w:t>
      </w:r>
    </w:p>
    <w:p>
      <w:pPr>
        <w:spacing w:after="4" w:before="0"/>
      </w:pPr>
      <w:r>
        <w:rPr>
          <w:rFonts w:ascii="Arial" w:cs="Arial" w:eastAsia="Arial" w:hAnsi="Arial"/>
          <w:sz w:val="19"/>
          <w:szCs w:val="19"/>
        </w:rPr>
        <w:t xml:space="preserve">Duplicative: Board approval/oversight/training/independent-testing duties stated in the rule and elaborated by the FFIEC manual.</w:t>
      </w:r>
    </w:p>
    <w:p>
      <w:pPr>
        <w:spacing w:after="4" w:before="0"/>
      </w:pPr>
      <w:r>
        <w:rPr>
          <w:rFonts w:ascii="Arial" w:cs="Arial" w:eastAsia="Arial" w:hAnsi="Arial"/>
          <w:sz w:val="19"/>
          <w:szCs w:val="19"/>
        </w:rPr>
        <w:t xml:space="preserve">Legally distinct: Largely one program; overlap is rule-vs-manual elaboration.</w:t>
      </w:r>
    </w:p>
    <w:p>
      <w:pPr>
        <w:spacing w:after="90" w:before="0"/>
      </w:pPr>
      <w:r>
        <w:rPr>
          <w:rFonts w:ascii="Arial" w:cs="Arial" w:eastAsia="Arial" w:hAnsi="Arial"/>
          <w:color w:val="1F6B3B"/>
          <w:sz w:val="19"/>
          <w:szCs w:val="19"/>
        </w:rPr>
        <w:t xml:space="preserve">Minimum reform lever: Cross-reference manual to the rule; avoid restating.</w:t>
      </w:r>
    </w:p>
    <w:p>
      <w:pPr>
        <w:keepNext/>
        <w:spacing w:after="10" w:before="110"/>
      </w:pPr>
      <w:r>
        <w:rPr>
          <w:rFonts w:ascii="Arial" w:cs="Arial" w:eastAsia="Arial" w:hAnsi="Arial"/>
          <w:b/>
          <w:bCs/>
          <w:color w:val="1F3864"/>
          <w:sz w:val="21"/>
          <w:szCs w:val="21"/>
        </w:rPr>
        <w:t xml:space="preserve">Director independence (cross-cutting)</w:t>
      </w:r>
      <w:r>
        <w:rPr>
          <w:rFonts w:ascii="Arial" w:cs="Arial" w:eastAsia="Arial" w:hAnsi="Arial"/>
          <w:b/>
          <w:bCs/>
          <w:color w:val="BF8F00"/>
          <w:sz w:val="18"/>
          <w:szCs w:val="18"/>
        </w:rPr>
        <w:t xml:space="preserve">  (15 duties · Candidate redundancy)</w:t>
      </w:r>
    </w:p>
    <w:p>
      <w:pPr>
        <w:spacing w:after="4" w:before="0"/>
      </w:pPr>
      <w:r>
        <w:rPr>
          <w:rFonts w:ascii="Arial" w:cs="Arial" w:eastAsia="Arial" w:hAnsi="Arial"/>
          <w:sz w:val="19"/>
          <w:szCs w:val="19"/>
        </w:rPr>
        <w:t xml:space="preserve">Sources: OCC App. D III.D; Reg YY 252.33(a)(4); FDICIA; SOX 301; DFA 952; exchange listing</w:t>
      </w:r>
    </w:p>
    <w:p>
      <w:pPr>
        <w:spacing w:after="4" w:before="0"/>
      </w:pPr>
      <w:r>
        <w:rPr>
          <w:rFonts w:ascii="Arial" w:cs="Arial" w:eastAsia="Arial" w:hAnsi="Arial"/>
          <w:sz w:val="19"/>
          <w:szCs w:val="19"/>
        </w:rPr>
        <w:t xml:space="preserve">Duplicative: Six non-uniform independence tests applied to the same directors.</w:t>
      </w:r>
    </w:p>
    <w:p>
      <w:pPr>
        <w:spacing w:after="4" w:before="0"/>
      </w:pPr>
      <w:r>
        <w:rPr>
          <w:rFonts w:ascii="Arial" w:cs="Arial" w:eastAsia="Arial" w:hAnsi="Arial"/>
          <w:sz w:val="19"/>
          <w:szCs w:val="19"/>
        </w:rPr>
        <w:t xml:space="preserve">Legally distinct: Different lookback periods and affiliation tests reflect different statutory lineages.</w:t>
      </w:r>
    </w:p>
    <w:p>
      <w:pPr>
        <w:spacing w:after="90" w:before="0"/>
      </w:pPr>
      <w:r>
        <w:rPr>
          <w:rFonts w:ascii="Arial" w:cs="Arial" w:eastAsia="Arial" w:hAnsi="Arial"/>
          <w:color w:val="1F6B3B"/>
          <w:sz w:val="19"/>
          <w:szCs w:val="19"/>
        </w:rPr>
        <w:t xml:space="preserve">Minimum reform lever: Single cross-referenced prudential independence definition.</w:t>
      </w:r>
    </w:p>
    <w:p>
      <w:pPr>
        <w:keepNext/>
        <w:spacing w:after="10" w:before="110"/>
      </w:pPr>
      <w:r>
        <w:rPr>
          <w:rFonts w:ascii="Arial" w:cs="Arial" w:eastAsia="Arial" w:hAnsi="Arial"/>
          <w:b/>
          <w:bCs/>
          <w:color w:val="1F3864"/>
          <w:sz w:val="21"/>
          <w:szCs w:val="21"/>
        </w:rPr>
        <w:t xml:space="preserve">Resolution, recovery &amp; contingency funding</w:t>
      </w:r>
      <w:r>
        <w:rPr>
          <w:rFonts w:ascii="Arial" w:cs="Arial" w:eastAsia="Arial" w:hAnsi="Arial"/>
          <w:b/>
          <w:bCs/>
          <w:color w:val="BF8F00"/>
          <w:sz w:val="18"/>
          <w:szCs w:val="18"/>
        </w:rPr>
        <w:t xml:space="preserve">  (13 duties · Mixed (parallel-but-justified + candidate redundancy))</w:t>
      </w:r>
    </w:p>
    <w:p>
      <w:pPr>
        <w:spacing w:after="4" w:before="0"/>
      </w:pPr>
      <w:r>
        <w:rPr>
          <w:rFonts w:ascii="Arial" w:cs="Arial" w:eastAsia="Arial" w:hAnsi="Arial"/>
          <w:sz w:val="19"/>
          <w:szCs w:val="19"/>
        </w:rPr>
        <w:t xml:space="preserve">Sources: DFA 165(d)/Reg QQ; FDIC 360.10; Reg YY 252.34(b) CFP; SR 14-8 (recovery)</w:t>
      </w:r>
    </w:p>
    <w:p>
      <w:pPr>
        <w:spacing w:after="4" w:before="0"/>
      </w:pPr>
      <w:r>
        <w:rPr>
          <w:rFonts w:ascii="Arial" w:cs="Arial" w:eastAsia="Arial" w:hAnsi="Arial"/>
          <w:sz w:val="19"/>
          <w:szCs w:val="19"/>
        </w:rPr>
        <w:t xml:space="preserve">Duplicative: Multiple board-approved resilience plans on different cycles; parent and IDI resolution submissions overlap heavily.</w:t>
      </w:r>
    </w:p>
    <w:p>
      <w:pPr>
        <w:spacing w:after="4" w:before="0"/>
      </w:pPr>
      <w:r>
        <w:rPr>
          <w:rFonts w:ascii="Arial" w:cs="Arial" w:eastAsia="Arial" w:hAnsi="Arial"/>
          <w:sz w:val="19"/>
          <w:szCs w:val="19"/>
        </w:rPr>
        <w:t xml:space="preserve">Legally distinct: The FDIC's interest in resolving the insured bank even if the parent's plan fails is genuinely distinct (parallel-but-justified).</w:t>
      </w:r>
    </w:p>
    <w:p>
      <w:pPr>
        <w:spacing w:after="90" w:before="0"/>
      </w:pPr>
      <w:r>
        <w:rPr>
          <w:rFonts w:ascii="Arial" w:cs="Arial" w:eastAsia="Arial" w:hAnsi="Arial"/>
          <w:color w:val="1F6B3B"/>
          <w:sz w:val="19"/>
          <w:szCs w:val="19"/>
        </w:rPr>
        <w:t xml:space="preserve">Minimum reform lever: Single 'resilience planning' board cycle; shared resolution submission with an IDI annex.</w:t>
      </w:r>
    </w:p>
    <w:p>
      <w:pPr>
        <w:keepNext/>
        <w:spacing w:after="10" w:before="110"/>
      </w:pPr>
      <w:r>
        <w:rPr>
          <w:rFonts w:ascii="Arial" w:cs="Arial" w:eastAsia="Arial" w:hAnsi="Arial"/>
          <w:b/>
          <w:bCs/>
          <w:color w:val="1F3864"/>
          <w:sz w:val="21"/>
          <w:szCs w:val="21"/>
        </w:rPr>
        <w:t xml:space="preserve">Consumer compliance (CMS)</w:t>
      </w:r>
      <w:r>
        <w:rPr>
          <w:rFonts w:ascii="Arial" w:cs="Arial" w:eastAsia="Arial" w:hAnsi="Arial"/>
          <w:b/>
          <w:bCs/>
          <w:color w:val="BF8F00"/>
          <w:sz w:val="18"/>
          <w:szCs w:val="18"/>
        </w:rPr>
        <w:t xml:space="preserve">  (13 duties · Candidate redundancy)</w:t>
      </w:r>
    </w:p>
    <w:p>
      <w:pPr>
        <w:spacing w:after="4" w:before="0"/>
      </w:pPr>
      <w:r>
        <w:rPr>
          <w:rFonts w:ascii="Arial" w:cs="Arial" w:eastAsia="Arial" w:hAnsi="Arial"/>
          <w:sz w:val="19"/>
          <w:szCs w:val="19"/>
        </w:rPr>
        <w:t xml:space="preserve">Sources: CFPB manual; OCC/FDIC CMS; SR 08-8</w:t>
      </w:r>
    </w:p>
    <w:p>
      <w:pPr>
        <w:spacing w:after="4" w:before="0"/>
      </w:pPr>
      <w:r>
        <w:rPr>
          <w:rFonts w:ascii="Arial" w:cs="Arial" w:eastAsia="Arial" w:hAnsi="Arial"/>
          <w:sz w:val="19"/>
          <w:szCs w:val="19"/>
        </w:rPr>
        <w:t xml:space="preserve">Duplicative: CMS board oversight across CFPB and prudential regulators.</w:t>
      </w:r>
    </w:p>
    <w:p>
      <w:pPr>
        <w:spacing w:after="4" w:before="0"/>
      </w:pPr>
      <w:r>
        <w:rPr>
          <w:rFonts w:ascii="Arial" w:cs="Arial" w:eastAsia="Arial" w:hAnsi="Arial"/>
          <w:sz w:val="19"/>
          <w:szCs w:val="19"/>
        </w:rPr>
        <w:t xml:space="preserve">Legally distinct: CFPB consumer mandate vs. prudential safety-and-soundness.</w:t>
      </w:r>
    </w:p>
    <w:p>
      <w:pPr>
        <w:spacing w:after="90" w:before="0"/>
      </w:pPr>
      <w:r>
        <w:rPr>
          <w:rFonts w:ascii="Arial" w:cs="Arial" w:eastAsia="Arial" w:hAnsi="Arial"/>
          <w:color w:val="1F6B3B"/>
          <w:sz w:val="19"/>
          <w:szCs w:val="19"/>
        </w:rPr>
        <w:t xml:space="preserve">Minimum reform lever: Coordinate CMS expectations; CFPB now lightly enforced (2026).</w:t>
      </w:r>
    </w:p>
    <w:p>
      <w:pPr>
        <w:keepNext/>
        <w:spacing w:after="10" w:before="110"/>
      </w:pPr>
      <w:r>
        <w:rPr>
          <w:rFonts w:ascii="Arial" w:cs="Arial" w:eastAsia="Arial" w:hAnsi="Arial"/>
          <w:b/>
          <w:bCs/>
          <w:color w:val="1F3864"/>
          <w:sz w:val="21"/>
          <w:szCs w:val="21"/>
        </w:rPr>
        <w:t xml:space="preserve">Information security &amp; cybersecurity</w:t>
      </w:r>
      <w:r>
        <w:rPr>
          <w:rFonts w:ascii="Arial" w:cs="Arial" w:eastAsia="Arial" w:hAnsi="Arial"/>
          <w:b/>
          <w:bCs/>
          <w:color w:val="BF8F00"/>
          <w:sz w:val="18"/>
          <w:szCs w:val="18"/>
        </w:rPr>
        <w:t xml:space="preserve">  (12 duties · Candidate redundancy)</w:t>
      </w:r>
    </w:p>
    <w:p>
      <w:pPr>
        <w:spacing w:after="4" w:before="0"/>
      </w:pPr>
      <w:r>
        <w:rPr>
          <w:rFonts w:ascii="Arial" w:cs="Arial" w:eastAsia="Arial" w:hAnsi="Arial"/>
          <w:sz w:val="19"/>
          <w:szCs w:val="19"/>
        </w:rPr>
        <w:t xml:space="preserve">Sources: GLBA 501(b) (12 CFR 30 App. B + three parallel appendices); SEC Reg S-K 106; incident-notification rule; FFIEC IT</w:t>
      </w:r>
    </w:p>
    <w:p>
      <w:pPr>
        <w:spacing w:after="4" w:before="0"/>
      </w:pPr>
      <w:r>
        <w:rPr>
          <w:rFonts w:ascii="Arial" w:cs="Arial" w:eastAsia="Arial" w:hAnsi="Arial"/>
          <w:sz w:val="19"/>
          <w:szCs w:val="19"/>
        </w:rPr>
        <w:t xml:space="preserve">Duplicative: Same information-security program approved at BHC and IDI levels under four parallel appendices; cyber oversight also disclosed to the SEC.</w:t>
      </w:r>
    </w:p>
    <w:p>
      <w:pPr>
        <w:spacing w:after="4" w:before="0"/>
      </w:pPr>
      <w:r>
        <w:rPr>
          <w:rFonts w:ascii="Arial" w:cs="Arial" w:eastAsia="Arial" w:hAnsi="Arial"/>
          <w:sz w:val="19"/>
          <w:szCs w:val="19"/>
        </w:rPr>
        <w:t xml:space="preserve">Legally distinct: SEC disclosure serves investors; the prudential program serves safety-and-soundness.</w:t>
      </w:r>
    </w:p>
    <w:p>
      <w:pPr>
        <w:spacing w:after="90" w:before="0"/>
      </w:pPr>
      <w:r>
        <w:rPr>
          <w:rFonts w:ascii="Arial" w:cs="Arial" w:eastAsia="Arial" w:hAnsi="Arial"/>
          <w:color w:val="1F6B3B"/>
          <w:sz w:val="19"/>
          <w:szCs w:val="19"/>
        </w:rPr>
        <w:t xml:space="preserve">Minimum reform lever: One enterprise info-security program approval; joint SEC/banking statement on cyber oversight.</w:t>
      </w:r>
    </w:p>
    <w:p>
      <w:pPr>
        <w:keepNext/>
        <w:spacing w:after="10" w:before="110"/>
      </w:pPr>
      <w:r>
        <w:rPr>
          <w:rFonts w:ascii="Arial" w:cs="Arial" w:eastAsia="Arial" w:hAnsi="Arial"/>
          <w:b/>
          <w:bCs/>
          <w:color w:val="1F3864"/>
          <w:sz w:val="21"/>
          <w:szCs w:val="21"/>
        </w:rPr>
        <w:t xml:space="preserve">Incentive compensation</w:t>
      </w:r>
      <w:r>
        <w:rPr>
          <w:rFonts w:ascii="Arial" w:cs="Arial" w:eastAsia="Arial" w:hAnsi="Arial"/>
          <w:b/>
          <w:bCs/>
          <w:color w:val="BF8F00"/>
          <w:sz w:val="18"/>
          <w:szCs w:val="18"/>
        </w:rPr>
        <w:t xml:space="preserve">  (10 duties · Candidate redundancy)</w:t>
      </w:r>
    </w:p>
    <w:p>
      <w:pPr>
        <w:spacing w:after="4" w:before="0"/>
      </w:pPr>
      <w:r>
        <w:rPr>
          <w:rFonts w:ascii="Arial" w:cs="Arial" w:eastAsia="Arial" w:hAnsi="Arial"/>
          <w:sz w:val="19"/>
          <w:szCs w:val="19"/>
        </w:rPr>
        <w:t xml:space="preserve">Sources: DFA 956 (unimplemented); 2010 guidance; OCC App. D; DFA 952 / exchange</w:t>
      </w:r>
    </w:p>
    <w:p>
      <w:pPr>
        <w:spacing w:after="4" w:before="0"/>
      </w:pPr>
      <w:r>
        <w:rPr>
          <w:rFonts w:ascii="Arial" w:cs="Arial" w:eastAsia="Arial" w:hAnsi="Arial"/>
          <w:sz w:val="19"/>
          <w:szCs w:val="19"/>
        </w:rPr>
        <w:t xml:space="preserve">Duplicative: Comp-governance duties across an unfinished rule, guidance, and SEC independence rules.</w:t>
      </w:r>
    </w:p>
    <w:p>
      <w:pPr>
        <w:spacing w:after="4" w:before="0"/>
      </w:pPr>
      <w:r>
        <w:rPr>
          <w:rFonts w:ascii="Arial" w:cs="Arial" w:eastAsia="Arial" w:hAnsi="Arial"/>
          <w:sz w:val="19"/>
          <w:szCs w:val="19"/>
        </w:rPr>
        <w:t xml:space="preserve">Legally distinct: SEC comp-committee independence serves investors.</w:t>
      </w:r>
    </w:p>
    <w:p>
      <w:pPr>
        <w:spacing w:after="90" w:before="0"/>
      </w:pPr>
      <w:r>
        <w:rPr>
          <w:rFonts w:ascii="Arial" w:cs="Arial" w:eastAsia="Arial" w:hAnsi="Arial"/>
          <w:color w:val="1F6B3B"/>
          <w:sz w:val="19"/>
          <w:szCs w:val="19"/>
        </w:rPr>
        <w:t xml:space="preserve">Minimum reform lever: Finalize one 956 framework or rely on guidance; SEC independence satisfies the prudential element.</w:t>
      </w:r>
    </w:p>
    <w:p>
      <w:pPr>
        <w:keepNext/>
        <w:spacing w:after="10" w:before="110"/>
      </w:pPr>
      <w:r>
        <w:rPr>
          <w:rFonts w:ascii="Arial" w:cs="Arial" w:eastAsia="Arial" w:hAnsi="Arial"/>
          <w:b/>
          <w:bCs/>
          <w:color w:val="1F3864"/>
          <w:sz w:val="21"/>
          <w:szCs w:val="21"/>
        </w:rPr>
        <w:t xml:space="preserve">Third-party risk management</w:t>
      </w:r>
      <w:r>
        <w:rPr>
          <w:rFonts w:ascii="Arial" w:cs="Arial" w:eastAsia="Arial" w:hAnsi="Arial"/>
          <w:b/>
          <w:bCs/>
          <w:color w:val="BF8F00"/>
          <w:sz w:val="18"/>
          <w:szCs w:val="18"/>
        </w:rPr>
        <w:t xml:space="preserve">  (7 duties · Candidate redundancy)</w:t>
      </w:r>
    </w:p>
    <w:p>
      <w:pPr>
        <w:spacing w:after="4" w:before="0"/>
      </w:pPr>
      <w:r>
        <w:rPr>
          <w:rFonts w:ascii="Arial" w:cs="Arial" w:eastAsia="Arial" w:hAnsi="Arial"/>
          <w:sz w:val="19"/>
          <w:szCs w:val="19"/>
        </w:rPr>
        <w:t xml:space="preserve">Sources: 2023 interagency guidance (SR 23-4); OCC App. D; FFIEC; CFPB</w:t>
      </w:r>
    </w:p>
    <w:p>
      <w:pPr>
        <w:spacing w:after="4" w:before="0"/>
      </w:pPr>
      <w:r>
        <w:rPr>
          <w:rFonts w:ascii="Arial" w:cs="Arial" w:eastAsia="Arial" w:hAnsi="Arial"/>
          <w:sz w:val="19"/>
          <w:szCs w:val="19"/>
        </w:rPr>
        <w:t xml:space="preserve">Duplicative: Board oversight/approval of third-party risk across interagency guidance and enforceable standards.</w:t>
      </w:r>
    </w:p>
    <w:p>
      <w:pPr>
        <w:spacing w:after="4" w:before="0"/>
      </w:pPr>
      <w:r>
        <w:rPr>
          <w:rFonts w:ascii="Arial" w:cs="Arial" w:eastAsia="Arial" w:hAnsi="Arial"/>
          <w:sz w:val="19"/>
          <w:szCs w:val="19"/>
        </w:rPr>
        <w:t xml:space="preserve">Legally distinct: Consumer-compliance service-provider oversight is a distinct statutory concern.</w:t>
      </w:r>
    </w:p>
    <w:p>
      <w:pPr>
        <w:spacing w:after="90" w:before="0"/>
      </w:pPr>
      <w:r>
        <w:rPr>
          <w:rFonts w:ascii="Arial" w:cs="Arial" w:eastAsia="Arial" w:hAnsi="Arial"/>
          <w:color w:val="1F6B3B"/>
          <w:sz w:val="19"/>
          <w:szCs w:val="19"/>
        </w:rPr>
        <w:t xml:space="preserve">Minimum reform lever: Quantitative 'critical activity' threshold for board attention; management approval + aggregate reporting otherwise.</w:t>
      </w:r>
    </w:p>
    <w:p>
      <w:pPr>
        <w:keepNext/>
        <w:spacing w:after="10" w:before="110"/>
      </w:pPr>
      <w:r>
        <w:rPr>
          <w:rFonts w:ascii="Arial" w:cs="Arial" w:eastAsia="Arial" w:hAnsi="Arial"/>
          <w:b/>
          <w:bCs/>
          <w:color w:val="1F3864"/>
          <w:sz w:val="21"/>
          <w:szCs w:val="21"/>
        </w:rPr>
        <w:t xml:space="preserve">Risk committee architecture</w:t>
      </w:r>
      <w:r>
        <w:rPr>
          <w:rFonts w:ascii="Arial" w:cs="Arial" w:eastAsia="Arial" w:hAnsi="Arial"/>
          <w:b/>
          <w:bCs/>
          <w:color w:val="BF8F00"/>
          <w:sz w:val="18"/>
          <w:szCs w:val="18"/>
        </w:rPr>
        <w:t xml:space="preserve">  (6 duties · Candidate redundancy)</w:t>
      </w:r>
    </w:p>
    <w:p>
      <w:pPr>
        <w:spacing w:after="4" w:before="0"/>
      </w:pPr>
      <w:r>
        <w:rPr>
          <w:rFonts w:ascii="Arial" w:cs="Arial" w:eastAsia="Arial" w:hAnsi="Arial"/>
          <w:sz w:val="19"/>
          <w:szCs w:val="19"/>
        </w:rPr>
        <w:t xml:space="preserve">Sources: DFA 165(h); Reg YY 252.33; OCC App. D; SR 21-3</w:t>
      </w:r>
    </w:p>
    <w:p>
      <w:pPr>
        <w:spacing w:after="4" w:before="0"/>
      </w:pPr>
      <w:r>
        <w:rPr>
          <w:rFonts w:ascii="Arial" w:cs="Arial" w:eastAsia="Arial" w:hAnsi="Arial"/>
          <w:sz w:val="19"/>
          <w:szCs w:val="19"/>
        </w:rPr>
        <w:t xml:space="preserve">Duplicative: Committee existence, charter, independent chair, quarterly CRO reporting required at BHC (rule) and bank (enforceable guideline) levels.</w:t>
      </w:r>
    </w:p>
    <w:p>
      <w:pPr>
        <w:spacing w:after="4" w:before="0"/>
      </w:pPr>
      <w:r>
        <w:rPr>
          <w:rFonts w:ascii="Arial" w:cs="Arial" w:eastAsia="Arial" w:hAnsi="Arial"/>
          <w:sz w:val="19"/>
          <w:szCs w:val="19"/>
        </w:rPr>
        <w:t xml:space="preserve">Legally distinct: The bank-level framework also covers bank-specific risk limits the parent committee may not reach.</w:t>
      </w:r>
    </w:p>
    <w:p>
      <w:pPr>
        <w:spacing w:after="90" w:before="0"/>
      </w:pPr>
      <w:r>
        <w:rPr>
          <w:rFonts w:ascii="Arial" w:cs="Arial" w:eastAsia="Arial" w:hAnsi="Arial"/>
          <w:color w:val="1F6B3B"/>
          <w:sz w:val="19"/>
          <w:szCs w:val="19"/>
        </w:rPr>
        <w:t xml:space="preserve">Minimum reform lever: Joint Fed-OCC rule: one risk-committee standard at the consolidated level + a streamlined IDI certification.</w:t>
      </w:r>
    </w:p>
    <w:p>
      <w:pPr>
        <w:keepNext/>
        <w:spacing w:after="10" w:before="110"/>
      </w:pPr>
      <w:r>
        <w:rPr>
          <w:rFonts w:ascii="Arial" w:cs="Arial" w:eastAsia="Arial" w:hAnsi="Arial"/>
          <w:b/>
          <w:bCs/>
          <w:color w:val="1F3864"/>
          <w:sz w:val="21"/>
          <w:szCs w:val="21"/>
        </w:rPr>
        <w:t xml:space="preserve">Risk appetite statement</w:t>
      </w:r>
      <w:r>
        <w:rPr>
          <w:rFonts w:ascii="Arial" w:cs="Arial" w:eastAsia="Arial" w:hAnsi="Arial"/>
          <w:b/>
          <w:bCs/>
          <w:color w:val="BF8F00"/>
          <w:sz w:val="18"/>
          <w:szCs w:val="18"/>
        </w:rPr>
        <w:t xml:space="preserve">  (5 duties · Candidate redundancy)</w:t>
      </w:r>
    </w:p>
    <w:p>
      <w:pPr>
        <w:spacing w:after="4" w:before="0"/>
      </w:pPr>
      <w:r>
        <w:rPr>
          <w:rFonts w:ascii="Arial" w:cs="Arial" w:eastAsia="Arial" w:hAnsi="Arial"/>
          <w:sz w:val="19"/>
          <w:szCs w:val="19"/>
        </w:rPr>
        <w:t xml:space="preserve">Sources: OCC App. D II.E/G; Reg YY 252.34 (liquidity tolerance); SR 21-3; SR 20-24 (disruption tolerance)</w:t>
      </w:r>
    </w:p>
    <w:p>
      <w:pPr>
        <w:spacing w:after="4" w:before="0"/>
      </w:pPr>
      <w:r>
        <w:rPr>
          <w:rFonts w:ascii="Arial" w:cs="Arial" w:eastAsia="Arial" w:hAnsi="Arial"/>
          <w:sz w:val="19"/>
          <w:szCs w:val="19"/>
        </w:rPr>
        <w:t xml:space="preserve">Duplicative: Board approval of a risk-appetite/tolerance statement required by four instruments with differing content.</w:t>
      </w:r>
    </w:p>
    <w:p>
      <w:pPr>
        <w:spacing w:after="4" w:before="0"/>
      </w:pPr>
      <w:r>
        <w:rPr>
          <w:rFonts w:ascii="Arial" w:cs="Arial" w:eastAsia="Arial" w:hAnsi="Arial"/>
          <w:sz w:val="19"/>
          <w:szCs w:val="19"/>
        </w:rPr>
        <w:t xml:space="preserve">Legally distinct: Liquidity tolerance and operational-disruption tolerance are genuinely different risk dimensions.</w:t>
      </w:r>
    </w:p>
    <w:p>
      <w:pPr>
        <w:spacing w:after="90" w:before="0"/>
      </w:pPr>
      <w:r>
        <w:rPr>
          <w:rFonts w:ascii="Arial" w:cs="Arial" w:eastAsia="Arial" w:hAnsi="Arial"/>
          <w:color w:val="1F6B3B"/>
          <w:sz w:val="19"/>
          <w:szCs w:val="19"/>
        </w:rPr>
        <w:t xml:space="preserve">Minimum reform lever: Interagency risk-appetite template + safe harbor that one board-approved statement satisfies all.</w:t>
      </w:r>
    </w:p>
    <w:p>
      <w:pPr>
        <w:keepNext/>
        <w:spacing w:after="10" w:before="110"/>
      </w:pPr>
      <w:r>
        <w:rPr>
          <w:rFonts w:ascii="Arial" w:cs="Arial" w:eastAsia="Arial" w:hAnsi="Arial"/>
          <w:b/>
          <w:bCs/>
          <w:color w:val="1F3864"/>
          <w:sz w:val="21"/>
          <w:szCs w:val="21"/>
        </w:rPr>
        <w:t xml:space="preserve">Operational resilience / business continuity</w:t>
      </w:r>
      <w:r>
        <w:rPr>
          <w:rFonts w:ascii="Arial" w:cs="Arial" w:eastAsia="Arial" w:hAnsi="Arial"/>
          <w:b/>
          <w:bCs/>
          <w:color w:val="595959"/>
          <w:sz w:val="18"/>
          <w:szCs w:val="18"/>
        </w:rPr>
        <w:t xml:space="preserve">  (5 duties · Limited overlap)</w:t>
      </w:r>
    </w:p>
    <w:p>
      <w:pPr>
        <w:spacing w:after="4" w:before="0"/>
      </w:pPr>
      <w:r>
        <w:rPr>
          <w:rFonts w:ascii="Arial" w:cs="Arial" w:eastAsia="Arial" w:hAnsi="Arial"/>
          <w:sz w:val="19"/>
          <w:szCs w:val="19"/>
        </w:rPr>
        <w:t xml:space="preserve">Sources: SR 20-24; FFIEC BCM; OCC App. D</w:t>
      </w:r>
    </w:p>
    <w:p>
      <w:pPr>
        <w:spacing w:after="4" w:before="0"/>
      </w:pPr>
      <w:r>
        <w:rPr>
          <w:rFonts w:ascii="Arial" w:cs="Arial" w:eastAsia="Arial" w:hAnsi="Arial"/>
          <w:sz w:val="19"/>
          <w:szCs w:val="19"/>
        </w:rPr>
        <w:t xml:space="preserve">Duplicative: Board approval of disruption tolerance and resilience oversight across guidance.</w:t>
      </w:r>
    </w:p>
    <w:p>
      <w:pPr>
        <w:spacing w:after="4" w:before="0"/>
      </w:pPr>
      <w:r>
        <w:rPr>
          <w:rFonts w:ascii="Arial" w:cs="Arial" w:eastAsia="Arial" w:hAnsi="Arial"/>
          <w:sz w:val="19"/>
          <w:szCs w:val="19"/>
        </w:rPr>
        <w:t xml:space="preserve">Legally distinct: Operational resilience is a distinct risk dimension.</w:t>
      </w:r>
    </w:p>
    <w:p>
      <w:pPr>
        <w:spacing w:after="90" w:before="0"/>
      </w:pPr>
      <w:r>
        <w:rPr>
          <w:rFonts w:ascii="Arial" w:cs="Arial" w:eastAsia="Arial" w:hAnsi="Arial"/>
          <w:color w:val="1F6B3B"/>
          <w:sz w:val="19"/>
          <w:szCs w:val="19"/>
        </w:rPr>
        <w:t xml:space="preserve">Minimum reform lever: Fold into the enterprise risk-appetite approval.</w:t>
      </w:r>
    </w:p>
    <w:p>
      <w:pPr>
        <w:keepNext/>
        <w:spacing w:after="10" w:before="110"/>
      </w:pPr>
      <w:r>
        <w:rPr>
          <w:rFonts w:ascii="Arial" w:cs="Arial" w:eastAsia="Arial" w:hAnsi="Arial"/>
          <w:b/>
          <w:bCs/>
          <w:color w:val="1F3864"/>
          <w:sz w:val="21"/>
          <w:szCs w:val="21"/>
        </w:rPr>
        <w:t xml:space="preserve">Internal control over financial reporting</w:t>
      </w:r>
      <w:r>
        <w:rPr>
          <w:rFonts w:ascii="Arial" w:cs="Arial" w:eastAsia="Arial" w:hAnsi="Arial"/>
          <w:b/>
          <w:bCs/>
          <w:color w:val="BF8F00"/>
          <w:sz w:val="18"/>
          <w:szCs w:val="18"/>
        </w:rPr>
        <w:t xml:space="preserve">  (4 duties · Candidate redundancy)</w:t>
      </w:r>
    </w:p>
    <w:p>
      <w:pPr>
        <w:spacing w:after="4" w:before="0"/>
      </w:pPr>
      <w:r>
        <w:rPr>
          <w:rFonts w:ascii="Arial" w:cs="Arial" w:eastAsia="Arial" w:hAnsi="Arial"/>
          <w:sz w:val="19"/>
          <w:szCs w:val="19"/>
        </w:rPr>
        <w:t xml:space="preserve">Sources: SOX 404(a)/(b); SOX 302; FDICIA Part 363</w:t>
      </w:r>
    </w:p>
    <w:p>
      <w:pPr>
        <w:spacing w:after="4" w:before="0"/>
      </w:pPr>
      <w:r>
        <w:rPr>
          <w:rFonts w:ascii="Arial" w:cs="Arial" w:eastAsia="Arial" w:hAnsi="Arial"/>
          <w:sz w:val="19"/>
          <w:szCs w:val="19"/>
        </w:rPr>
        <w:t xml:space="preserve">Duplicative: Parallel ICFR assessment/attestation on a fiscal-year (SOX) and calendar-year (FDICIA) cycle.</w:t>
      </w:r>
    </w:p>
    <w:p>
      <w:pPr>
        <w:spacing w:after="4" w:before="0"/>
      </w:pPr>
      <w:r>
        <w:rPr>
          <w:rFonts w:ascii="Arial" w:cs="Arial" w:eastAsia="Arial" w:hAnsi="Arial"/>
          <w:sz w:val="19"/>
          <w:szCs w:val="19"/>
        </w:rPr>
        <w:t xml:space="preserve">Legally distinct: FDICIA adds compliance with designated safety-and-soundness laws.</w:t>
      </w:r>
    </w:p>
    <w:p>
      <w:pPr>
        <w:spacing w:after="90" w:before="0"/>
      </w:pPr>
      <w:r>
        <w:rPr>
          <w:rFonts w:ascii="Arial" w:cs="Arial" w:eastAsia="Arial" w:hAnsi="Arial"/>
          <w:color w:val="1F6B3B"/>
          <w:sz w:val="19"/>
          <w:szCs w:val="19"/>
        </w:rPr>
        <w:t xml:space="preserve">Minimum reform lever: Permit SOX 404(b) to satisfy FDICIA ICFR by cross-reference; align cycles.</w:t>
      </w:r>
    </w:p>
    <w:p>
      <w:pPr>
        <w:keepNext/>
        <w:spacing w:after="10" w:before="110"/>
      </w:pPr>
      <w:r>
        <w:rPr>
          <w:rFonts w:ascii="Arial" w:cs="Arial" w:eastAsia="Arial" w:hAnsi="Arial"/>
          <w:b/>
          <w:bCs/>
          <w:color w:val="1F3864"/>
          <w:sz w:val="21"/>
          <w:szCs w:val="21"/>
        </w:rPr>
        <w:t xml:space="preserve">Unique structural duties</w:t>
      </w:r>
      <w:r>
        <w:rPr>
          <w:rFonts w:ascii="Arial" w:cs="Arial" w:eastAsia="Arial" w:hAnsi="Arial"/>
          <w:b/>
          <w:bCs/>
          <w:color w:val="595959"/>
          <w:sz w:val="18"/>
          <w:szCs w:val="18"/>
        </w:rPr>
        <w:t xml:space="preserve">  (4 duties · Unique / limited overlap)</w:t>
      </w:r>
    </w:p>
    <w:p>
      <w:pPr>
        <w:spacing w:after="4" w:before="0"/>
      </w:pPr>
      <w:r>
        <w:rPr>
          <w:rFonts w:ascii="Arial" w:cs="Arial" w:eastAsia="Arial" w:hAnsi="Arial"/>
          <w:sz w:val="19"/>
          <w:szCs w:val="19"/>
        </w:rPr>
        <w:t xml:space="preserve">Sources: TLAC (252.62-64); single-counterparty (252.70-78); Volcker (12 CFR 248)</w:t>
      </w:r>
    </w:p>
    <w:p>
      <w:pPr>
        <w:spacing w:after="4" w:before="0"/>
      </w:pPr>
      <w:r>
        <w:rPr>
          <w:rFonts w:ascii="Arial" w:cs="Arial" w:eastAsia="Arial" w:hAnsi="Arial"/>
          <w:sz w:val="19"/>
          <w:szCs w:val="19"/>
        </w:rPr>
        <w:t xml:space="preserve">Duplicative: None material.</w:t>
      </w:r>
    </w:p>
    <w:p>
      <w:pPr>
        <w:spacing w:after="4" w:before="0"/>
      </w:pPr>
      <w:r>
        <w:rPr>
          <w:rFonts w:ascii="Arial" w:cs="Arial" w:eastAsia="Arial" w:hAnsi="Arial"/>
          <w:sz w:val="19"/>
          <w:szCs w:val="19"/>
        </w:rPr>
        <w:t xml:space="preserve">Legally distinct: GSIB-specific structural and trading-compliance duties.</w:t>
      </w:r>
    </w:p>
    <w:p>
      <w:pPr>
        <w:spacing w:after="90" w:before="0"/>
      </w:pPr>
      <w:r>
        <w:rPr>
          <w:rFonts w:ascii="Arial" w:cs="Arial" w:eastAsia="Arial" w:hAnsi="Arial"/>
          <w:color w:val="1F6B3B"/>
          <w:sz w:val="19"/>
          <w:szCs w:val="19"/>
        </w:rPr>
        <w:t xml:space="preserve">Minimum reform lever: Retain; distinct purpose.</w:t>
      </w:r>
    </w:p>
    <w:p>
      <w:pPr>
        <w:keepNext/>
        <w:spacing w:after="10" w:before="110"/>
      </w:pPr>
      <w:r>
        <w:rPr>
          <w:rFonts w:ascii="Arial" w:cs="Arial" w:eastAsia="Arial" w:hAnsi="Arial"/>
          <w:b/>
          <w:bCs/>
          <w:color w:val="1F3864"/>
          <w:sz w:val="21"/>
          <w:szCs w:val="21"/>
        </w:rPr>
        <w:t xml:space="preserve">Board self-assessment / effectiveness</w:t>
      </w:r>
      <w:r>
        <w:rPr>
          <w:rFonts w:ascii="Arial" w:cs="Arial" w:eastAsia="Arial" w:hAnsi="Arial"/>
          <w:b/>
          <w:bCs/>
          <w:color w:val="BF8F00"/>
          <w:sz w:val="18"/>
          <w:szCs w:val="18"/>
        </w:rPr>
        <w:t xml:space="preserve">  (3 duties · Candidate redundancy)</w:t>
      </w:r>
    </w:p>
    <w:p>
      <w:pPr>
        <w:spacing w:after="4" w:before="0"/>
      </w:pPr>
      <w:r>
        <w:rPr>
          <w:rFonts w:ascii="Arial" w:cs="Arial" w:eastAsia="Arial" w:hAnsi="Arial"/>
          <w:sz w:val="19"/>
          <w:szCs w:val="19"/>
        </w:rPr>
        <w:t xml:space="preserve">Sources: OCC App. D III.F; SR 21-3; LFI rating</w:t>
      </w:r>
    </w:p>
    <w:p>
      <w:pPr>
        <w:spacing w:after="4" w:before="0"/>
      </w:pPr>
      <w:r>
        <w:rPr>
          <w:rFonts w:ascii="Arial" w:cs="Arial" w:eastAsia="Arial" w:hAnsi="Arial"/>
          <w:sz w:val="19"/>
          <w:szCs w:val="19"/>
        </w:rPr>
        <w:t xml:space="preserve">Duplicative: Parallel self-assessment / effectiveness evaluation under Fed and OCC.</w:t>
      </w:r>
    </w:p>
    <w:p>
      <w:pPr>
        <w:spacing w:after="4" w:before="0"/>
      </w:pPr>
      <w:r>
        <w:rPr>
          <w:rFonts w:ascii="Arial" w:cs="Arial" w:eastAsia="Arial" w:hAnsi="Arial"/>
          <w:sz w:val="19"/>
          <w:szCs w:val="19"/>
        </w:rPr>
        <w:t xml:space="preserve">Legally distinct: Minimal.</w:t>
      </w:r>
    </w:p>
    <w:p>
      <w:pPr>
        <w:spacing w:after="90" w:before="0"/>
      </w:pPr>
      <w:r>
        <w:rPr>
          <w:rFonts w:ascii="Arial" w:cs="Arial" w:eastAsia="Arial" w:hAnsi="Arial"/>
          <w:color w:val="1F6B3B"/>
          <w:sz w:val="19"/>
          <w:szCs w:val="19"/>
        </w:rPr>
        <w:t xml:space="preserve">Minimum reform lever: Single interagency board-effectiveness assessment.</w:t>
      </w:r>
    </w:p>
    <w:p>
      <w:pPr>
        <w:keepNext/>
        <w:spacing w:after="10" w:before="110"/>
      </w:pPr>
      <w:r>
        <w:rPr>
          <w:rFonts w:ascii="Arial" w:cs="Arial" w:eastAsia="Arial" w:hAnsi="Arial"/>
          <w:b/>
          <w:bCs/>
          <w:color w:val="1F3864"/>
          <w:sz w:val="21"/>
          <w:szCs w:val="21"/>
        </w:rPr>
        <w:t xml:space="preserve">Insider / affiliate / related-party</w:t>
      </w:r>
      <w:r>
        <w:rPr>
          <w:rFonts w:ascii="Arial" w:cs="Arial" w:eastAsia="Arial" w:hAnsi="Arial"/>
          <w:b/>
          <w:bCs/>
          <w:color w:val="595959"/>
          <w:sz w:val="18"/>
          <w:szCs w:val="18"/>
        </w:rPr>
        <w:t xml:space="preserve">  (3 duties · Limited overlap)</w:t>
      </w:r>
    </w:p>
    <w:p>
      <w:pPr>
        <w:spacing w:after="4" w:before="0"/>
      </w:pPr>
      <w:r>
        <w:rPr>
          <w:rFonts w:ascii="Arial" w:cs="Arial" w:eastAsia="Arial" w:hAnsi="Arial"/>
          <w:sz w:val="19"/>
          <w:szCs w:val="19"/>
        </w:rPr>
        <w:t xml:space="preserve">Sources: Reg O (215); Reg W (223); SEC Reg S-K 404</w:t>
      </w:r>
    </w:p>
    <w:p>
      <w:pPr>
        <w:spacing w:after="4" w:before="0"/>
      </w:pPr>
      <w:r>
        <w:rPr>
          <w:rFonts w:ascii="Arial" w:cs="Arial" w:eastAsia="Arial" w:hAnsi="Arial"/>
          <w:sz w:val="19"/>
          <w:szCs w:val="19"/>
        </w:rPr>
        <w:t xml:space="preserve">Duplicative: Related-party and insider-transaction board review across banking and SEC rules.</w:t>
      </w:r>
    </w:p>
    <w:p>
      <w:pPr>
        <w:spacing w:after="4" w:before="0"/>
      </w:pPr>
      <w:r>
        <w:rPr>
          <w:rFonts w:ascii="Arial" w:cs="Arial" w:eastAsia="Arial" w:hAnsi="Arial"/>
          <w:sz w:val="19"/>
          <w:szCs w:val="19"/>
        </w:rPr>
        <w:t xml:space="preserve">Legally distinct: Reg O/W protect the insured bank; SEC protects investors.</w:t>
      </w:r>
    </w:p>
    <w:p>
      <w:pPr>
        <w:spacing w:after="90" w:before="0"/>
      </w:pPr>
      <w:r>
        <w:rPr>
          <w:rFonts w:ascii="Arial" w:cs="Arial" w:eastAsia="Arial" w:hAnsi="Arial"/>
          <w:color w:val="1F6B3B"/>
          <w:sz w:val="19"/>
          <w:szCs w:val="19"/>
        </w:rPr>
        <w:t xml:space="preserve">Minimum reform lever: Coordinate related-party review processes.</w:t>
      </w:r>
    </w:p>
    <w:p>
      <w:pPr>
        <w:keepNext/>
        <w:spacing w:after="10" w:before="110"/>
      </w:pPr>
      <w:r>
        <w:rPr>
          <w:rFonts w:ascii="Arial" w:cs="Arial" w:eastAsia="Arial" w:hAnsi="Arial"/>
          <w:b/>
          <w:bCs/>
          <w:color w:val="1F3864"/>
          <w:sz w:val="21"/>
          <w:szCs w:val="21"/>
        </w:rPr>
        <w:t xml:space="preserve">CRO / CRE appointment &amp; compensation</w:t>
      </w:r>
      <w:r>
        <w:rPr>
          <w:rFonts w:ascii="Arial" w:cs="Arial" w:eastAsia="Arial" w:hAnsi="Arial"/>
          <w:b/>
          <w:bCs/>
          <w:color w:val="BF8F00"/>
          <w:sz w:val="18"/>
          <w:szCs w:val="18"/>
        </w:rPr>
        <w:t xml:space="preserve">  (2 duties · Candidate redundancy)</w:t>
      </w:r>
    </w:p>
    <w:p>
      <w:pPr>
        <w:spacing w:after="4" w:before="0"/>
      </w:pPr>
      <w:r>
        <w:rPr>
          <w:rFonts w:ascii="Arial" w:cs="Arial" w:eastAsia="Arial" w:hAnsi="Arial"/>
          <w:sz w:val="19"/>
          <w:szCs w:val="19"/>
        </w:rPr>
        <w:t xml:space="preserve">Sources: Reg YY 252.33(b); OCC App. D I.E.7</w:t>
      </w:r>
    </w:p>
    <w:p>
      <w:pPr>
        <w:spacing w:after="4" w:before="0"/>
      </w:pPr>
      <w:r>
        <w:rPr>
          <w:rFonts w:ascii="Arial" w:cs="Arial" w:eastAsia="Arial" w:hAnsi="Arial"/>
          <w:sz w:val="19"/>
          <w:szCs w:val="19"/>
        </w:rPr>
        <w:t xml:space="preserve">Duplicative: Board approval of the same individual's appointment/pay at two levels.</w:t>
      </w:r>
    </w:p>
    <w:p>
      <w:pPr>
        <w:spacing w:after="4" w:before="0"/>
      </w:pPr>
      <w:r>
        <w:rPr>
          <w:rFonts w:ascii="Arial" w:cs="Arial" w:eastAsia="Arial" w:hAnsi="Arial"/>
          <w:sz w:val="19"/>
          <w:szCs w:val="19"/>
        </w:rPr>
        <w:t xml:space="preserve">Legally distinct: Bank-level independence-of-CRE-from-front-line structure is an OCC-specific control.</w:t>
      </w:r>
    </w:p>
    <w:p>
      <w:pPr>
        <w:spacing w:after="90" w:before="0"/>
      </w:pPr>
      <w:r>
        <w:rPr>
          <w:rFonts w:ascii="Arial" w:cs="Arial" w:eastAsia="Arial" w:hAnsi="Arial"/>
          <w:color w:val="1F6B3B"/>
          <w:sz w:val="19"/>
          <w:szCs w:val="19"/>
        </w:rPr>
        <w:t xml:space="preserve">Minimum reform lever: Consolidate into Reg YY; OCC incorporates by reference.</w:t>
      </w:r>
    </w:p>
    <w:p>
      <w:pPr>
        <w:keepNext/>
        <w:spacing w:after="10" w:before="110"/>
      </w:pPr>
      <w:r>
        <w:rPr>
          <w:rFonts w:ascii="Arial" w:cs="Arial" w:eastAsia="Arial" w:hAnsi="Arial"/>
          <w:b/>
          <w:bCs/>
          <w:color w:val="1F3864"/>
          <w:sz w:val="21"/>
          <w:szCs w:val="21"/>
        </w:rPr>
        <w:t xml:space="preserve">Director training</w:t>
      </w:r>
      <w:r>
        <w:rPr>
          <w:rFonts w:ascii="Arial" w:cs="Arial" w:eastAsia="Arial" w:hAnsi="Arial"/>
          <w:b/>
          <w:bCs/>
          <w:color w:val="BF8F00"/>
          <w:sz w:val="18"/>
          <w:szCs w:val="18"/>
        </w:rPr>
        <w:t xml:space="preserve">  (2 duties · Candidate redundancy)</w:t>
      </w:r>
    </w:p>
    <w:p>
      <w:pPr>
        <w:spacing w:after="4" w:before="0"/>
      </w:pPr>
      <w:r>
        <w:rPr>
          <w:rFonts w:ascii="Arial" w:cs="Arial" w:eastAsia="Arial" w:hAnsi="Arial"/>
          <w:sz w:val="19"/>
          <w:szCs w:val="19"/>
        </w:rPr>
        <w:t xml:space="preserve">Sources: OCC App. D III.E; SR 21-3 / Director's Book; BSA program rule</w:t>
      </w:r>
    </w:p>
    <w:p>
      <w:pPr>
        <w:spacing w:after="4" w:before="0"/>
      </w:pPr>
      <w:r>
        <w:rPr>
          <w:rFonts w:ascii="Arial" w:cs="Arial" w:eastAsia="Arial" w:hAnsi="Arial"/>
          <w:sz w:val="19"/>
          <w:szCs w:val="19"/>
        </w:rPr>
        <w:t xml:space="preserve">Duplicative: Ongoing director-training obligations from multiple sources, separately documented.</w:t>
      </w:r>
    </w:p>
    <w:p>
      <w:pPr>
        <w:spacing w:after="4" w:before="0"/>
      </w:pPr>
      <w:r>
        <w:rPr>
          <w:rFonts w:ascii="Arial" w:cs="Arial" w:eastAsia="Arial" w:hAnsi="Arial"/>
          <w:sz w:val="19"/>
          <w:szCs w:val="19"/>
        </w:rPr>
        <w:t xml:space="preserve">Legally distinct: BSA training is topic-specific.</w:t>
      </w:r>
    </w:p>
    <w:p>
      <w:pPr>
        <w:spacing w:after="90" w:before="0"/>
      </w:pPr>
      <w:r>
        <w:rPr>
          <w:rFonts w:ascii="Arial" w:cs="Arial" w:eastAsia="Arial" w:hAnsi="Arial"/>
          <w:color w:val="1F6B3B"/>
          <w:sz w:val="19"/>
          <w:szCs w:val="19"/>
        </w:rPr>
        <w:t xml:space="preserve">Minimum reform lever: One consolidated director-training program covering all topics.</w:t>
      </w:r>
    </w:p>
    <w:p>
      <w:pPr>
        <w:keepNext/>
        <w:spacing w:after="10" w:before="110"/>
      </w:pPr>
      <w:r>
        <w:rPr>
          <w:rFonts w:ascii="Arial" w:cs="Arial" w:eastAsia="Arial" w:hAnsi="Arial"/>
          <w:b/>
          <w:bCs/>
          <w:color w:val="1F3864"/>
          <w:sz w:val="21"/>
          <w:szCs w:val="21"/>
        </w:rPr>
        <w:t xml:space="preserve">Model risk governance</w:t>
      </w:r>
      <w:r>
        <w:rPr>
          <w:rFonts w:ascii="Arial" w:cs="Arial" w:eastAsia="Arial" w:hAnsi="Arial"/>
          <w:b/>
          <w:bCs/>
          <w:color w:val="595959"/>
          <w:sz w:val="18"/>
          <w:szCs w:val="18"/>
        </w:rPr>
        <w:t xml:space="preserve">  (2 duties · Mostly removed (2026))</w:t>
      </w:r>
    </w:p>
    <w:p>
      <w:pPr>
        <w:spacing w:after="4" w:before="0"/>
      </w:pPr>
      <w:r>
        <w:rPr>
          <w:rFonts w:ascii="Arial" w:cs="Arial" w:eastAsia="Arial" w:hAnsi="Arial"/>
          <w:sz w:val="19"/>
          <w:szCs w:val="19"/>
        </w:rPr>
        <w:t xml:space="preserve">Sources: SR 26-2 (replaced SR 11-7); OCC App. D (residual)</w:t>
      </w:r>
    </w:p>
    <w:p>
      <w:pPr>
        <w:spacing w:after="4" w:before="0"/>
      </w:pPr>
      <w:r>
        <w:rPr>
          <w:rFonts w:ascii="Arial" w:cs="Arial" w:eastAsia="Arial" w:hAnsi="Arial"/>
          <w:sz w:val="19"/>
          <w:szCs w:val="19"/>
        </w:rPr>
        <w:t xml:space="preserve">Duplicative: Largely removed in 2026; residual oversight via the risk-governance framework.</w:t>
      </w:r>
    </w:p>
    <w:p>
      <w:pPr>
        <w:spacing w:after="4" w:before="0"/>
      </w:pPr>
      <w:r>
        <w:rPr>
          <w:rFonts w:ascii="Arial" w:cs="Arial" w:eastAsia="Arial" w:hAnsi="Arial"/>
          <w:sz w:val="19"/>
          <w:szCs w:val="19"/>
        </w:rPr>
        <w:t xml:space="preserve">Legally distinct: n/a</w:t>
      </w:r>
    </w:p>
    <w:p>
      <w:pPr>
        <w:spacing w:after="90" w:before="0"/>
      </w:pPr>
      <w:r>
        <w:rPr>
          <w:rFonts w:ascii="Arial" w:cs="Arial" w:eastAsia="Arial" w:hAnsi="Arial"/>
          <w:color w:val="1F6B3B"/>
          <w:sz w:val="19"/>
          <w:szCs w:val="19"/>
        </w:rPr>
        <w:t xml:space="preserve">Minimum reform lever: Confirm the Heightened Standards do not re-impose the dropped board duty.</w:t>
      </w:r>
    </w:p>
    <w:p>
      <w:pPr>
        <w:keepNext/>
        <w:spacing w:after="10" w:before="110"/>
      </w:pPr>
      <w:r>
        <w:rPr>
          <w:rFonts w:ascii="Arial" w:cs="Arial" w:eastAsia="Arial" w:hAnsi="Arial"/>
          <w:b/>
          <w:bCs/>
          <w:color w:val="1F3864"/>
          <w:sz w:val="21"/>
          <w:szCs w:val="21"/>
        </w:rPr>
        <w:t xml:space="preserve">Safety-and-soundness baseline</w:t>
      </w:r>
      <w:r>
        <w:rPr>
          <w:rFonts w:ascii="Arial" w:cs="Arial" w:eastAsia="Arial" w:hAnsi="Arial"/>
          <w:b/>
          <w:bCs/>
          <w:color w:val="595959"/>
          <w:sz w:val="18"/>
          <w:szCs w:val="18"/>
        </w:rPr>
        <w:t xml:space="preserve">  (1 duties · Limited overlap)</w:t>
      </w:r>
    </w:p>
    <w:p>
      <w:pPr>
        <w:spacing w:after="4" w:before="0"/>
      </w:pPr>
      <w:r>
        <w:rPr>
          <w:rFonts w:ascii="Arial" w:cs="Arial" w:eastAsia="Arial" w:hAnsi="Arial"/>
          <w:sz w:val="19"/>
          <w:szCs w:val="19"/>
        </w:rPr>
        <w:t xml:space="preserve">Sources: 12 CFR 30 App. A / 364 App. A</w:t>
      </w:r>
    </w:p>
    <w:p>
      <w:pPr>
        <w:spacing w:after="4" w:before="0"/>
      </w:pPr>
      <w:r>
        <w:rPr>
          <w:rFonts w:ascii="Arial" w:cs="Arial" w:eastAsia="Arial" w:hAnsi="Arial"/>
          <w:sz w:val="19"/>
          <w:szCs w:val="19"/>
        </w:rPr>
        <w:t xml:space="preserve">Duplicative: Broad standards can duplicate domain-specific programs.</w:t>
      </w:r>
    </w:p>
    <w:p>
      <w:pPr>
        <w:spacing w:after="4" w:before="0"/>
      </w:pPr>
      <w:r>
        <w:rPr>
          <w:rFonts w:ascii="Arial" w:cs="Arial" w:eastAsia="Arial" w:hAnsi="Arial"/>
          <w:sz w:val="19"/>
          <w:szCs w:val="19"/>
        </w:rPr>
        <w:t xml:space="preserve">Legally distinct: Residual baseline.</w:t>
      </w:r>
    </w:p>
    <w:p>
      <w:pPr>
        <w:spacing w:after="90" w:before="0"/>
      </w:pPr>
      <w:r>
        <w:rPr>
          <w:rFonts w:ascii="Arial" w:cs="Arial" w:eastAsia="Arial" w:hAnsi="Arial"/>
          <w:color w:val="1F6B3B"/>
          <w:sz w:val="19"/>
          <w:szCs w:val="19"/>
        </w:rPr>
        <w:t xml:space="preserve">Minimum reform lever: Treat as baseline; avoid re-imposing in domain rules.</w:t>
      </w:r>
    </w:p>
    <w:p>
      <w:pPr>
        <w:keepNext/>
        <w:spacing w:after="10" w:before="110"/>
      </w:pPr>
      <w:r>
        <w:rPr>
          <w:rFonts w:ascii="Arial" w:cs="Arial" w:eastAsia="Arial" w:hAnsi="Arial"/>
          <w:b/>
          <w:bCs/>
          <w:color w:val="1F3864"/>
          <w:sz w:val="21"/>
          <w:szCs w:val="21"/>
        </w:rPr>
        <w:t xml:space="preserve">Source of strength / charter sanctity</w:t>
      </w:r>
      <w:r>
        <w:rPr>
          <w:rFonts w:ascii="Arial" w:cs="Arial" w:eastAsia="Arial" w:hAnsi="Arial"/>
          <w:b/>
          <w:bCs/>
          <w:color w:val="595959"/>
          <w:sz w:val="18"/>
          <w:szCs w:val="18"/>
        </w:rPr>
        <w:t xml:space="preserve">  (1 duties · Unique (tension, not overlap))</w:t>
      </w:r>
    </w:p>
    <w:p>
      <w:pPr>
        <w:spacing w:after="4" w:before="0"/>
      </w:pPr>
      <w:r>
        <w:rPr>
          <w:rFonts w:ascii="Arial" w:cs="Arial" w:eastAsia="Arial" w:hAnsi="Arial"/>
          <w:sz w:val="19"/>
          <w:szCs w:val="19"/>
        </w:rPr>
        <w:t xml:space="preserve">Sources: 12 U.S.C. 1831o-1; Reg Y 225.4(a); OCC sanctity-of-charter</w:t>
      </w:r>
    </w:p>
    <w:p>
      <w:pPr>
        <w:spacing w:after="4" w:before="0"/>
      </w:pPr>
      <w:r>
        <w:rPr>
          <w:rFonts w:ascii="Arial" w:cs="Arial" w:eastAsia="Arial" w:hAnsi="Arial"/>
          <w:sz w:val="19"/>
          <w:szCs w:val="19"/>
        </w:rPr>
        <w:t xml:space="preserve">Duplicative: None; a tension rather than a duplication.</w:t>
      </w:r>
    </w:p>
    <w:p>
      <w:pPr>
        <w:spacing w:after="4" w:before="0"/>
      </w:pPr>
      <w:r>
        <w:rPr>
          <w:rFonts w:ascii="Arial" w:cs="Arial" w:eastAsia="Arial" w:hAnsi="Arial"/>
          <w:sz w:val="19"/>
          <w:szCs w:val="19"/>
        </w:rPr>
        <w:t xml:space="preserve">Legally distinct: Parent-support duty vs. bank-board duty to protect the bank.</w:t>
      </w:r>
    </w:p>
    <w:p>
      <w:pPr>
        <w:spacing w:after="90" w:before="0"/>
      </w:pPr>
      <w:r>
        <w:rPr>
          <w:rFonts w:ascii="Arial" w:cs="Arial" w:eastAsia="Arial" w:hAnsi="Arial"/>
          <w:color w:val="1F6B3B"/>
          <w:sz w:val="19"/>
          <w:szCs w:val="19"/>
        </w:rPr>
        <w:t xml:space="preserve">Minimum reform lever: Clarify the interaction for overlapping directors.</w:t>
      </w:r>
    </w:p>
    <w:p>
      <w:r>
        <w:br w:type="page"/>
      </w:r>
    </w:p>
    <w:p>
      <w:pPr>
        <w:pStyle w:val="Heading1"/>
      </w:pPr>
      <w:r>
        <w:t xml:space="preserve">Burden model — illustrative annual board hours</w:t>
      </w:r>
    </w:p>
    <w:p>
      <w:pPr>
        <w:pStyle w:val="ListParagraph"/>
        <w:numPr>
          <w:ilvl w:val="0"/>
          <w:numId w:val="2"/>
        </w:numPr>
        <w:spacing w:after="60"/>
      </w:pPr>
      <w:r>
        <w:rPr>
          <w:rFonts w:ascii="Arial" w:cs="Arial" w:eastAsia="Arial" w:hAnsi="Arial"/>
          <w:sz w:val="21"/>
          <w:szCs w:val="21"/>
        </w:rPr>
        <w:t xml:space="preserve">Unit: hours per director per year for a director sitting on the full board plus the relevant committee(s); a director on multiple committees aggregates across rows.</w:t>
      </w:r>
    </w:p>
    <w:p>
      <w:pPr>
        <w:pStyle w:val="ListParagraph"/>
        <w:numPr>
          <w:ilvl w:val="0"/>
          <w:numId w:val="2"/>
        </w:numPr>
        <w:spacing w:after="60"/>
      </w:pPr>
      <w:r>
        <w:rPr>
          <w:rFonts w:ascii="Arial" w:cs="Arial" w:eastAsia="Arial" w:hAnsi="Arial"/>
          <w:sz w:val="21"/>
          <w:szCs w:val="21"/>
        </w:rPr>
        <w:t xml:space="preserve">Each row = a duty-cluster, not an individual citation, to avoid double-counting overlapping duties.</w:t>
      </w:r>
    </w:p>
    <w:p>
      <w:pPr>
        <w:pStyle w:val="ListParagraph"/>
        <w:numPr>
          <w:ilvl w:val="0"/>
          <w:numId w:val="2"/>
        </w:numPr>
        <w:spacing w:after="60"/>
      </w:pPr>
      <w:r>
        <w:rPr>
          <w:rFonts w:ascii="Arial" w:cs="Arial" w:eastAsia="Arial" w:hAnsi="Arial"/>
          <w:sz w:val="21"/>
          <w:szCs w:val="21"/>
        </w:rPr>
        <w:t xml:space="preserve">'Board/cmte hrs' = in-meeting time; 'Prep hrs' = director reading/preparation; figures are per year.</w:t>
      </w:r>
    </w:p>
    <w:p>
      <w:pPr>
        <w:pStyle w:val="ListParagraph"/>
        <w:numPr>
          <w:ilvl w:val="0"/>
          <w:numId w:val="2"/>
        </w:numPr>
        <w:spacing w:after="60"/>
      </w:pPr>
      <w:r>
        <w:rPr>
          <w:rFonts w:ascii="Arial" w:cs="Arial" w:eastAsia="Arial" w:hAnsi="Arial"/>
          <w:sz w:val="21"/>
          <w:szCs w:val="21"/>
        </w:rPr>
        <w:t xml:space="preserve">'Incremental?' flags whether the hours are additional to normal board work (Yes), partly additional (Partial), or largely subsumed in regular meetings (No).</w:t>
      </w:r>
    </w:p>
    <w:p>
      <w:pPr>
        <w:pStyle w:val="ListParagraph"/>
        <w:numPr>
          <w:ilvl w:val="0"/>
          <w:numId w:val="2"/>
        </w:numPr>
        <w:spacing w:after="60"/>
      </w:pPr>
      <w:r>
        <w:rPr>
          <w:rFonts w:ascii="Arial" w:cs="Arial" w:eastAsia="Arial" w:hAnsi="Arial"/>
          <w:sz w:val="21"/>
          <w:szCs w:val="21"/>
        </w:rPr>
        <w:t xml:space="preserve">Ranges are low–high to express uncertainty; the base estimate is the midpoint. Sources: governance-practice norms and the Kimi model; all figures are illustrative, not measured.</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100"/>
        <w:gridCol w:w="1200"/>
        <w:gridCol w:w="900"/>
        <w:gridCol w:w="1160"/>
        <w:gridCol w:w="460"/>
        <w:gridCol w:w="440"/>
      </w:tblGrid>
      <w:tr>
        <w:tc>
          <w:tcPr>
            <w:tcW w:type="dxa" w:w="26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Duty cluster</w:t>
            </w:r>
          </w:p>
        </w:tc>
        <w:tc>
          <w:tcPr>
            <w:tcW w:type="dxa" w:w="15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Primary body</w:t>
            </w:r>
          </w:p>
        </w:tc>
        <w:tc>
          <w:tcPr>
            <w:tcW w:type="dxa" w:w="11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Meetings/yr</w:t>
            </w:r>
          </w:p>
        </w:tc>
        <w:tc>
          <w:tcPr>
            <w:tcW w:type="dxa" w:w="12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Board+cmte hrs</w:t>
            </w:r>
          </w:p>
        </w:tc>
        <w:tc>
          <w:tcPr>
            <w:tcW w:type="dxa" w:w="9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Prep hrs</w:t>
            </w:r>
          </w:p>
        </w:tc>
        <w:tc>
          <w:tcPr>
            <w:tcW w:type="dxa" w:w="116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Incremental?</w:t>
            </w:r>
          </w:p>
        </w:tc>
        <w:tc>
          <w:tcPr>
            <w:tcW w:type="dxa" w:w="46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Low</w:t>
            </w:r>
          </w:p>
        </w:tc>
        <w:tc>
          <w:tcPr>
            <w:tcW w:type="dxa" w:w="44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High</w:t>
            </w:r>
          </w:p>
        </w:tc>
      </w:tr>
      <w:tr>
        <w:tc>
          <w:tcPr>
            <w:tcW w:type="dxa" w:w="2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Risk committee architecture</w:t>
            </w:r>
          </w:p>
        </w:tc>
        <w:tc>
          <w:tcPr>
            <w:tcW w:type="dxa" w:w="15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Risk cmte</w:t>
            </w:r>
          </w:p>
        </w:tc>
        <w:tc>
          <w:tcPr>
            <w:tcW w:type="dxa" w:w="11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6-8</w:t>
            </w:r>
          </w:p>
        </w:tc>
        <w:tc>
          <w:tcPr>
            <w:tcW w:type="dxa" w:w="1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18</w:t>
            </w:r>
          </w:p>
        </w:tc>
        <w:tc>
          <w:tcPr>
            <w:tcW w:type="dxa" w:w="9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14</w:t>
            </w:r>
          </w:p>
        </w:tc>
        <w:tc>
          <w:tcPr>
            <w:tcW w:type="dxa" w:w="11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Partial</w:t>
            </w:r>
          </w:p>
        </w:tc>
        <w:tc>
          <w:tcPr>
            <w:tcW w:type="dxa" w:w="4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24</w:t>
            </w:r>
          </w:p>
        </w:tc>
        <w:tc>
          <w:tcPr>
            <w:tcW w:type="dxa" w:w="44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40</w:t>
            </w:r>
          </w:p>
        </w:tc>
      </w:tr>
      <w:tr>
        <w:tc>
          <w:tcPr>
            <w:tcW w:type="dxa" w:w="2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Risk appetite statement</w:t>
            </w:r>
          </w:p>
        </w:tc>
        <w:tc>
          <w:tcPr>
            <w:tcW w:type="dxa" w:w="15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Risk cmte / board</w:t>
            </w:r>
          </w:p>
        </w:tc>
        <w:tc>
          <w:tcPr>
            <w:tcW w:type="dxa" w:w="11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2</w:t>
            </w:r>
          </w:p>
        </w:tc>
        <w:tc>
          <w:tcPr>
            <w:tcW w:type="dxa" w:w="1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8</w:t>
            </w:r>
          </w:p>
        </w:tc>
        <w:tc>
          <w:tcPr>
            <w:tcW w:type="dxa" w:w="9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8</w:t>
            </w:r>
          </w:p>
        </w:tc>
        <w:tc>
          <w:tcPr>
            <w:tcW w:type="dxa" w:w="11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Partial</w:t>
            </w:r>
          </w:p>
        </w:tc>
        <w:tc>
          <w:tcPr>
            <w:tcW w:type="dxa" w:w="4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12</w:t>
            </w:r>
          </w:p>
        </w:tc>
        <w:tc>
          <w:tcPr>
            <w:tcW w:type="dxa" w:w="44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24</w:t>
            </w:r>
          </w:p>
        </w:tc>
      </w:tr>
      <w:tr>
        <w:tc>
          <w:tcPr>
            <w:tcW w:type="dxa" w:w="2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CRO/CRE appointment &amp; compensation</w:t>
            </w:r>
          </w:p>
        </w:tc>
        <w:tc>
          <w:tcPr>
            <w:tcW w:type="dxa" w:w="15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Risk cmte</w:t>
            </w:r>
          </w:p>
        </w:tc>
        <w:tc>
          <w:tcPr>
            <w:tcW w:type="dxa" w:w="11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2</w:t>
            </w:r>
          </w:p>
        </w:tc>
        <w:tc>
          <w:tcPr>
            <w:tcW w:type="dxa" w:w="1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6</w:t>
            </w:r>
          </w:p>
        </w:tc>
        <w:tc>
          <w:tcPr>
            <w:tcW w:type="dxa" w:w="9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4</w:t>
            </w:r>
          </w:p>
        </w:tc>
        <w:tc>
          <w:tcPr>
            <w:tcW w:type="dxa" w:w="11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No</w:t>
            </w:r>
          </w:p>
        </w:tc>
        <w:tc>
          <w:tcPr>
            <w:tcW w:type="dxa" w:w="4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8</w:t>
            </w:r>
          </w:p>
        </w:tc>
        <w:tc>
          <w:tcPr>
            <w:tcW w:type="dxa" w:w="44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12</w:t>
            </w:r>
          </w:p>
        </w:tc>
      </w:tr>
      <w:tr>
        <w:tc>
          <w:tcPr>
            <w:tcW w:type="dxa" w:w="2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Capital planning &amp; stress testing</w:t>
            </w:r>
          </w:p>
        </w:tc>
        <w:tc>
          <w:tcPr>
            <w:tcW w:type="dxa" w:w="15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Risk cmte / board</w:t>
            </w:r>
          </w:p>
        </w:tc>
        <w:tc>
          <w:tcPr>
            <w:tcW w:type="dxa" w:w="11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4</w:t>
            </w:r>
          </w:p>
        </w:tc>
        <w:tc>
          <w:tcPr>
            <w:tcW w:type="dxa" w:w="1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18</w:t>
            </w:r>
          </w:p>
        </w:tc>
        <w:tc>
          <w:tcPr>
            <w:tcW w:type="dxa" w:w="9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16</w:t>
            </w:r>
          </w:p>
        </w:tc>
        <w:tc>
          <w:tcPr>
            <w:tcW w:type="dxa" w:w="11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Yes</w:t>
            </w:r>
          </w:p>
        </w:tc>
        <w:tc>
          <w:tcPr>
            <w:tcW w:type="dxa" w:w="4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30</w:t>
            </w:r>
          </w:p>
        </w:tc>
        <w:tc>
          <w:tcPr>
            <w:tcW w:type="dxa" w:w="44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45</w:t>
            </w:r>
          </w:p>
        </w:tc>
      </w:tr>
      <w:tr>
        <w:tc>
          <w:tcPr>
            <w:tcW w:type="dxa" w:w="2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Liquidity risk management</w:t>
            </w:r>
          </w:p>
        </w:tc>
        <w:tc>
          <w:tcPr>
            <w:tcW w:type="dxa" w:w="15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Risk cmte / board</w:t>
            </w:r>
          </w:p>
        </w:tc>
        <w:tc>
          <w:tcPr>
            <w:tcW w:type="dxa" w:w="11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4</w:t>
            </w:r>
          </w:p>
        </w:tc>
        <w:tc>
          <w:tcPr>
            <w:tcW w:type="dxa" w:w="1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10</w:t>
            </w:r>
          </w:p>
        </w:tc>
        <w:tc>
          <w:tcPr>
            <w:tcW w:type="dxa" w:w="9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8</w:t>
            </w:r>
          </w:p>
        </w:tc>
        <w:tc>
          <w:tcPr>
            <w:tcW w:type="dxa" w:w="11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Partial</w:t>
            </w:r>
          </w:p>
        </w:tc>
        <w:tc>
          <w:tcPr>
            <w:tcW w:type="dxa" w:w="4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14</w:t>
            </w:r>
          </w:p>
        </w:tc>
        <w:tc>
          <w:tcPr>
            <w:tcW w:type="dxa" w:w="44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22</w:t>
            </w:r>
          </w:p>
        </w:tc>
      </w:tr>
      <w:tr>
        <w:tc>
          <w:tcPr>
            <w:tcW w:type="dxa" w:w="2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Resolution, recovery &amp; contingency funding</w:t>
            </w:r>
          </w:p>
        </w:tc>
        <w:tc>
          <w:tcPr>
            <w:tcW w:type="dxa" w:w="15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Board / risk cmte</w:t>
            </w:r>
          </w:p>
        </w:tc>
        <w:tc>
          <w:tcPr>
            <w:tcW w:type="dxa" w:w="11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2-3</w:t>
            </w:r>
          </w:p>
        </w:tc>
        <w:tc>
          <w:tcPr>
            <w:tcW w:type="dxa" w:w="1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30</w:t>
            </w:r>
          </w:p>
        </w:tc>
        <w:tc>
          <w:tcPr>
            <w:tcW w:type="dxa" w:w="9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20</w:t>
            </w:r>
          </w:p>
        </w:tc>
        <w:tc>
          <w:tcPr>
            <w:tcW w:type="dxa" w:w="11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Yes</w:t>
            </w:r>
          </w:p>
        </w:tc>
        <w:tc>
          <w:tcPr>
            <w:tcW w:type="dxa" w:w="4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45</w:t>
            </w:r>
          </w:p>
        </w:tc>
        <w:tc>
          <w:tcPr>
            <w:tcW w:type="dxa" w:w="44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65</w:t>
            </w:r>
          </w:p>
        </w:tc>
      </w:tr>
      <w:tr>
        <w:tc>
          <w:tcPr>
            <w:tcW w:type="dxa" w:w="2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Audit committee &amp; independence</w:t>
            </w:r>
          </w:p>
        </w:tc>
        <w:tc>
          <w:tcPr>
            <w:tcW w:type="dxa" w:w="15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Audit cmte</w:t>
            </w:r>
          </w:p>
        </w:tc>
        <w:tc>
          <w:tcPr>
            <w:tcW w:type="dxa" w:w="11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8-10</w:t>
            </w:r>
          </w:p>
        </w:tc>
        <w:tc>
          <w:tcPr>
            <w:tcW w:type="dxa" w:w="1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30</w:t>
            </w:r>
          </w:p>
        </w:tc>
        <w:tc>
          <w:tcPr>
            <w:tcW w:type="dxa" w:w="9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20</w:t>
            </w:r>
          </w:p>
        </w:tc>
        <w:tc>
          <w:tcPr>
            <w:tcW w:type="dxa" w:w="11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Partial</w:t>
            </w:r>
          </w:p>
        </w:tc>
        <w:tc>
          <w:tcPr>
            <w:tcW w:type="dxa" w:w="4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48</w:t>
            </w:r>
          </w:p>
        </w:tc>
        <w:tc>
          <w:tcPr>
            <w:tcW w:type="dxa" w:w="44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68</w:t>
            </w:r>
          </w:p>
        </w:tc>
      </w:tr>
      <w:tr>
        <w:tc>
          <w:tcPr>
            <w:tcW w:type="dxa" w:w="2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Internal control over financial reporting (ICFR)</w:t>
            </w:r>
          </w:p>
        </w:tc>
        <w:tc>
          <w:tcPr>
            <w:tcW w:type="dxa" w:w="15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Audit cmte</w:t>
            </w:r>
          </w:p>
        </w:tc>
        <w:tc>
          <w:tcPr>
            <w:tcW w:type="dxa" w:w="11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fiscal+cal</w:t>
            </w:r>
          </w:p>
        </w:tc>
        <w:tc>
          <w:tcPr>
            <w:tcW w:type="dxa" w:w="1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18</w:t>
            </w:r>
          </w:p>
        </w:tc>
        <w:tc>
          <w:tcPr>
            <w:tcW w:type="dxa" w:w="9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12</w:t>
            </w:r>
          </w:p>
        </w:tc>
        <w:tc>
          <w:tcPr>
            <w:tcW w:type="dxa" w:w="11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Partial</w:t>
            </w:r>
          </w:p>
        </w:tc>
        <w:tc>
          <w:tcPr>
            <w:tcW w:type="dxa" w:w="4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30</w:t>
            </w:r>
          </w:p>
        </w:tc>
        <w:tc>
          <w:tcPr>
            <w:tcW w:type="dxa" w:w="44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48</w:t>
            </w:r>
          </w:p>
        </w:tc>
      </w:tr>
      <w:tr>
        <w:tc>
          <w:tcPr>
            <w:tcW w:type="dxa" w:w="2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Information security &amp; cybersecurity</w:t>
            </w:r>
          </w:p>
        </w:tc>
        <w:tc>
          <w:tcPr>
            <w:tcW w:type="dxa" w:w="15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Risk/audit cmte</w:t>
            </w:r>
          </w:p>
        </w:tc>
        <w:tc>
          <w:tcPr>
            <w:tcW w:type="dxa" w:w="11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2-4</w:t>
            </w:r>
          </w:p>
        </w:tc>
        <w:tc>
          <w:tcPr>
            <w:tcW w:type="dxa" w:w="1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10</w:t>
            </w:r>
          </w:p>
        </w:tc>
        <w:tc>
          <w:tcPr>
            <w:tcW w:type="dxa" w:w="9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8</w:t>
            </w:r>
          </w:p>
        </w:tc>
        <w:tc>
          <w:tcPr>
            <w:tcW w:type="dxa" w:w="11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Partial</w:t>
            </w:r>
          </w:p>
        </w:tc>
        <w:tc>
          <w:tcPr>
            <w:tcW w:type="dxa" w:w="4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14</w:t>
            </w:r>
          </w:p>
        </w:tc>
        <w:tc>
          <w:tcPr>
            <w:tcW w:type="dxa" w:w="44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22</w:t>
            </w:r>
          </w:p>
        </w:tc>
      </w:tr>
      <w:tr>
        <w:tc>
          <w:tcPr>
            <w:tcW w:type="dxa" w:w="2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BSA/AML program</w:t>
            </w:r>
          </w:p>
        </w:tc>
        <w:tc>
          <w:tcPr>
            <w:tcW w:type="dxa" w:w="15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Board / risk cmte</w:t>
            </w:r>
          </w:p>
        </w:tc>
        <w:tc>
          <w:tcPr>
            <w:tcW w:type="dxa" w:w="11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2-4</w:t>
            </w:r>
          </w:p>
        </w:tc>
        <w:tc>
          <w:tcPr>
            <w:tcW w:type="dxa" w:w="1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8</w:t>
            </w:r>
          </w:p>
        </w:tc>
        <w:tc>
          <w:tcPr>
            <w:tcW w:type="dxa" w:w="9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6</w:t>
            </w:r>
          </w:p>
        </w:tc>
        <w:tc>
          <w:tcPr>
            <w:tcW w:type="dxa" w:w="11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Partial</w:t>
            </w:r>
          </w:p>
        </w:tc>
        <w:tc>
          <w:tcPr>
            <w:tcW w:type="dxa" w:w="4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12</w:t>
            </w:r>
          </w:p>
        </w:tc>
        <w:tc>
          <w:tcPr>
            <w:tcW w:type="dxa" w:w="44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18</w:t>
            </w:r>
          </w:p>
        </w:tc>
      </w:tr>
      <w:tr>
        <w:tc>
          <w:tcPr>
            <w:tcW w:type="dxa" w:w="2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Third-party risk management</w:t>
            </w:r>
          </w:p>
        </w:tc>
        <w:tc>
          <w:tcPr>
            <w:tcW w:type="dxa" w:w="15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Risk cmte</w:t>
            </w:r>
          </w:p>
        </w:tc>
        <w:tc>
          <w:tcPr>
            <w:tcW w:type="dxa" w:w="11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2-4</w:t>
            </w:r>
          </w:p>
        </w:tc>
        <w:tc>
          <w:tcPr>
            <w:tcW w:type="dxa" w:w="1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6</w:t>
            </w:r>
          </w:p>
        </w:tc>
        <w:tc>
          <w:tcPr>
            <w:tcW w:type="dxa" w:w="9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6</w:t>
            </w:r>
          </w:p>
        </w:tc>
        <w:tc>
          <w:tcPr>
            <w:tcW w:type="dxa" w:w="11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Partial</w:t>
            </w:r>
          </w:p>
        </w:tc>
        <w:tc>
          <w:tcPr>
            <w:tcW w:type="dxa" w:w="4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8</w:t>
            </w:r>
          </w:p>
        </w:tc>
        <w:tc>
          <w:tcPr>
            <w:tcW w:type="dxa" w:w="44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16</w:t>
            </w:r>
          </w:p>
        </w:tc>
      </w:tr>
      <w:tr>
        <w:tc>
          <w:tcPr>
            <w:tcW w:type="dxa" w:w="2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Incentive compensation</w:t>
            </w:r>
          </w:p>
        </w:tc>
        <w:tc>
          <w:tcPr>
            <w:tcW w:type="dxa" w:w="15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Comp cmte</w:t>
            </w:r>
          </w:p>
        </w:tc>
        <w:tc>
          <w:tcPr>
            <w:tcW w:type="dxa" w:w="11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6-8</w:t>
            </w:r>
          </w:p>
        </w:tc>
        <w:tc>
          <w:tcPr>
            <w:tcW w:type="dxa" w:w="1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16</w:t>
            </w:r>
          </w:p>
        </w:tc>
        <w:tc>
          <w:tcPr>
            <w:tcW w:type="dxa" w:w="9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10</w:t>
            </w:r>
          </w:p>
        </w:tc>
        <w:tc>
          <w:tcPr>
            <w:tcW w:type="dxa" w:w="11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Partial</w:t>
            </w:r>
          </w:p>
        </w:tc>
        <w:tc>
          <w:tcPr>
            <w:tcW w:type="dxa" w:w="4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24</w:t>
            </w:r>
          </w:p>
        </w:tc>
        <w:tc>
          <w:tcPr>
            <w:tcW w:type="dxa" w:w="44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32</w:t>
            </w:r>
          </w:p>
        </w:tc>
      </w:tr>
      <w:tr>
        <w:tc>
          <w:tcPr>
            <w:tcW w:type="dxa" w:w="2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Operational resilience / BCM</w:t>
            </w:r>
          </w:p>
        </w:tc>
        <w:tc>
          <w:tcPr>
            <w:tcW w:type="dxa" w:w="15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Risk cmte</w:t>
            </w:r>
          </w:p>
        </w:tc>
        <w:tc>
          <w:tcPr>
            <w:tcW w:type="dxa" w:w="11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2</w:t>
            </w:r>
          </w:p>
        </w:tc>
        <w:tc>
          <w:tcPr>
            <w:tcW w:type="dxa" w:w="1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6</w:t>
            </w:r>
          </w:p>
        </w:tc>
        <w:tc>
          <w:tcPr>
            <w:tcW w:type="dxa" w:w="9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4</w:t>
            </w:r>
          </w:p>
        </w:tc>
        <w:tc>
          <w:tcPr>
            <w:tcW w:type="dxa" w:w="11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Partial</w:t>
            </w:r>
          </w:p>
        </w:tc>
        <w:tc>
          <w:tcPr>
            <w:tcW w:type="dxa" w:w="4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8</w:t>
            </w:r>
          </w:p>
        </w:tc>
        <w:tc>
          <w:tcPr>
            <w:tcW w:type="dxa" w:w="44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14</w:t>
            </w:r>
          </w:p>
        </w:tc>
      </w:tr>
      <w:tr>
        <w:tc>
          <w:tcPr>
            <w:tcW w:type="dxa" w:w="2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Director training, self-assessment &amp; effectiveness</w:t>
            </w:r>
          </w:p>
        </w:tc>
        <w:tc>
          <w:tcPr>
            <w:tcW w:type="dxa" w:w="15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Board / governance cmte</w:t>
            </w:r>
          </w:p>
        </w:tc>
        <w:tc>
          <w:tcPr>
            <w:tcW w:type="dxa" w:w="11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2</w:t>
            </w:r>
          </w:p>
        </w:tc>
        <w:tc>
          <w:tcPr>
            <w:tcW w:type="dxa" w:w="1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10</w:t>
            </w:r>
          </w:p>
        </w:tc>
        <w:tc>
          <w:tcPr>
            <w:tcW w:type="dxa" w:w="9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6</w:t>
            </w:r>
          </w:p>
        </w:tc>
        <w:tc>
          <w:tcPr>
            <w:tcW w:type="dxa" w:w="11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Partial</w:t>
            </w:r>
          </w:p>
        </w:tc>
        <w:tc>
          <w:tcPr>
            <w:tcW w:type="dxa" w:w="4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12</w:t>
            </w:r>
          </w:p>
        </w:tc>
        <w:tc>
          <w:tcPr>
            <w:tcW w:type="dxa" w:w="44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20</w:t>
            </w:r>
          </w:p>
        </w:tc>
      </w:tr>
    </w:tbl>
    <w:p>
      <w:pPr>
        <w:spacing w:after="120" w:before="120"/>
      </w:pPr>
      <w:r>
        <w:rPr>
          <w:rFonts w:ascii="Arial" w:cs="Arial" w:eastAsia="Arial" w:hAnsi="Arial"/>
          <w:b/>
          <w:bCs/>
          <w:sz w:val="22"/>
          <w:szCs w:val="22"/>
        </w:rPr>
        <w:t xml:space="preserve">Sensitivity (sum of cluster ranges): low ≈ 289, base ≈ 367, high ≈ 446 director-hours per year.</w:t>
      </w:r>
    </w:p>
    <w:p>
      <w:pPr>
        <w:spacing w:after="120" w:before="0"/>
      </w:pPr>
      <w:r>
        <w:rPr>
          <w:rFonts w:ascii="Arial" w:cs="Arial" w:eastAsia="Arial" w:hAnsi="Arial"/>
          <w:i/>
          <w:iCs/>
          <w:color w:val="595959"/>
          <w:sz w:val="19"/>
          <w:szCs w:val="19"/>
        </w:rPr>
        <w:t xml:space="preserve">Incremental note: Counting only rows flagged 'Yes' (genuinely additional to normal board work) gives a much smaller incremental figure; most board hours would exist under any sound governance regime. The reform-relevant number is the duplication-driven increment, not the gross total.</w:t>
      </w:r>
    </w:p>
    <w:p>
      <w:pPr>
        <w:spacing w:after="120" w:before="0"/>
      </w:pPr>
      <w:r>
        <w:rPr>
          <w:rFonts w:ascii="Arial" w:cs="Arial" w:eastAsia="Arial" w:hAnsi="Arial"/>
          <w:i/>
          <w:iCs/>
          <w:color w:val="C00000"/>
          <w:sz w:val="19"/>
          <w:szCs w:val="19"/>
        </w:rPr>
        <w:t xml:space="preserve">Caveat: Illustrative only. No GSIB time-and-motion data underlies these figures; treat as an order-of-magnitude sensitivity, not a measurement.</w:t>
      </w:r>
    </w:p>
    <w:p>
      <w:pPr>
        <w:pStyle w:val="Heading1"/>
      </w:pPr>
      <w:r>
        <w:t xml:space="preserve">Highest-burden overlap clusters</w:t>
      </w:r>
    </w:p>
    <w:p>
      <w:pPr>
        <w:spacing w:after="120" w:before="0"/>
      </w:pPr>
      <w:r>
        <w:rPr>
          <w:rFonts w:ascii="Arial" w:cs="Arial" w:eastAsia="Arial" w:hAnsi="Arial"/>
          <w:i/>
          <w:iCs/>
          <w:color w:val="595959"/>
          <w:sz w:val="20"/>
          <w:szCs w:val="20"/>
        </w:rPr>
        <w:t xml:space="preserve">Ranked by severity and estimated board-hour load. (These are the items elsewhere framed, in advocacy shorthand, as 'sludge zones'; in this analysis they are the highest-burden overlap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2400"/>
        <w:gridCol w:w="1100"/>
        <w:gridCol w:w="1100"/>
        <w:gridCol w:w="4340"/>
      </w:tblGrid>
      <w:tr>
        <w:tc>
          <w:tcPr>
            <w:tcW w:type="dxa" w:w="42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w:t>
            </w:r>
          </w:p>
        </w:tc>
        <w:tc>
          <w:tcPr>
            <w:tcW w:type="dxa" w:w="24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Cluster</w:t>
            </w:r>
          </w:p>
        </w:tc>
        <w:tc>
          <w:tcPr>
            <w:tcW w:type="dxa" w:w="11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Severity</w:t>
            </w:r>
          </w:p>
        </w:tc>
        <w:tc>
          <w:tcPr>
            <w:tcW w:type="dxa" w:w="11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Hrs/yr</w:t>
            </w:r>
          </w:p>
        </w:tc>
        <w:tc>
          <w:tcPr>
            <w:tcW w:type="dxa" w:w="434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Reform recommendation</w:t>
            </w:r>
          </w:p>
        </w:tc>
      </w:tr>
      <w:tr>
        <w:tc>
          <w:tcPr>
            <w:tcW w:type="dxa" w:w="42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1</w:t>
            </w:r>
          </w:p>
        </w:tc>
        <w:tc>
          <w:tcPr>
            <w:tcW w:type="dxa" w:w="24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Risk committee architecture</w:t>
            </w:r>
          </w:p>
        </w:tc>
        <w:tc>
          <w:tcPr>
            <w:tcW w:type="dxa" w:w="11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Critical</w:t>
            </w:r>
          </w:p>
        </w:tc>
        <w:tc>
          <w:tcPr>
            <w:tcW w:type="dxa" w:w="11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~80/yr</w:t>
            </w:r>
          </w:p>
        </w:tc>
        <w:tc>
          <w:tcPr>
            <w:tcW w:type="dxa" w:w="434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Harmonize Fed and OCC risk-committee requirements via joint rulemaking, single standard at the consolidated level; preserve sanctity-of-charter through a streamlined certification rather than a full parallel committee.</w:t>
            </w:r>
          </w:p>
        </w:tc>
      </w:tr>
      <w:tr>
        <w:tc>
          <w:tcPr>
            <w:tcW w:type="dxa" w:w="42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2</w:t>
            </w:r>
          </w:p>
        </w:tc>
        <w:tc>
          <w:tcPr>
            <w:tcW w:type="dxa" w:w="24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Risk appetite statement approval</w:t>
            </w:r>
          </w:p>
        </w:tc>
        <w:tc>
          <w:tcPr>
            <w:tcW w:type="dxa" w:w="11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Critical</w:t>
            </w:r>
          </w:p>
        </w:tc>
        <w:tc>
          <w:tcPr>
            <w:tcW w:type="dxa" w:w="11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~40/yr</w:t>
            </w:r>
          </w:p>
        </w:tc>
        <w:tc>
          <w:tcPr>
            <w:tcW w:type="dxa" w:w="434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Single interagency risk-appetite template; one board-approved document satisfies all three with a safe harbor.</w:t>
            </w:r>
          </w:p>
        </w:tc>
      </w:tr>
      <w:tr>
        <w:tc>
          <w:tcPr>
            <w:tcW w:type="dxa" w:w="42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3</w:t>
            </w:r>
          </w:p>
        </w:tc>
        <w:tc>
          <w:tcPr>
            <w:tcW w:type="dxa" w:w="24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CRO / CRE appointment &amp; compensation</w:t>
            </w:r>
          </w:p>
        </w:tc>
        <w:tc>
          <w:tcPr>
            <w:tcW w:type="dxa" w:w="11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High</w:t>
            </w:r>
          </w:p>
        </w:tc>
        <w:tc>
          <w:tcPr>
            <w:tcW w:type="dxa" w:w="11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~30/yr</w:t>
            </w:r>
          </w:p>
        </w:tc>
        <w:tc>
          <w:tcPr>
            <w:tcW w:type="dxa" w:w="434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Consolidate into Reg YY; OCC incorporates by reference for firms subject to both.</w:t>
            </w:r>
          </w:p>
        </w:tc>
      </w:tr>
      <w:tr>
        <w:tc>
          <w:tcPr>
            <w:tcW w:type="dxa" w:w="42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4</w:t>
            </w:r>
          </w:p>
        </w:tc>
        <w:tc>
          <w:tcPr>
            <w:tcW w:type="dxa" w:w="24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Audit committee independence</w:t>
            </w:r>
          </w:p>
        </w:tc>
        <w:tc>
          <w:tcPr>
            <w:tcW w:type="dxa" w:w="11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High</w:t>
            </w:r>
          </w:p>
        </w:tc>
        <w:tc>
          <w:tcPr>
            <w:tcW w:type="dxa" w:w="11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~60/yr</w:t>
            </w:r>
          </w:p>
        </w:tc>
        <w:tc>
          <w:tcPr>
            <w:tcW w:type="dxa" w:w="434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Joint interagency statement with a single 'independent director' definition for banking organizations.</w:t>
            </w:r>
          </w:p>
        </w:tc>
      </w:tr>
      <w:tr>
        <w:tc>
          <w:tcPr>
            <w:tcW w:type="dxa" w:w="42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5</w:t>
            </w:r>
          </w:p>
        </w:tc>
        <w:tc>
          <w:tcPr>
            <w:tcW w:type="dxa" w:w="24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Internal controls oversight (ICFR)</w:t>
            </w:r>
          </w:p>
        </w:tc>
        <w:tc>
          <w:tcPr>
            <w:tcW w:type="dxa" w:w="11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High</w:t>
            </w:r>
          </w:p>
        </w:tc>
        <w:tc>
          <w:tcPr>
            <w:tcW w:type="dxa" w:w="11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~50/yr</w:t>
            </w:r>
          </w:p>
        </w:tc>
        <w:tc>
          <w:tcPr>
            <w:tcW w:type="dxa" w:w="434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Permit SOX 404(b) attestation to satisfy FDICIA ICFR by cross-reference; align the fiscal- and calendar-year cycles.</w:t>
            </w:r>
          </w:p>
        </w:tc>
      </w:tr>
      <w:tr>
        <w:tc>
          <w:tcPr>
            <w:tcW w:type="dxa" w:w="42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6</w:t>
            </w:r>
          </w:p>
        </w:tc>
        <w:tc>
          <w:tcPr>
            <w:tcW w:type="dxa" w:w="24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Recovery / contingency / resolution planning</w:t>
            </w:r>
          </w:p>
        </w:tc>
        <w:tc>
          <w:tcPr>
            <w:tcW w:type="dxa" w:w="11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High</w:t>
            </w:r>
          </w:p>
        </w:tc>
        <w:tc>
          <w:tcPr>
            <w:tcW w:type="dxa" w:w="11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~55/yr</w:t>
            </w:r>
          </w:p>
        </w:tc>
        <w:tc>
          <w:tcPr>
            <w:tcW w:type="dxa" w:w="434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Integrate into a single 'resilience planning' framework with one annual board approval and modular content.</w:t>
            </w:r>
          </w:p>
        </w:tc>
      </w:tr>
      <w:tr>
        <w:tc>
          <w:tcPr>
            <w:tcW w:type="dxa" w:w="42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7</w:t>
            </w:r>
          </w:p>
        </w:tc>
        <w:tc>
          <w:tcPr>
            <w:tcW w:type="dxa" w:w="24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Incentive compensation governance</w:t>
            </w:r>
          </w:p>
        </w:tc>
        <w:tc>
          <w:tcPr>
            <w:tcW w:type="dxa" w:w="11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High</w:t>
            </w:r>
          </w:p>
        </w:tc>
        <w:tc>
          <w:tcPr>
            <w:tcW w:type="dxa" w:w="11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~40/yr</w:t>
            </w:r>
          </w:p>
        </w:tc>
        <w:tc>
          <w:tcPr>
            <w:tcW w:type="dxa" w:w="434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Finalize one section 956 framework that supersedes overlapping guidance, or rely on existing guidance; state that SEC comp-committee independence satisfies the prudential governance element.</w:t>
            </w:r>
          </w:p>
        </w:tc>
      </w:tr>
      <w:tr>
        <w:tc>
          <w:tcPr>
            <w:tcW w:type="dxa" w:w="42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8</w:t>
            </w:r>
          </w:p>
        </w:tc>
        <w:tc>
          <w:tcPr>
            <w:tcW w:type="dxa" w:w="24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Cybersecurity oversight</w:t>
            </w:r>
          </w:p>
        </w:tc>
        <w:tc>
          <w:tcPr>
            <w:tcW w:type="dxa" w:w="11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Moderate</w:t>
            </w:r>
          </w:p>
        </w:tc>
        <w:tc>
          <w:tcPr>
            <w:tcW w:type="dxa" w:w="11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~35/yr</w:t>
            </w:r>
          </w:p>
        </w:tc>
        <w:tc>
          <w:tcPr>
            <w:tcW w:type="dxa" w:w="434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Joint SEC/banking-agency guidance that one documented board cyber-oversight framework satisfies disclosure and safety-and-soundness.</w:t>
            </w:r>
          </w:p>
        </w:tc>
      </w:tr>
      <w:tr>
        <w:tc>
          <w:tcPr>
            <w:tcW w:type="dxa" w:w="42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9</w:t>
            </w:r>
          </w:p>
        </w:tc>
        <w:tc>
          <w:tcPr>
            <w:tcW w:type="dxa" w:w="24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Third-party risk oversight</w:t>
            </w:r>
          </w:p>
        </w:tc>
        <w:tc>
          <w:tcPr>
            <w:tcW w:type="dxa" w:w="11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Moderate-High</w:t>
            </w:r>
          </w:p>
        </w:tc>
        <w:tc>
          <w:tcPr>
            <w:tcW w:type="dxa" w:w="11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~45/yr</w:t>
            </w:r>
          </w:p>
        </w:tc>
        <w:tc>
          <w:tcPr>
            <w:tcW w:type="dxa" w:w="434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Quantitative criteria for 'critical' third parties requiring board attention; management approval with aggregate board reporting for the rest.</w:t>
            </w:r>
          </w:p>
        </w:tc>
      </w:tr>
      <w:tr>
        <w:tc>
          <w:tcPr>
            <w:tcW w:type="dxa" w:w="42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10</w:t>
            </w:r>
          </w:p>
        </w:tc>
        <w:tc>
          <w:tcPr>
            <w:tcW w:type="dxa" w:w="24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Board effectiveness &amp; self-assessment</w:t>
            </w:r>
          </w:p>
        </w:tc>
        <w:tc>
          <w:tcPr>
            <w:tcW w:type="dxa" w:w="11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Moderate</w:t>
            </w:r>
          </w:p>
        </w:tc>
        <w:tc>
          <w:tcPr>
            <w:tcW w:type="dxa" w:w="11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~25/yr</w:t>
            </w:r>
          </w:p>
        </w:tc>
        <w:tc>
          <w:tcPr>
            <w:tcW w:type="dxa" w:w="434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Single interagency board-effectiveness assessment framework administered through the consolidated supervisor.</w:t>
            </w:r>
          </w:p>
        </w:tc>
      </w:tr>
    </w:tbl>
    <w:p>
      <w:r>
        <w:br w:type="page"/>
      </w:r>
    </w:p>
    <w:p>
      <w:pPr>
        <w:pStyle w:val="Heading1"/>
      </w:pPr>
      <w:r>
        <w:t xml:space="preserve">Reform roadmap</w:t>
      </w:r>
    </w:p>
    <w:p>
      <w:pPr>
        <w:spacing w:after="120" w:before="0"/>
      </w:pPr>
      <w:r>
        <w:rPr>
          <w:rFonts w:ascii="Arial" w:cs="Arial" w:eastAsia="Arial" w:hAnsi="Arial"/>
          <w:sz w:val="22"/>
          <w:szCs w:val="22"/>
        </w:rPr>
        <w:t xml:space="preserve">Each reform with its actor, legal authority, implementing instrument, difficulty, expected burden reduction, the risk control it preserves, and any statutory obstacle.</w:t>
      </w:r>
    </w:p>
    <w:p>
      <w:pPr>
        <w:keepNext/>
        <w:spacing w:after="8" w:before="104"/>
      </w:pPr>
      <w:r>
        <w:rPr>
          <w:rFonts w:ascii="Arial" w:cs="Arial" w:eastAsia="Arial" w:hAnsi="Arial"/>
          <w:b/>
          <w:bCs/>
          <w:color w:val="1F3864"/>
          <w:sz w:val="21"/>
          <w:szCs w:val="21"/>
        </w:rPr>
        <w:t xml:space="preserve">Single consolidated risk-appetite statement</w:t>
      </w:r>
    </w:p>
    <w:p>
      <w:pPr>
        <w:spacing w:after="4" w:before="0"/>
      </w:pPr>
      <w:r>
        <w:rPr>
          <w:rFonts w:ascii="Arial" w:cs="Arial" w:eastAsia="Arial" w:hAnsi="Arial"/>
          <w:sz w:val="19"/>
          <w:szCs w:val="19"/>
        </w:rPr>
        <w:t xml:space="preserve">Actor: FRB + OCC (interagency)  ·  Authority: FDI Act §39; BHC Act; APA rulemaking  ·  Instrument: Interagency rule or joint statement + safe harbor  ·  Difficulty: Medium</w:t>
      </w:r>
    </w:p>
    <w:p>
      <w:pPr>
        <w:spacing w:after="4" w:before="0"/>
      </w:pPr>
      <w:r>
        <w:rPr>
          <w:rFonts w:ascii="Arial" w:cs="Arial" w:eastAsia="Arial" w:hAnsi="Arial"/>
          <w:color w:val="1F6B3B"/>
          <w:sz w:val="19"/>
          <w:szCs w:val="19"/>
        </w:rPr>
        <w:t xml:space="preserve">Expected reduction: ~12-24 board hrs/yr; removes 3-4 parallel approvals</w:t>
      </w:r>
    </w:p>
    <w:p>
      <w:pPr>
        <w:spacing w:after="90" w:before="0"/>
      </w:pPr>
      <w:r>
        <w:rPr>
          <w:rFonts w:ascii="Arial" w:cs="Arial" w:eastAsia="Arial" w:hAnsi="Arial"/>
          <w:color w:val="595959"/>
          <w:sz w:val="19"/>
          <w:szCs w:val="19"/>
        </w:rPr>
        <w:t xml:space="preserve">Risk control preserved: Substantive risk-appetite content unchanged; one document, all dimensions   |   Statutory obstacle: None statutory; requires inter-agency coordination</w:t>
      </w:r>
    </w:p>
    <w:p>
      <w:pPr>
        <w:keepNext/>
        <w:spacing w:after="8" w:before="104"/>
      </w:pPr>
      <w:r>
        <w:rPr>
          <w:rFonts w:ascii="Arial" w:cs="Arial" w:eastAsia="Arial" w:hAnsi="Arial"/>
          <w:b/>
          <w:bCs/>
          <w:color w:val="1F3864"/>
          <w:sz w:val="21"/>
          <w:szCs w:val="21"/>
        </w:rPr>
        <w:t xml:space="preserve">One risk-committee standard at the consolidated level</w:t>
      </w:r>
    </w:p>
    <w:p>
      <w:pPr>
        <w:spacing w:after="4" w:before="0"/>
      </w:pPr>
      <w:r>
        <w:rPr>
          <w:rFonts w:ascii="Arial" w:cs="Arial" w:eastAsia="Arial" w:hAnsi="Arial"/>
          <w:sz w:val="19"/>
          <w:szCs w:val="19"/>
        </w:rPr>
        <w:t xml:space="preserve">Actor: FRB + OCC  ·  Authority: DFA §165(h); FDI Act §39  ·  Instrument: Joint rulemaking; OCC App. D cross-references Reg YY  ·  Difficulty: Medium-High</w:t>
      </w:r>
    </w:p>
    <w:p>
      <w:pPr>
        <w:spacing w:after="4" w:before="0"/>
      </w:pPr>
      <w:r>
        <w:rPr>
          <w:rFonts w:ascii="Arial" w:cs="Arial" w:eastAsia="Arial" w:hAnsi="Arial"/>
          <w:color w:val="1F6B3B"/>
          <w:sz w:val="19"/>
          <w:szCs w:val="19"/>
        </w:rPr>
        <w:t xml:space="preserve">Expected reduction: ~15-24 hrs/yr; ends parallel parent/bank committee process</w:t>
      </w:r>
    </w:p>
    <w:p>
      <w:pPr>
        <w:spacing w:after="90" w:before="0"/>
      </w:pPr>
      <w:r>
        <w:rPr>
          <w:rFonts w:ascii="Arial" w:cs="Arial" w:eastAsia="Arial" w:hAnsi="Arial"/>
          <w:color w:val="595959"/>
          <w:sz w:val="19"/>
          <w:szCs w:val="19"/>
        </w:rPr>
        <w:t xml:space="preserve">Risk control preserved: Sanctity-of-charter preserved via streamlined IDI certification   |   Statutory obstacle: 165(h) is statutory at the BHC level; bank-level via guideline</w:t>
      </w:r>
    </w:p>
    <w:p>
      <w:pPr>
        <w:keepNext/>
        <w:spacing w:after="8" w:before="104"/>
      </w:pPr>
      <w:r>
        <w:rPr>
          <w:rFonts w:ascii="Arial" w:cs="Arial" w:eastAsia="Arial" w:hAnsi="Arial"/>
          <w:b/>
          <w:bCs/>
          <w:color w:val="1F3864"/>
          <w:sz w:val="21"/>
          <w:szCs w:val="21"/>
        </w:rPr>
        <w:t xml:space="preserve">Single 'independent director' definition for banking orgs</w:t>
      </w:r>
    </w:p>
    <w:p>
      <w:pPr>
        <w:spacing w:after="4" w:before="0"/>
      </w:pPr>
      <w:r>
        <w:rPr>
          <w:rFonts w:ascii="Arial" w:cs="Arial" w:eastAsia="Arial" w:hAnsi="Arial"/>
          <w:sz w:val="19"/>
          <w:szCs w:val="19"/>
        </w:rPr>
        <w:t xml:space="preserve">Actor: FRB + OCC + FDIC + SEC  ·  Authority: Multiple (SOX, DFA, FDI Act, exchange oversight)  ·  Instrument: Joint interagency statement + SEC coordination  ·  Difficulty: High</w:t>
      </w:r>
    </w:p>
    <w:p>
      <w:pPr>
        <w:spacing w:after="4" w:before="0"/>
      </w:pPr>
      <w:r>
        <w:rPr>
          <w:rFonts w:ascii="Arial" w:cs="Arial" w:eastAsia="Arial" w:hAnsi="Arial"/>
          <w:color w:val="1F6B3B"/>
          <w:sz w:val="19"/>
          <w:szCs w:val="19"/>
        </w:rPr>
        <w:t xml:space="preserve">Expected reduction: Eliminates parallel independence determinations</w:t>
      </w:r>
    </w:p>
    <w:p>
      <w:pPr>
        <w:spacing w:after="90" w:before="0"/>
      </w:pPr>
      <w:r>
        <w:rPr>
          <w:rFonts w:ascii="Arial" w:cs="Arial" w:eastAsia="Arial" w:hAnsi="Arial"/>
          <w:color w:val="595959"/>
          <w:sz w:val="19"/>
          <w:szCs w:val="19"/>
        </w:rPr>
        <w:t xml:space="preserve">Risk control preserved: Independence substance unchanged; one test   |   Statutory obstacle: Cross-regulator (SEC + banking) coordination; differing statutory lineages</w:t>
      </w:r>
    </w:p>
    <w:p>
      <w:pPr>
        <w:keepNext/>
        <w:spacing w:after="8" w:before="104"/>
      </w:pPr>
      <w:r>
        <w:rPr>
          <w:rFonts w:ascii="Arial" w:cs="Arial" w:eastAsia="Arial" w:hAnsi="Arial"/>
          <w:b/>
          <w:bCs/>
          <w:color w:val="1F3864"/>
          <w:sz w:val="21"/>
          <w:szCs w:val="21"/>
        </w:rPr>
        <w:t xml:space="preserve">SOX 404(b) satisfies FDICIA ICFR by cross-reference</w:t>
      </w:r>
    </w:p>
    <w:p>
      <w:pPr>
        <w:spacing w:after="4" w:before="0"/>
      </w:pPr>
      <w:r>
        <w:rPr>
          <w:rFonts w:ascii="Arial" w:cs="Arial" w:eastAsia="Arial" w:hAnsi="Arial"/>
          <w:sz w:val="19"/>
          <w:szCs w:val="19"/>
        </w:rPr>
        <w:t xml:space="preserve">Actor: FDIC  ·  Authority: FDI Act §36 / Part 363  ·  Instrument: Part 363 amendment  ·  Difficulty: Low-Medium</w:t>
      </w:r>
    </w:p>
    <w:p>
      <w:pPr>
        <w:spacing w:after="4" w:before="0"/>
      </w:pPr>
      <w:r>
        <w:rPr>
          <w:rFonts w:ascii="Arial" w:cs="Arial" w:eastAsia="Arial" w:hAnsi="Arial"/>
          <w:color w:val="1F6B3B"/>
          <w:sz w:val="19"/>
          <w:szCs w:val="19"/>
        </w:rPr>
        <w:t xml:space="preserve">Expected reduction: ~25-30 hrs/yr; removes a parallel ICFR cycle</w:t>
      </w:r>
    </w:p>
    <w:p>
      <w:pPr>
        <w:spacing w:after="90" w:before="0"/>
      </w:pPr>
      <w:r>
        <w:rPr>
          <w:rFonts w:ascii="Arial" w:cs="Arial" w:eastAsia="Arial" w:hAnsi="Arial"/>
          <w:color w:val="595959"/>
          <w:sz w:val="19"/>
          <w:szCs w:val="19"/>
        </w:rPr>
        <w:t xml:space="preserve">Risk control preserved: External attestation retained; designated-laws compliance added as annex   |   Statutory obstacle: Calendar vs. fiscal-year alignment</w:t>
      </w:r>
    </w:p>
    <w:p>
      <w:pPr>
        <w:keepNext/>
        <w:spacing w:after="8" w:before="104"/>
      </w:pPr>
      <w:r>
        <w:rPr>
          <w:rFonts w:ascii="Arial" w:cs="Arial" w:eastAsia="Arial" w:hAnsi="Arial"/>
          <w:b/>
          <w:bCs/>
          <w:color w:val="1F3864"/>
          <w:sz w:val="21"/>
          <w:szCs w:val="21"/>
        </w:rPr>
        <w:t xml:space="preserve">Integrate recovery + contingency funding + resolution into one 'resilience planning' cycle</w:t>
      </w:r>
    </w:p>
    <w:p>
      <w:pPr>
        <w:spacing w:after="4" w:before="0"/>
      </w:pPr>
      <w:r>
        <w:rPr>
          <w:rFonts w:ascii="Arial" w:cs="Arial" w:eastAsia="Arial" w:hAnsi="Arial"/>
          <w:sz w:val="19"/>
          <w:szCs w:val="19"/>
        </w:rPr>
        <w:t xml:space="preserve">Actor: FRB + FDIC  ·  Authority: DFA §165(d); FDI Act  ·  Instrument: Joint guidance + rule conforming amendments  ·  Difficulty: High</w:t>
      </w:r>
    </w:p>
    <w:p>
      <w:pPr>
        <w:spacing w:after="4" w:before="0"/>
      </w:pPr>
      <w:r>
        <w:rPr>
          <w:rFonts w:ascii="Arial" w:cs="Arial" w:eastAsia="Arial" w:hAnsi="Arial"/>
          <w:color w:val="1F6B3B"/>
          <w:sz w:val="19"/>
          <w:szCs w:val="19"/>
        </w:rPr>
        <w:t xml:space="preserve">Expected reduction: ~30 hrs/yr; one annual approval, modular content</w:t>
      </w:r>
    </w:p>
    <w:p>
      <w:pPr>
        <w:spacing w:after="90" w:before="0"/>
      </w:pPr>
      <w:r>
        <w:rPr>
          <w:rFonts w:ascii="Arial" w:cs="Arial" w:eastAsia="Arial" w:hAnsi="Arial"/>
          <w:color w:val="595959"/>
          <w:sz w:val="19"/>
          <w:szCs w:val="19"/>
        </w:rPr>
        <w:t xml:space="preserve">Risk control preserved: Distinct FDIC resolvability interest preserved as a module   |   Statutory obstacle: Two statutes/rules; genuine distinct interests (parallel-but-justified)</w:t>
      </w:r>
    </w:p>
    <w:p>
      <w:pPr>
        <w:keepNext/>
        <w:spacing w:after="8" w:before="104"/>
      </w:pPr>
      <w:r>
        <w:rPr>
          <w:rFonts w:ascii="Arial" w:cs="Arial" w:eastAsia="Arial" w:hAnsi="Arial"/>
          <w:b/>
          <w:bCs/>
          <w:color w:val="1F3864"/>
          <w:sz w:val="21"/>
          <w:szCs w:val="21"/>
        </w:rPr>
        <w:t xml:space="preserve">One enterprise information-security program approval</w:t>
      </w:r>
    </w:p>
    <w:p>
      <w:pPr>
        <w:spacing w:after="4" w:before="0"/>
      </w:pPr>
      <w:r>
        <w:rPr>
          <w:rFonts w:ascii="Arial" w:cs="Arial" w:eastAsia="Arial" w:hAnsi="Arial"/>
          <w:sz w:val="19"/>
          <w:szCs w:val="19"/>
        </w:rPr>
        <w:t xml:space="preserve">Actor: FRB + OCC + FDIC  ·  Authority: GLBA §501(b)  ·  Instrument: Conform the four parallel appendices  ·  Difficulty: Low-Medium</w:t>
      </w:r>
    </w:p>
    <w:p>
      <w:pPr>
        <w:spacing w:after="4" w:before="0"/>
      </w:pPr>
      <w:r>
        <w:rPr>
          <w:rFonts w:ascii="Arial" w:cs="Arial" w:eastAsia="Arial" w:hAnsi="Arial"/>
          <w:color w:val="1F6B3B"/>
          <w:sz w:val="19"/>
          <w:szCs w:val="19"/>
        </w:rPr>
        <w:t xml:space="preserve">Expected reduction: Removes duplicate parent/bank approval of the same program</w:t>
      </w:r>
    </w:p>
    <w:p>
      <w:pPr>
        <w:spacing w:after="90" w:before="0"/>
      </w:pPr>
      <w:r>
        <w:rPr>
          <w:rFonts w:ascii="Arial" w:cs="Arial" w:eastAsia="Arial" w:hAnsi="Arial"/>
          <w:color w:val="595959"/>
          <w:sz w:val="19"/>
          <w:szCs w:val="19"/>
        </w:rPr>
        <w:t xml:space="preserve">Risk control preserved: Program substance unchanged   |   Statutory obstacle: Four codified appendices to amend</w:t>
      </w:r>
    </w:p>
    <w:p>
      <w:pPr>
        <w:keepNext/>
        <w:spacing w:after="8" w:before="104"/>
      </w:pPr>
      <w:r>
        <w:rPr>
          <w:rFonts w:ascii="Arial" w:cs="Arial" w:eastAsia="Arial" w:hAnsi="Arial"/>
          <w:b/>
          <w:bCs/>
          <w:color w:val="1F3864"/>
          <w:sz w:val="21"/>
          <w:szCs w:val="21"/>
        </w:rPr>
        <w:t xml:space="preserve">Codify SR 12-17 governance content into Reg YY; retire the letter</w:t>
      </w:r>
    </w:p>
    <w:p>
      <w:pPr>
        <w:spacing w:after="4" w:before="0"/>
      </w:pPr>
      <w:r>
        <w:rPr>
          <w:rFonts w:ascii="Arial" w:cs="Arial" w:eastAsia="Arial" w:hAnsi="Arial"/>
          <w:sz w:val="19"/>
          <w:szCs w:val="19"/>
        </w:rPr>
        <w:t xml:space="preserve">Actor: FRB  ·  Authority: DFA §165  ·  Instrument: Reg YY amendment; rescind SR 12-17  ·  Difficulty: Medium</w:t>
      </w:r>
    </w:p>
    <w:p>
      <w:pPr>
        <w:spacing w:after="4" w:before="0"/>
      </w:pPr>
      <w:r>
        <w:rPr>
          <w:rFonts w:ascii="Arial" w:cs="Arial" w:eastAsia="Arial" w:hAnsi="Arial"/>
          <w:color w:val="1F6B3B"/>
          <w:sz w:val="19"/>
          <w:szCs w:val="19"/>
        </w:rPr>
        <w:t xml:space="preserve">Expected reduction: Clarifies mandatory vs. guidance; resolves 'ensure' vs 'oversee' tension</w:t>
      </w:r>
    </w:p>
    <w:p>
      <w:pPr>
        <w:spacing w:after="90" w:before="0"/>
      </w:pPr>
      <w:r>
        <w:rPr>
          <w:rFonts w:ascii="Arial" w:cs="Arial" w:eastAsia="Arial" w:hAnsi="Arial"/>
          <w:color w:val="595959"/>
          <w:sz w:val="19"/>
          <w:szCs w:val="19"/>
        </w:rPr>
        <w:t xml:space="preserve">Risk control preserved: Governance expectations retained as rule   |   Statutory obstacle: Notice-and-comment; defining the binding line</w:t>
      </w:r>
    </w:p>
    <w:p>
      <w:pPr>
        <w:keepNext/>
        <w:spacing w:after="8" w:before="104"/>
      </w:pPr>
      <w:r>
        <w:rPr>
          <w:rFonts w:ascii="Arial" w:cs="Arial" w:eastAsia="Arial" w:hAnsi="Arial"/>
          <w:b/>
          <w:bCs/>
          <w:color w:val="1F3864"/>
          <w:sz w:val="21"/>
          <w:szCs w:val="21"/>
        </w:rPr>
        <w:t xml:space="preserve">Finalize or withdraw Dodd-Frank §956</w:t>
      </w:r>
    </w:p>
    <w:p>
      <w:pPr>
        <w:spacing w:after="4" w:before="0"/>
      </w:pPr>
      <w:r>
        <w:rPr>
          <w:rFonts w:ascii="Arial" w:cs="Arial" w:eastAsia="Arial" w:hAnsi="Arial"/>
          <w:sz w:val="19"/>
          <w:szCs w:val="19"/>
        </w:rPr>
        <w:t xml:space="preserve">Actor: Congress / 6 agencies  ·  Authority: DFA §956 (12 U.S.C. 5641)  ·  Instrument: Final rule (6-agency) or statutory repeal  ·  Difficulty: High</w:t>
      </w:r>
    </w:p>
    <w:p>
      <w:pPr>
        <w:spacing w:after="4" w:before="0"/>
      </w:pPr>
      <w:r>
        <w:rPr>
          <w:rFonts w:ascii="Arial" w:cs="Arial" w:eastAsia="Arial" w:hAnsi="Arial"/>
          <w:color w:val="1F6B3B"/>
          <w:sz w:val="19"/>
          <w:szCs w:val="19"/>
        </w:rPr>
        <w:t xml:space="preserve">Expected reduction: Ends 15-year limbo; one comp framework supersedes overlapping guidance</w:t>
      </w:r>
    </w:p>
    <w:p>
      <w:pPr>
        <w:spacing w:after="90" w:before="0"/>
      </w:pPr>
      <w:r>
        <w:rPr>
          <w:rFonts w:ascii="Arial" w:cs="Arial" w:eastAsia="Arial" w:hAnsi="Arial"/>
          <w:color w:val="595959"/>
          <w:sz w:val="19"/>
          <w:szCs w:val="19"/>
        </w:rPr>
        <w:t xml:space="preserve">Risk control preserved: Risk-balanced-comp policy retained if finalized   |   Statutory obstacle: Six-agency joint action; FRB/SEC previously declined</w:t>
      </w:r>
    </w:p>
    <w:p>
      <w:pPr>
        <w:keepNext/>
        <w:spacing w:after="8" w:before="104"/>
      </w:pPr>
      <w:r>
        <w:rPr>
          <w:rFonts w:ascii="Arial" w:cs="Arial" w:eastAsia="Arial" w:hAnsi="Arial"/>
          <w:b/>
          <w:bCs/>
          <w:color w:val="1F3864"/>
          <w:sz w:val="21"/>
          <w:szCs w:val="21"/>
        </w:rPr>
        <w:t xml:space="preserve">Quantitative 'critical activity' threshold for board-level third-party attention</w:t>
      </w:r>
    </w:p>
    <w:p>
      <w:pPr>
        <w:spacing w:after="4" w:before="0"/>
      </w:pPr>
      <w:r>
        <w:rPr>
          <w:rFonts w:ascii="Arial" w:cs="Arial" w:eastAsia="Arial" w:hAnsi="Arial"/>
          <w:sz w:val="19"/>
          <w:szCs w:val="19"/>
        </w:rPr>
        <w:t xml:space="preserve">Actor: FRB + OCC + FDIC  ·  Authority: FDI Act §39; safety-and-soundness  ·  Instrument: Amend/supplement 2023 interagency guidance  ·  Difficulty: Low-Medium</w:t>
      </w:r>
    </w:p>
    <w:p>
      <w:pPr>
        <w:spacing w:after="4" w:before="0"/>
      </w:pPr>
      <w:r>
        <w:rPr>
          <w:rFonts w:ascii="Arial" w:cs="Arial" w:eastAsia="Arial" w:hAnsi="Arial"/>
          <w:color w:val="1F6B3B"/>
          <w:sz w:val="19"/>
          <w:szCs w:val="19"/>
        </w:rPr>
        <w:t xml:space="preserve">Expected reduction: Cuts board third-party information load</w:t>
      </w:r>
    </w:p>
    <w:p>
      <w:pPr>
        <w:spacing w:after="90" w:before="0"/>
      </w:pPr>
      <w:r>
        <w:rPr>
          <w:rFonts w:ascii="Arial" w:cs="Arial" w:eastAsia="Arial" w:hAnsi="Arial"/>
          <w:color w:val="595959"/>
          <w:sz w:val="19"/>
          <w:szCs w:val="19"/>
        </w:rPr>
        <w:t xml:space="preserve">Risk control preserved: Critical relationships still board-overseen   |   Statutory obstacle: Defining 'critical' quantitatively</w:t>
      </w:r>
    </w:p>
    <w:p>
      <w:pPr>
        <w:keepNext/>
        <w:spacing w:after="8" w:before="104"/>
      </w:pPr>
      <w:r>
        <w:rPr>
          <w:rFonts w:ascii="Arial" w:cs="Arial" w:eastAsia="Arial" w:hAnsi="Arial"/>
          <w:b/>
          <w:bCs/>
          <w:color w:val="1F3864"/>
          <w:sz w:val="21"/>
          <w:szCs w:val="21"/>
        </w:rPr>
        <w:t xml:space="preserve">Single interagency board-effectiveness assessment</w:t>
      </w:r>
    </w:p>
    <w:p>
      <w:pPr>
        <w:spacing w:after="4" w:before="0"/>
      </w:pPr>
      <w:r>
        <w:rPr>
          <w:rFonts w:ascii="Arial" w:cs="Arial" w:eastAsia="Arial" w:hAnsi="Arial"/>
          <w:sz w:val="19"/>
          <w:szCs w:val="19"/>
        </w:rPr>
        <w:t xml:space="preserve">Actor: FRB + OCC  ·  Authority: FDI Act §39; LFI framework  ·  Instrument: Joint statement; align App. D III.F with SR 21-3  ·  Difficulty: Low</w:t>
      </w:r>
    </w:p>
    <w:p>
      <w:pPr>
        <w:spacing w:after="4" w:before="0"/>
      </w:pPr>
      <w:r>
        <w:rPr>
          <w:rFonts w:ascii="Arial" w:cs="Arial" w:eastAsia="Arial" w:hAnsi="Arial"/>
          <w:color w:val="1F6B3B"/>
          <w:sz w:val="19"/>
          <w:szCs w:val="19"/>
        </w:rPr>
        <w:t xml:space="preserve">Expected reduction: ~10-15 hrs/yr; one self-assessment</w:t>
      </w:r>
    </w:p>
    <w:p>
      <w:pPr>
        <w:spacing w:after="90" w:before="0"/>
      </w:pPr>
      <w:r>
        <w:rPr>
          <w:rFonts w:ascii="Arial" w:cs="Arial" w:eastAsia="Arial" w:hAnsi="Arial"/>
          <w:color w:val="595959"/>
          <w:sz w:val="19"/>
          <w:szCs w:val="19"/>
        </w:rPr>
        <w:t xml:space="preserve">Risk control preserved: Effectiveness review retained   |   Statutory obstacle: Minimal</w:t>
      </w:r>
    </w:p>
    <w:p>
      <w:pPr>
        <w:pStyle w:val="Heading1"/>
      </w:pPr>
      <w:r>
        <w:t xml:space="preserve">Steelman — the opposing case</w:t>
      </w:r>
    </w:p>
    <w:p>
      <w:pPr>
        <w:spacing w:after="120" w:before="0"/>
      </w:pPr>
      <w:r>
        <w:rPr>
          <w:rFonts w:ascii="Arial" w:cs="Arial" w:eastAsia="Arial" w:hAnsi="Arial"/>
          <w:sz w:val="22"/>
          <w:szCs w:val="22"/>
        </w:rPr>
        <w:t xml:space="preserve">The reform argument is stronger if it survives the best case against it. Each point below is stated at its strongest, with a balancing consideration.</w:t>
      </w:r>
    </w:p>
    <w:p>
      <w:pPr>
        <w:pStyle w:val="Heading2"/>
      </w:pPr>
      <w:r>
        <w:t xml:space="preserve">Board expectations expanded for cause.</w:t>
      </w:r>
    </w:p>
    <w:p>
      <w:pPr>
        <w:spacing w:after="120" w:before="0"/>
      </w:pPr>
      <w:r>
        <w:rPr>
          <w:rFonts w:ascii="Arial" w:cs="Arial" w:eastAsia="Arial" w:hAnsi="Arial"/>
          <w:sz w:val="22"/>
          <w:szCs w:val="22"/>
        </w:rPr>
        <w:t xml:space="preserve">Most post-2008 and post-2023 board duties were responses to governance failures (the financial crisis, Wells Fargo, the 2023 regional-bank failures). Removing them risks repeating the failures they were designed to prevent.</w:t>
      </w:r>
    </w:p>
    <w:p>
      <w:pPr>
        <w:spacing w:after="120" w:before="0"/>
      </w:pPr>
      <w:r>
        <w:rPr>
          <w:rFonts w:ascii="Arial" w:cs="Arial" w:eastAsia="Arial" w:hAnsi="Arial"/>
          <w:i/>
          <w:iCs/>
          <w:color w:val="1F6B3B"/>
          <w:sz w:val="20"/>
          <w:szCs w:val="20"/>
        </w:rPr>
        <w:t xml:space="preserve">Balance: The reform case targets duplicative documentation and parallel approvals, not the substantive oversight; consolidation can preserve the standard while cutting the paperwork.</w:t>
      </w:r>
    </w:p>
    <w:p>
      <w:pPr>
        <w:pStyle w:val="Heading2"/>
      </w:pPr>
      <w:r>
        <w:t xml:space="preserve">IDI separateness is a feature, not a bug.</w:t>
      </w:r>
    </w:p>
    <w:p>
      <w:pPr>
        <w:spacing w:after="120" w:before="0"/>
      </w:pPr>
      <w:r>
        <w:rPr>
          <w:rFonts w:ascii="Arial" w:cs="Arial" w:eastAsia="Arial" w:hAnsi="Arial"/>
          <w:sz w:val="22"/>
          <w:szCs w:val="22"/>
        </w:rPr>
        <w:t xml:space="preserve">The insured bank is a distinct legal entity backed by the Deposit Insurance Fund. Independent bank-board duties (FDICIA audit committee, IDI resolution plan, sanctity-of-charter) exist so the bank can be supervised and resolved even if the parent fails.</w:t>
      </w:r>
    </w:p>
    <w:p>
      <w:pPr>
        <w:spacing w:after="120" w:before="0"/>
      </w:pPr>
      <w:r>
        <w:rPr>
          <w:rFonts w:ascii="Arial" w:cs="Arial" w:eastAsia="Arial" w:hAnsi="Arial"/>
          <w:i/>
          <w:iCs/>
          <w:color w:val="1F6B3B"/>
          <w:sz w:val="20"/>
          <w:szCs w:val="20"/>
        </w:rPr>
        <w:t xml:space="preserve">Balance: This is why several parent/IDI overlaps are tagged 'parallel but justified' rather than 'candidate redundancy' — the report distinguishes the two.</w:t>
      </w:r>
    </w:p>
    <w:p>
      <w:pPr>
        <w:pStyle w:val="Heading2"/>
      </w:pPr>
      <w:r>
        <w:t xml:space="preserve">Guidance flexibility is valuable.</w:t>
      </w:r>
    </w:p>
    <w:p>
      <w:pPr>
        <w:spacing w:after="120" w:before="0"/>
      </w:pPr>
      <w:r>
        <w:rPr>
          <w:rFonts w:ascii="Arial" w:cs="Arial" w:eastAsia="Arial" w:hAnsi="Arial"/>
          <w:sz w:val="22"/>
          <w:szCs w:val="22"/>
        </w:rPr>
        <w:t xml:space="preserve">Supervisory guidance lets agencies adapt expectations quickly to new risks (cyber, AI, climate) without multi-year rulemaking; converting everything to rules could ossify the framework.</w:t>
      </w:r>
    </w:p>
    <w:p>
      <w:pPr>
        <w:spacing w:after="120" w:before="0"/>
      </w:pPr>
      <w:r>
        <w:rPr>
          <w:rFonts w:ascii="Arial" w:cs="Arial" w:eastAsia="Arial" w:hAnsi="Arial"/>
          <w:i/>
          <w:iCs/>
          <w:color w:val="1F6B3B"/>
          <w:sz w:val="20"/>
          <w:szCs w:val="20"/>
        </w:rPr>
        <w:t xml:space="preserve">Balance: The proposal is to consolidate and clarify, and to codify only the most stable expectations (e.g., SR 12-17), not to eliminate the guidance toolkit.</w:t>
      </w:r>
    </w:p>
    <w:p>
      <w:pPr>
        <w:pStyle w:val="Heading2"/>
      </w:pPr>
      <w:r>
        <w:t xml:space="preserve">Multiple independence tests reflect real differences.</w:t>
      </w:r>
    </w:p>
    <w:p>
      <w:pPr>
        <w:spacing w:after="120" w:before="0"/>
      </w:pPr>
      <w:r>
        <w:rPr>
          <w:rFonts w:ascii="Arial" w:cs="Arial" w:eastAsia="Arial" w:hAnsi="Arial"/>
          <w:sz w:val="22"/>
          <w:szCs w:val="22"/>
        </w:rPr>
        <w:t xml:space="preserve">SOX protects investors; FDICIA protects the insurance fund; exchange rules protect markets. A single definition could under-serve one mandate.</w:t>
      </w:r>
    </w:p>
    <w:p>
      <w:pPr>
        <w:spacing w:after="120" w:before="0"/>
      </w:pPr>
      <w:r>
        <w:rPr>
          <w:rFonts w:ascii="Arial" w:cs="Arial" w:eastAsia="Arial" w:hAnsi="Arial"/>
          <w:i/>
          <w:iCs/>
          <w:color w:val="1F6B3B"/>
          <w:sz w:val="20"/>
          <w:szCs w:val="20"/>
        </w:rPr>
        <w:t xml:space="preserve">Balance: A cross-referenced 'meets-the-strictest' definition can satisfy all three simultaneously without lowering any.</w:t>
      </w:r>
    </w:p>
    <w:p>
      <w:pPr>
        <w:pStyle w:val="Heading2"/>
      </w:pPr>
      <w:r>
        <w:t xml:space="preserve">Consolidating approvals could dilute accountability.</w:t>
      </w:r>
    </w:p>
    <w:p>
      <w:pPr>
        <w:spacing w:after="120" w:before="0"/>
      </w:pPr>
      <w:r>
        <w:rPr>
          <w:rFonts w:ascii="Arial" w:cs="Arial" w:eastAsia="Arial" w:hAnsi="Arial"/>
          <w:sz w:val="22"/>
          <w:szCs w:val="22"/>
        </w:rPr>
        <w:t xml:space="preserve">Separate, minuted board approvals create a clear accountability record for each program; merging them could blur who approved what.</w:t>
      </w:r>
    </w:p>
    <w:p>
      <w:pPr>
        <w:spacing w:after="120" w:before="0"/>
      </w:pPr>
      <w:r>
        <w:rPr>
          <w:rFonts w:ascii="Arial" w:cs="Arial" w:eastAsia="Arial" w:hAnsi="Arial"/>
          <w:i/>
          <w:iCs/>
          <w:color w:val="1F6B3B"/>
          <w:sz w:val="20"/>
          <w:szCs w:val="20"/>
        </w:rPr>
        <w:t xml:space="preserve">Balance: A consolidated approval with program-specific management certifications and an audit trail can preserve accountability while cutting agenda load.</w:t>
      </w:r>
    </w:p>
    <w:p>
      <w:pPr>
        <w:pStyle w:val="Heading2"/>
      </w:pPr>
      <w:r>
        <w:t xml:space="preserve">The 2025-26 rollbacks may overshoot.</w:t>
      </w:r>
    </w:p>
    <w:p>
      <w:pPr>
        <w:spacing w:after="120" w:before="0"/>
      </w:pPr>
      <w:r>
        <w:rPr>
          <w:rFonts w:ascii="Arial" w:cs="Arial" w:eastAsia="Arial" w:hAnsi="Arial"/>
          <w:sz w:val="22"/>
          <w:szCs w:val="22"/>
        </w:rPr>
        <w:t xml:space="preserve">Some of the very deregulation this report documents (recovery-planning rescission, reputational-risk prohibition, CFPB curtailment, LFI recalibration) is contested and could itself weaken oversight.</w:t>
      </w:r>
    </w:p>
    <w:p>
      <w:pPr>
        <w:spacing w:after="120" w:before="0"/>
      </w:pPr>
      <w:r>
        <w:rPr>
          <w:rFonts w:ascii="Arial" w:cs="Arial" w:eastAsia="Arial" w:hAnsi="Arial"/>
          <w:i/>
          <w:iCs/>
          <w:color w:val="1F6B3B"/>
          <w:sz w:val="20"/>
          <w:szCs w:val="20"/>
        </w:rPr>
        <w:t xml:space="preserve">Balance: The report flags these as currency changes without endorsing them; the reform analysis is about coherence, not deregulation per se.</w:t>
      </w:r>
    </w:p>
    <w:p>
      <w:pPr>
        <w:pStyle w:val="Heading1"/>
      </w:pPr>
      <w:r>
        <w:t xml:space="preserve">Verification of high-stakes current-status claims</w:t>
      </w:r>
    </w:p>
    <w:p>
      <w:pPr>
        <w:spacing w:after="120" w:before="0"/>
      </w:pPr>
      <w:r>
        <w:rPr>
          <w:rFonts w:ascii="Arial" w:cs="Arial" w:eastAsia="Arial" w:hAnsi="Arial"/>
          <w:sz w:val="22"/>
          <w:szCs w:val="22"/>
        </w:rPr>
        <w:t xml:space="preserve">The following current-status claims were web-verified this cycle. Remaining inventory rows carry source URLs where captured; a blank URL is flagged as unverified rather than presented as assured.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000"/>
        <w:gridCol w:w="760"/>
      </w:tblGrid>
      <w:tr>
        <w:tc>
          <w:tcPr>
            <w:tcW w:type="dxa" w:w="56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Claim</w:t>
            </w:r>
          </w:p>
        </w:tc>
        <w:tc>
          <w:tcPr>
            <w:tcW w:type="dxa" w:w="30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Source URL</w:t>
            </w:r>
          </w:p>
        </w:tc>
        <w:tc>
          <w:tcPr>
            <w:tcW w:type="dxa" w:w="76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Checked</w:t>
            </w:r>
          </w:p>
        </w:tc>
      </w:tr>
      <w:tr>
        <w:tc>
          <w:tcPr>
            <w:tcW w:type="dxa" w:w="5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OCC recovery-planning guidelines (12 CFR 30 App. E) rescinded eff. May 1, 2026</w:t>
            </w:r>
          </w:p>
        </w:tc>
        <w:tc>
          <w:tcPr>
            <w:tcW w:type="dxa" w:w="30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https://www.occ.gov/news-issuances/bulletins/2026/bulletin-2026-10.html</w:t>
            </w:r>
          </w:p>
        </w:tc>
        <w:tc>
          <w:tcPr>
            <w:tcW w:type="dxa" w:w="7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2026-06-05</w:t>
            </w:r>
          </w:p>
        </w:tc>
      </w:tr>
      <w:tr>
        <w:tc>
          <w:tcPr>
            <w:tcW w:type="dxa" w:w="5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SR 26-2 superseded SR 11-7 / SR 21-8 (model risk), Apr 17, 2026</w:t>
            </w:r>
          </w:p>
        </w:tc>
        <w:tc>
          <w:tcPr>
            <w:tcW w:type="dxa" w:w="30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https://www.federalreserve.gov/supervisionreg/srletters/SR2602.htm</w:t>
            </w:r>
          </w:p>
        </w:tc>
        <w:tc>
          <w:tcPr>
            <w:tcW w:type="dxa" w:w="7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2026-06-05</w:t>
            </w:r>
          </w:p>
        </w:tc>
      </w:tr>
      <w:tr>
        <w:tc>
          <w:tcPr>
            <w:tcW w:type="dxa" w:w="5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LFI rating framework recalibrated ('well managed'), adopted Nov 5, 2025</w:t>
            </w:r>
          </w:p>
        </w:tc>
        <w:tc>
          <w:tcPr>
            <w:tcW w:type="dxa" w:w="30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https://www.federalreserve.gov/newsevents/pressreleases/bcreg20251105a.htm</w:t>
            </w:r>
          </w:p>
        </w:tc>
        <w:tc>
          <w:tcPr>
            <w:tcW w:type="dxa" w:w="7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2026-06-05</w:t>
            </w:r>
          </w:p>
        </w:tc>
      </w:tr>
      <w:tr>
        <w:tc>
          <w:tcPr>
            <w:tcW w:type="dxa" w:w="5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CFPB 'Humility in Supervision' pledge / curtailed 2026 exams</w:t>
            </w:r>
          </w:p>
        </w:tc>
        <w:tc>
          <w:tcPr>
            <w:tcW w:type="dxa" w:w="30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https://www.consumerfinance.gov/about-us/newsroom/cfpb-supervision-division-releases-new-humility-pledge/</w:t>
            </w:r>
          </w:p>
        </w:tc>
        <w:tc>
          <w:tcPr>
            <w:tcW w:type="dxa" w:w="7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2026-06-05</w:t>
            </w:r>
          </w:p>
        </w:tc>
      </w:tr>
      <w:tr>
        <w:tc>
          <w:tcPr>
            <w:tcW w:type="dxa" w:w="5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FDIC withdrew 2023 corporate-governance proposal, Mar 3, 2025</w:t>
            </w:r>
          </w:p>
        </w:tc>
        <w:tc>
          <w:tcPr>
            <w:tcW w:type="dxa" w:w="30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https://www.fdic.gov/news/press-releases/2025/fdic-board-directors-withdraws-four-outstanding-proposed-rules</w:t>
            </w:r>
          </w:p>
        </w:tc>
        <w:tc>
          <w:tcPr>
            <w:tcW w:type="dxa" w:w="7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2026-06-05</w:t>
            </w:r>
          </w:p>
        </w:tc>
      </w:tr>
      <w:tr>
        <w:tc>
          <w:tcPr>
            <w:tcW w:type="dxa" w:w="5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OCC/FDIC reputation-risk final rule, eff. June 9, 2026 (OCC Bulletin 2026-12; 2026-23)</w:t>
            </w:r>
          </w:p>
        </w:tc>
        <w:tc>
          <w:tcPr>
            <w:tcW w:type="dxa" w:w="30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https://www.federalregister.gov/documents/2026/04/10/2026-06947/prohibition-on-the-use-of-reputation-risk-by-regulators</w:t>
            </w:r>
          </w:p>
        </w:tc>
        <w:tc>
          <w:tcPr>
            <w:tcW w:type="dxa" w:w="7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2026-06-05</w:t>
            </w:r>
          </w:p>
        </w:tc>
      </w:tr>
      <w:tr>
        <w:tc>
          <w:tcPr>
            <w:tcW w:type="dxa" w:w="5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Interagency Statement on the Role of Supervisory Guidance (guidance not legally binding)</w:t>
            </w:r>
          </w:p>
        </w:tc>
        <w:tc>
          <w:tcPr>
            <w:tcW w:type="dxa" w:w="30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https://www.federalreserve.gov/newsevents/pressreleases/bcreg20180911a.htm</w:t>
            </w:r>
          </w:p>
        </w:tc>
        <w:tc>
          <w:tcPr>
            <w:tcW w:type="dxa" w:w="7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2026-06-05</w:t>
            </w:r>
          </w:p>
        </w:tc>
      </w:tr>
      <w:tr>
        <w:tc>
          <w:tcPr>
            <w:tcW w:type="dxa" w:w="5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Dodd-Frank §956 incentive-comp rule remains unfinalized (12 CFR part 236 reserved)</w:t>
            </w:r>
          </w:p>
        </w:tc>
        <w:tc>
          <w:tcPr>
            <w:tcW w:type="dxa" w:w="30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https://www.ecfr.gov/current/title-12/chapter-II/part-236</w:t>
            </w:r>
          </w:p>
        </w:tc>
        <w:tc>
          <w:tcPr>
            <w:tcW w:type="dxa" w:w="7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2026-06-05</w:t>
            </w:r>
          </w:p>
        </w:tc>
      </w:tr>
    </w:tbl>
    <w:p>
      <w:pPr>
        <w:spacing w:after="120" w:before="160"/>
      </w:pPr>
      <w:r>
        <w:rPr>
          <w:rFonts w:ascii="Arial" w:cs="Arial" w:eastAsia="Arial" w:hAnsi="Arial"/>
          <w:i/>
          <w:iCs/>
          <w:color w:val="808080"/>
          <w:sz w:val="18"/>
          <w:szCs w:val="18"/>
        </w:rPr>
        <w:t xml:space="preserve">This report was synthesized from multiple independent analyses and is offered as a working policy-reform reference; it summarizes board duties and is not legal advice. Confirm each citation and its current status against the issuing authority before reliance.</w:t>
      </w:r>
    </w:p>
    <w:sectPr>
      <w:footerReference w:type="default" r:id="rId11"/>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Board Duties at Category I U.S. GSIBs — Two-Layer Inventory v2.0 — as of June 5, 2026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Board Duties at Category I U.S. GSIBs — Two-Layer Inventory v2.0 — as of June 5, 2026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Board Duties at Category I U.S. GSIBs — Two-Layer Inventory v2.0 — as of June 5, 2026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Board Duties at Category I U.S. GSIBs — Two-Layer Inventory v2.0 — as of June 5, 2026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Board Duties at Category I U.S. GSIBs — Two-Layer Inventory v2.0 — as of June 5, 2026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50" w:before="26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19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2026-06-05T16:37:35.431Z</dcterms:created>
  <dcterms:modified xsi:type="dcterms:W3CDTF">2026-06-05T16:37:35.431Z</dcterms:modified>
</cp:coreProperties>
</file>

<file path=docProps/custom.xml><?xml version="1.0" encoding="utf-8"?>
<Properties xmlns="http://schemas.openxmlformats.org/officeDocument/2006/custom-properties" xmlns:vt="http://schemas.openxmlformats.org/officeDocument/2006/docPropsVTypes"/>
</file>