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300"/>
        <w:jc w:val="center"/>
      </w:pPr>
      <w:r>
        <w:rPr>
          <w:rFonts w:ascii="Arial" w:cs="Arial" w:eastAsia="Arial" w:hAnsi="Arial"/>
          <w:b/>
          <w:bCs/>
          <w:color w:val="1F3864"/>
          <w:sz w:val="46"/>
          <w:szCs w:val="46"/>
        </w:rPr>
        <w:t xml:space="preserve">Inventory of Binding Board Obligations</w:t>
      </w:r>
    </w:p>
    <w:p>
      <w:pPr>
        <w:spacing w:after="80"/>
        <w:jc w:val="center"/>
      </w:pPr>
      <w:r>
        <w:rPr>
          <w:rFonts w:ascii="Arial" w:cs="Arial" w:eastAsia="Arial" w:hAnsi="Arial"/>
          <w:b/>
          <w:bCs/>
          <w:color w:val="2E5496"/>
          <w:sz w:val="34"/>
          <w:szCs w:val="34"/>
        </w:rPr>
        <w:t xml:space="preserve">of the Boards of Directors of Category I U.S. GSIBs</w:t>
      </w:r>
    </w:p>
    <w:p>
      <w:pPr>
        <w:spacing w:after="260"/>
        <w:jc w:val="center"/>
      </w:pPr>
      <w:r>
        <w:rPr>
          <w:rFonts w:ascii="Arial" w:cs="Arial" w:eastAsia="Arial" w:hAnsi="Arial"/>
          <w:i/>
          <w:iCs/>
          <w:color w:val="2E5496"/>
          <w:sz w:val="24"/>
          <w:szCs w:val="24"/>
        </w:rPr>
        <w:t xml:space="preserve">and their insured depository institution subsidiaries</w:t>
      </w:r>
    </w:p>
    <w:p>
      <w:pPr>
        <w:spacing w:after="60"/>
        <w:jc w:val="center"/>
      </w:pPr>
      <w:r>
        <w:rPr>
          <w:rFonts w:ascii="Arial" w:cs="Arial" w:eastAsia="Arial" w:hAnsi="Arial"/>
          <w:sz w:val="22"/>
          <w:szCs w:val="22"/>
        </w:rPr>
        <w:t xml:space="preserve">The binding-obligation layer — companion to the supervisory-expectations inventory</w:t>
      </w:r>
    </w:p>
    <w:p>
      <w:pPr>
        <w:spacing w:after="500"/>
        <w:jc w:val="center"/>
      </w:pPr>
      <w:r>
        <w:rPr>
          <w:rFonts w:ascii="Arial" w:cs="Arial" w:eastAsia="Arial" w:hAnsi="Arial"/>
          <w:b/>
          <w:bCs/>
          <w:sz w:val="22"/>
          <w:szCs w:val="22"/>
        </w:rPr>
        <w:t xml:space="preserve">As of June 5, 2026</w:t>
      </w:r>
    </w:p>
    <w:p>
      <w:pPr>
        <w:spacing w:after="120"/>
        <w:jc w:val="center"/>
      </w:pPr>
      <w:r>
        <w:rPr>
          <w:rFonts w:ascii="Arial" w:cs="Arial" w:eastAsia="Arial" w:hAnsi="Arial"/>
          <w:i/>
          <w:iCs/>
          <w:color w:val="808080"/>
          <w:sz w:val="20"/>
          <w:szCs w:val="20"/>
        </w:rPr>
        <w:t xml:space="preserve">JPMorgan Chase · Bank of America · Citigroup · Wells Fargo · Goldman Sachs · Morgan Stanley · BNY · State Street</w:t>
      </w:r>
    </w:p>
    <w:p>
      <w:r>
        <w:br w:type="page"/>
      </w:r>
    </w:p>
    <w:p>
      <w:pPr>
        <w:spacing w:after="160" w:before="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pPr>
      <w:r>
        <w:rPr>
          <w:rFonts w:ascii="Arial" w:cs="Arial" w:eastAsia="Arial" w:hAnsi="Arial"/>
          <w:sz w:val="22"/>
          <w:szCs w:val="22"/>
        </w:rPr>
        <w:t xml:space="preserve">This document inventories, at the level of the individual citation, the legally binding obligations that current federal law places on the boards of directors of the eight Category I U.S. global systemically important banks (GSIBs) and their insured depository institution (IDI) subsidiaries. It is the binding-obligation companion to the separate supervisory-expectations inventory; together the two map the full board-duty load and feed the two-layer accumulation timeline. To keep the layers clean, this document catalogs binding duties only — statutes, regulations, and enforceable agency guidelines — and cross-references pure supervisory guidance rather than re-listing it.</w:t>
      </w:r>
    </w:p>
    <w:p>
      <w:pPr>
        <w:spacing w:after="120" w:before="0"/>
      </w:pPr>
      <w:r>
        <w:rPr>
          <w:rFonts w:ascii="Arial" w:cs="Arial" w:eastAsia="Arial" w:hAnsi="Arial"/>
          <w:sz w:val="22"/>
          <w:szCs w:val="22"/>
        </w:rPr>
        <w:t xml:space="preserve">The inventory contains 57 binding board obligations across thirteen domains. Each entry records the precise source and citation, the nature of the board duty, whether it falls on the full board or a committee, the entity level (holding company, insured bank, or SEC issuer), any director-independence distinction, its current status, the overlap it creates, and a candidate reform treatment.</w:t>
      </w:r>
    </w:p>
    <w:p>
      <w:pPr>
        <w:spacing w:after="120" w:before="0"/>
      </w:pPr>
      <w:r>
        <w:rPr>
          <w:rFonts w:ascii="Arial" w:cs="Arial" w:eastAsia="Arial" w:hAnsi="Arial"/>
          <w:sz w:val="22"/>
          <w:szCs w:val="22"/>
        </w:rPr>
        <w:t xml:space="preserve">Principal structural finding. Board obligations divide cleanly along a holding-company / insured-bank seam. The enhanced-prudential-standards regime built on Dodd-Frank §165 — the risk committee, the capital plan, the liquidity risk tolerance, company-run stress tests, the Title I resolution plan — attaches to the top-tier publicly traded holding-company board. The governance regime built on the Federal Deposit Insurance Act — the safety-and-soundness standards, the OCC heightened standards, the FDICIA audit committee, the BSA program, the IDI resolution plan — attaches at the insured-bank level. A GSIB must satisfy both simultaneously, frequently through interlocking parent and subsidiary boards whose memberships substantially overlap.</w:t>
      </w:r>
    </w:p>
    <w:p>
      <w:pPr>
        <w:spacing w:after="120" w:before="0"/>
      </w:pPr>
      <w:r>
        <w:rPr>
          <w:rFonts w:ascii="Arial" w:cs="Arial" w:eastAsia="Arial" w:hAnsi="Arial"/>
          <w:sz w:val="22"/>
          <w:szCs w:val="22"/>
        </w:rPr>
        <w:t xml:space="preserve">The duplication problem in one sentence. The same underlying board duty — approve a written program, oversee its implementation, receive periodic reporting, exercise credible challenge — recurs across a dozen separate authorities issued by four agencies, each with its own threshold, approval cadence, independence test, and documentation expectation. The Kimi quantification puts the practical load at roughly 360–500 director-hours per year; this synthesis adopts that figure as illustrative.</w:t>
      </w:r>
    </w:p>
    <w:p>
      <w:pPr>
        <w:spacing w:after="120" w:before="0"/>
      </w:pPr>
      <w:r>
        <w:rPr>
          <w:rFonts w:ascii="Arial" w:cs="Arial" w:eastAsia="Arial" w:hAnsi="Arial"/>
          <w:sz w:val="22"/>
          <w:szCs w:val="22"/>
        </w:rPr>
        <w:t xml:space="preserve">External corroboration. The duplication critique is not merely an outside-in observation. The American Bankers Association has urged the OCC to remove or adjust the Heightened Standards because they duplicate Regulation YY; the OCC's own 2025 threshold proposal (Bulletin 2025-51) acknowledges the concern; and the American Association of Bank Directors notes the Heightened Standards are 'enforceable rules' despite the 'guidelines' label. The Federal Reserve has itself said it 'simply expect[s] much more of boards of directors than ever before.'</w:t>
      </w:r>
    </w:p>
    <w:p>
      <w:pPr>
        <w:spacing w:after="120" w:before="0"/>
      </w:pPr>
      <w:r>
        <w:rPr>
          <w:rFonts w:ascii="Arial" w:cs="Arial" w:eastAsia="Arial" w:hAnsi="Arial"/>
          <w:sz w:val="22"/>
          <w:szCs w:val="22"/>
        </w:rPr>
        <w:t xml:space="preserve">Currency caveat. The 2025–2026 period removed or left unimplemented several binding duties a 2024-vintage map would have listed: the OCC recovery-planning guideline (12 CFR 30 App. E) is rescinded effective May 1, 2026; the FDIC's 2023 corporate-governance proposal was withdrawn; and Dodd-Frank §956 (incentive compensation) and §165(m) (early remediation) remain unimplemented. These are flagged in place and in the currency log.</w:t>
      </w:r>
    </w:p>
    <w:p>
      <w:pPr>
        <w:pStyle w:val="Heading1"/>
      </w:pPr>
      <w:r>
        <w:t xml:space="preserve">2. Scope, method, and how to read this inventory</w:t>
      </w:r>
    </w:p>
    <w:p>
      <w:pPr>
        <w:spacing w:after="120" w:before="0"/>
      </w:pPr>
      <w:r>
        <w:rPr>
          <w:rFonts w:ascii="Arial" w:cs="Arial" w:eastAsia="Arial" w:hAnsi="Arial"/>
          <w:sz w:val="22"/>
          <w:szCs w:val="22"/>
        </w:rPr>
        <w:t xml:space="preserve">Scope. Legally binding board-of-directors obligations (federal statutes, regulations, and enforceable agency guidelines) applicable to the eight Category I U.S. GSIBs (JPMorgan Chase, Bank of America, Citigroup, Wells Fargo, Goldman Sachs, Morgan Stanley, BNY, State Street) and their insured depository institution subsidiaries. Pure supervisory guidance (SR/CA letters, FFIEC manuals, the CFPB manual, interagency policy statements) is catalogued in the companion supervisory-expectations inventory and is cross-referenced here, not re-listed.</w:t>
      </w:r>
    </w:p>
    <w:p>
      <w:pPr>
        <w:spacing w:after="120" w:before="0"/>
      </w:pPr>
      <w:r>
        <w:rPr>
          <w:rFonts w:ascii="Arial" w:cs="Arial" w:eastAsia="Arial" w:hAnsi="Arial"/>
          <w:sz w:val="22"/>
          <w:szCs w:val="22"/>
        </w:rPr>
        <w:t xml:space="preserve">Method. Synthesized from four independent analyses: the Opus 4.8 citation-level inventory (spine: holding-company/IDI seam, precise citations, currency), the Kimi quantified inventory (typed mandatory/guidance counts, by-source breakdown, board-hours model, ranked sludge zones), the GPT-5.5 practitioner analysis (per-obligation reform treatments, board-calendar mechanics), and the Caffrey legal memo (external corroboration of the duplication critique; the guidance problem; source-of-strength).</w:t>
      </w:r>
    </w:p>
    <w:p>
      <w:pPr>
        <w:spacing w:after="120" w:before="0"/>
      </w:pPr>
      <w:r>
        <w:rPr>
          <w:rFonts w:ascii="Arial" w:cs="Arial" w:eastAsia="Arial" w:hAnsi="Arial"/>
          <w:sz w:val="22"/>
          <w:szCs w:val="22"/>
        </w:rPr>
        <w:t xml:space="preserve">Binding vs. guidance. Under the Interagency Statement Clarifying the Role of Supervisory Guidance, guidance does not carry the force of law. This inventory therefore lists binding duties only. The OCC Heightened Standards are included as binding because they are enforceable guidelines issued under FDI Act §39 (12 U.S.C. 1831p-1). Where a binding duty is elaborated by guidance (e.g., the capital-plan rule by SR 15-18), the entry notes the cross-reference; the guidance itself is catalogued in the expectations inventory.</w:t>
      </w:r>
    </w:p>
    <w:p>
      <w:pPr>
        <w:spacing w:after="120" w:before="0"/>
      </w:pPr>
      <w:r>
        <w:rPr>
          <w:rFonts w:ascii="Arial" w:cs="Arial" w:eastAsia="Arial" w:hAnsi="Arial"/>
          <w:sz w:val="22"/>
          <w:szCs w:val="22"/>
        </w:rPr>
        <w:t xml:space="preserve">How to read the entries. The detailed inventory (Section 4) is organized by domain. Each entry carries a stable identifier (e.g., RGC-01, CAP-02) matching the Excel workbook; the bold line gives the identifier, board level, and entity level; the body states the duty; the italic line gives source, citation, type, currency, overlap, and a candidate reform treatment.</w:t>
      </w:r>
    </w:p>
    <w:p>
      <w:pPr>
        <w:spacing w:after="120" w:before="0"/>
      </w:pPr>
      <w:r>
        <w:rPr>
          <w:rFonts w:ascii="Arial" w:cs="Arial" w:eastAsia="Arial" w:hAnsi="Arial"/>
          <w:sz w:val="22"/>
          <w:szCs w:val="22"/>
        </w:rPr>
        <w:t xml:space="preserve">Counts are approximate. Counting granularity affects totals — the risk committee can be read as one duty or seven sub-duties — so the figures are a relative map of where burden concentrates, not an exact statutory tally.</w:t>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3. The reform matrix — domain × board level</w:t>
      </w:r>
    </w:p>
    <w:p>
      <w:pPr>
        <w:spacing w:after="120" w:before="0"/>
      </w:pPr>
      <w:r>
        <w:rPr>
          <w:rFonts w:ascii="Arial" w:cs="Arial" w:eastAsia="Arial" w:hAnsi="Arial"/>
          <w:i/>
          <w:iCs/>
          <w:color w:val="595959"/>
          <w:sz w:val="20"/>
          <w:szCs w:val="20"/>
        </w:rPr>
        <w:t xml:space="preserve">Each cell lists the binding-obligation identifiers that fall on that board level within the domain. An entry appears in multiple columns where the duty is assigned to 'the board or a designated committee.' * = rescinded or not implemented (not a current binding duty). Entity level (holding company / insured bank / SEC issuer) is in the Master Inventory.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500"/>
        <w:gridCol w:w="1597"/>
        <w:gridCol w:w="1597"/>
        <w:gridCol w:w="1597"/>
        <w:gridCol w:w="1597"/>
        <w:gridCol w:w="1597"/>
        <w:gridCol w:w="1597"/>
        <w:gridCol w:w="1597"/>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Domain</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Full board</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Audit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Risk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Comp.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Nom.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Other cmte.</w:t>
            </w:r>
          </w:p>
        </w:tc>
        <w:tc>
          <w:tcPr>
            <w:tcW w:type="dxa" w:w="1597"/>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Director-type</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Risk governance &amp; risk committee</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RGC-06, RGC-07, RGC-08, RGC-09, RGC-10</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RGC-01, RGC-02, RGC-03, RGC-04, RGC-05, RGC-07, RGC-08, RGC-09</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RGC-01, RGC-03, RGC-05</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Capital planning &amp; stress testing</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CAP-01, CAP-02, CAP-03, CAP-04, CAP-05</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CAP-02, CAP-03</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Liquidity risk management</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LIQ-01, LIQ-02, LIQ-03</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LIQ-04</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Resolution &amp; recovery planning</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RES-01, RES-02, RES-03*</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RES-02</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TLAC, single-counterparty &amp; GSIB structural limits</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TLA-01, TLA-02, TLA-03</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Volcker &amp; trading-compliance attestation</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VOL-01</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Board composition &amp; independence</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IND-01, IND-02, IND-03, IND-04, IND-06, IND-08, IND-09</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IND-05, IND-09</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IND-06, IND-07</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IND-06</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IND-08</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IND-01, IND-02, IND-04, IND-05, IND-06, IND-07, IND-08</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Audit committee &amp; internal control over financial reporting</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AUD-02</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AUD-01, AUD-03, AUD-04, AUD-05, AUD-06, AUD-07, AUD-08</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AUD-01, AUD-02, AUD-03</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Cybersecurity &amp; information security</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CYB-01, CYB-02, CYB-03, CYB-04</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CYB-01, CYB-02</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BSA/AML program</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BSA-01, BSA-02, BSA-03, BSA-04, BSA-05</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BSA-03</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BSA-04, BSA-05</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Insider lending &amp; affiliate transactions (Reg O / Reg W)</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AFF-01, AFF-02</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AFF-01</w:t>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Incentive compensation</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INC-01*</w:t>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r>
      <w:tr>
        <w:tc>
          <w:tcPr>
            <w:tcW w:type="dxa" w:w="2500"/>
            <w:tcBorders>
              <w:top w:val="single" w:color="BFBFBF" w:sz="1"/>
              <w:left w:val="single" w:color="BFBFBF" w:sz="1"/>
              <w:bottom w:val="single" w:color="BFBFBF" w:sz="1"/>
              <w:right w:val="single" w:color="BFBFBF" w:sz="1"/>
            </w:tcBorders>
            <w:shd w:fill="D6E0F0" w:val="clear"/>
            <w:tcMar>
              <w:top w:type="dxa" w:w="50"/>
              <w:left w:type="dxa" w:w="80"/>
              <w:bottom w:type="dxa" w:w="50"/>
              <w:right w:type="dxa" w:w="80"/>
            </w:tcMar>
          </w:tcPr>
          <w:p>
            <w:pPr>
              <w:spacing w:after="0"/>
              <w:jc w:val="left"/>
            </w:pPr>
            <w:r>
              <w:rPr>
                <w:rFonts w:ascii="Arial" w:cs="Arial" w:eastAsia="Arial" w:hAnsi="Arial"/>
                <w:b/>
                <w:bCs/>
                <w:color w:val="1F3864"/>
                <w:sz w:val="14"/>
                <w:szCs w:val="14"/>
              </w:rPr>
              <w:t xml:space="preserve">Cross-cutting safety &amp; soundness / source of strength</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SS-01, SS-02</w:t>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SS-01</w:t>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
            </w:r>
          </w:p>
        </w:tc>
        <w:tc>
          <w:tcPr>
            <w:tcW w:type="dxa" w:w="1597"/>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3"/>
                <w:szCs w:val="13"/>
              </w:rPr>
              <w:t xml:space="preserve">SS-01</w:t>
            </w:r>
          </w:p>
        </w:tc>
      </w:tr>
    </w:tbl>
    <w:p>
      <w:pPr>
        <w:sectPr>
          <w:footerReference w:type="default" r:id="rId8"/>
          <w:type w:val="nextPage"/>
          <w:pgSz w:w="15840" w:h="12240" w:orient="landscape"/>
          <w:pgMar w:top="1080" w:right="1080" w:bottom="1080" w:left="1080" w:header="708" w:footer="708" w:gutter="0"/>
          <w:pgNumType/>
          <w:docGrid w:linePitch="360"/>
        </w:sectPr>
      </w:pPr>
    </w:p>
    <w:p>
      <w:pPr>
        <w:pStyle w:val="Heading1"/>
      </w:pPr>
      <w:r>
        <w:t xml:space="preserve">4. Quantification — where the burden concentrates</w:t>
      </w:r>
    </w:p>
    <w:p>
      <w:pPr>
        <w:spacing w:after="120" w:before="0"/>
      </w:pPr>
      <w:r>
        <w:rPr>
          <w:rFonts w:ascii="Arial" w:cs="Arial" w:eastAsia="Arial" w:hAnsi="Arial"/>
          <w:sz w:val="22"/>
          <w:szCs w:val="22"/>
        </w:rPr>
        <w:t xml:space="preserve">Binding obligations by regulatory source. Regulation YY is the single largest source, followed by the OCC Heightened Standards and the SEC/SOX/listing requirements — a fragmentation that means no single agency holds a complete view of the total board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00"/>
        <w:gridCol w:w="1760"/>
      </w:tblGrid>
      <w:tr>
        <w:trPr>
          <w:tblHeader/>
        </w:trPr>
        <w:tc>
          <w:tcPr>
            <w:tcW w:type="dxa" w:w="60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Source</w:t>
            </w:r>
          </w:p>
        </w:tc>
        <w:tc>
          <w:tcPr>
            <w:tcW w:type="dxa" w:w="16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Approx. count</w:t>
            </w:r>
          </w:p>
        </w:tc>
        <w:tc>
          <w:tcPr>
            <w:tcW w:type="dxa" w:w="17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Note</w:t>
            </w:r>
          </w:p>
        </w:tc>
      </w:tr>
      <w:tr>
        <w:tc>
          <w:tcPr>
            <w:tcW w:type="dxa" w:w="6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5"/>
                <w:szCs w:val="15"/>
              </w:rPr>
              <w:t xml:space="preserve">Regulation YY (12 CFR part 252)</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val="false"/>
                <w:bCs w:val="false"/>
                <w:sz w:val="15"/>
                <w:szCs w:val="15"/>
              </w:rPr>
              <w:t xml:space="preserve">16</w:t>
            </w:r>
          </w:p>
        </w:tc>
        <w:tc>
          <w:tcPr>
            <w:tcW w:type="dxa" w:w="1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5"/>
                <w:szCs w:val="15"/>
              </w:rPr>
              <w:t xml:space="preserve">largest single source</w:t>
            </w:r>
          </w:p>
        </w:tc>
      </w:tr>
      <w:tr>
        <w:tc>
          <w:tcPr>
            <w:tcW w:type="dxa" w:w="6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5"/>
                <w:szCs w:val="15"/>
              </w:rPr>
              <w:t xml:space="preserve">OCC Heightened Standards (12 CFR 30 App. D)</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val="false"/>
                <w:bCs w:val="false"/>
                <w:sz w:val="15"/>
                <w:szCs w:val="15"/>
              </w:rPr>
              <w:t xml:space="preserve">13</w:t>
            </w:r>
          </w:p>
        </w:tc>
        <w:tc>
          <w:tcPr>
            <w:tcW w:type="dxa" w:w="1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5"/>
                <w:szCs w:val="15"/>
              </w:rPr>
              <w:t xml:space="preserve">enforceable guidelines</w:t>
            </w:r>
          </w:p>
        </w:tc>
      </w:tr>
      <w:tr>
        <w:tc>
          <w:tcPr>
            <w:tcW w:type="dxa" w:w="6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5"/>
                <w:szCs w:val="15"/>
              </w:rPr>
              <w:t xml:space="preserve">SEC / SOX / listing standards</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val="false"/>
                <w:bCs w:val="false"/>
                <w:sz w:val="15"/>
                <w:szCs w:val="15"/>
              </w:rPr>
              <w:t xml:space="preserve">11</w:t>
            </w:r>
          </w:p>
        </w:tc>
        <w:tc>
          <w:tcPr>
            <w:tcW w:type="dxa" w:w="1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5"/>
                <w:szCs w:val="15"/>
              </w:rPr>
              <w:t xml:space="preserve">issuer-level</w:t>
            </w:r>
          </w:p>
        </w:tc>
      </w:tr>
      <w:tr>
        <w:tc>
          <w:tcPr>
            <w:tcW w:type="dxa" w:w="6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5"/>
                <w:szCs w:val="15"/>
              </w:rPr>
              <w:t xml:space="preserve">FDICIA / Part 363</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val="false"/>
                <w:bCs w:val="false"/>
                <w:sz w:val="15"/>
                <w:szCs w:val="15"/>
              </w:rPr>
              <w:t xml:space="preserve">6</w:t>
            </w:r>
          </w:p>
        </w:tc>
        <w:tc>
          <w:tcPr>
            <w:tcW w:type="dxa" w:w="1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5"/>
                <w:szCs w:val="15"/>
              </w:rPr>
              <w:t xml:space="preserve">IDI audit</w:t>
            </w:r>
          </w:p>
        </w:tc>
      </w:tr>
      <w:tr>
        <w:tc>
          <w:tcPr>
            <w:tcW w:type="dxa" w:w="6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5"/>
                <w:szCs w:val="15"/>
              </w:rPr>
              <w:t xml:space="preserve">BSA/AML rules (31 CFR 1010)</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val="false"/>
                <w:bCs w:val="false"/>
                <w:sz w:val="15"/>
                <w:szCs w:val="15"/>
              </w:rPr>
              <w:t xml:space="preserve">5</w:t>
            </w:r>
          </w:p>
        </w:tc>
        <w:tc>
          <w:tcPr>
            <w:tcW w:type="dxa" w:w="1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5"/>
                <w:szCs w:val="15"/>
              </w:rPr>
              <w:t xml:space="preserve"/>
            </w:r>
          </w:p>
        </w:tc>
      </w:tr>
      <w:tr>
        <w:tc>
          <w:tcPr>
            <w:tcW w:type="dxa" w:w="6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5"/>
                <w:szCs w:val="15"/>
              </w:rPr>
              <w:t xml:space="preserve">Dodd-Frank statute (165, 952, 956, Volcker)</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val="false"/>
                <w:bCs w:val="false"/>
                <w:sz w:val="15"/>
                <w:szCs w:val="15"/>
              </w:rPr>
              <w:t xml:space="preserve">7</w:t>
            </w:r>
          </w:p>
        </w:tc>
        <w:tc>
          <w:tcPr>
            <w:tcW w:type="dxa" w:w="1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5"/>
                <w:szCs w:val="15"/>
              </w:rPr>
              <w:t xml:space="preserve">statutory anchors</w:t>
            </w:r>
          </w:p>
        </w:tc>
      </w:tr>
      <w:tr>
        <w:tc>
          <w:tcPr>
            <w:tcW w:type="dxa" w:w="60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5"/>
                <w:szCs w:val="15"/>
              </w:rPr>
              <w:t xml:space="preserve">Information security / cyber (GLBA, SEC, incident rule)</w:t>
            </w:r>
          </w:p>
        </w:tc>
        <w:tc>
          <w:tcPr>
            <w:tcW w:type="dxa" w:w="1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val="false"/>
                <w:bCs w:val="false"/>
                <w:sz w:val="15"/>
                <w:szCs w:val="15"/>
              </w:rPr>
              <w:t xml:space="preserve">4</w:t>
            </w:r>
          </w:p>
        </w:tc>
        <w:tc>
          <w:tcPr>
            <w:tcW w:type="dxa" w:w="17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5"/>
                <w:szCs w:val="15"/>
              </w:rPr>
              <w:t xml:space="preserve"/>
            </w:r>
          </w:p>
        </w:tc>
      </w:tr>
      <w:tr>
        <w:tc>
          <w:tcPr>
            <w:tcW w:type="dxa" w:w="60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5"/>
                <w:szCs w:val="15"/>
              </w:rPr>
              <w:t xml:space="preserve">Reg O / Reg W / source of strength / S&amp;S guidelines</w:t>
            </w:r>
          </w:p>
        </w:tc>
        <w:tc>
          <w:tcPr>
            <w:tcW w:type="dxa" w:w="1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val="false"/>
                <w:bCs w:val="false"/>
                <w:sz w:val="15"/>
                <w:szCs w:val="15"/>
              </w:rPr>
              <w:t xml:space="preserve">6</w:t>
            </w:r>
          </w:p>
        </w:tc>
        <w:tc>
          <w:tcPr>
            <w:tcW w:type="dxa" w:w="17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5"/>
                <w:szCs w:val="15"/>
              </w:rPr>
              <w:t xml:space="preserve"/>
            </w:r>
          </w:p>
        </w:tc>
      </w:tr>
    </w:tbl>
    <w:p>
      <w:pPr>
        <w:spacing w:after="120" w:before="120"/>
      </w:pPr>
      <w:r>
        <w:rPr>
          <w:rFonts w:ascii="Arial" w:cs="Arial" w:eastAsia="Arial" w:hAnsi="Arial"/>
          <w:sz w:val="22"/>
          <w:szCs w:val="22"/>
        </w:rPr>
        <w:t xml:space="preserve">Roughly 71% of any blended count is mandatory (statute, regulation, or enforceable guideline); the remaining guidance layer is catalogued separately in the expectations inventory. The Kimi board-hours model estimates ~360-504 hours per director per year on compliance-driven governance (illustrative; from the Kimi model).</w:t>
      </w:r>
    </w:p>
    <w:p>
      <w:r>
        <w:br w:type="page"/>
      </w:r>
    </w:p>
    <w:p>
      <w:pPr>
        <w:pStyle w:val="Heading1"/>
      </w:pPr>
      <w:r>
        <w:t xml:space="preserve">5. Detailed inventory by domain</w:t>
      </w:r>
    </w:p>
    <w:p>
      <w:pPr>
        <w:pStyle w:val="Heading2"/>
      </w:pPr>
      <w:r>
        <w:t xml:space="preserve">1. Risk governance &amp; risk committee</w:t>
      </w:r>
    </w:p>
    <w:p>
      <w:pPr>
        <w:keepNext/>
        <w:spacing w:after="20" w:before="110"/>
      </w:pPr>
      <w:r>
        <w:rPr>
          <w:rFonts w:ascii="Arial" w:cs="Arial" w:eastAsia="Arial" w:hAnsi="Arial"/>
          <w:b/>
          <w:bCs/>
          <w:color w:val="1F3864"/>
          <w:sz w:val="21"/>
          <w:szCs w:val="21"/>
        </w:rPr>
        <w:t xml:space="preserve">RGC-01  —  Risk committee  ·  BHC</w:t>
      </w:r>
      <w:r>
        <w:rPr>
          <w:sz w:val="2"/>
          <w:szCs w:val="2"/>
        </w:rPr>
        <w:t xml:space="preserve"/>
      </w:r>
    </w:p>
    <w:p>
      <w:pPr>
        <w:spacing w:after="30"/>
      </w:pPr>
      <w:r>
        <w:rPr>
          <w:rFonts w:ascii="Arial" w:cs="Arial" w:eastAsia="Arial" w:hAnsi="Arial"/>
          <w:sz w:val="21"/>
          <w:szCs w:val="21"/>
        </w:rPr>
        <w:t xml:space="preserve">Statutory requirement that a publicly traded BHC of the relevant size maintain a board risk committee; the statutory engine for the Regulation YY risk-committee rules.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Act section 165(h), 12 U.S.C. 5365(h)(1).  </w:t>
      </w:r>
      <w:r>
        <w:rPr>
          <w:rFonts w:ascii="Arial" w:cs="Arial" w:eastAsia="Arial" w:hAnsi="Arial"/>
          <w:i/>
          <w:iCs/>
          <w:color w:val="595959"/>
          <w:sz w:val="18"/>
          <w:szCs w:val="18"/>
        </w:rPr>
        <w:t xml:space="preserve">Type: Mandatory (statute).  Status: Active.</w:t>
      </w:r>
      <w:r>
        <w:rPr>
          <w:rFonts w:ascii="Arial" w:cs="Arial" w:eastAsia="Arial" w:hAnsi="Arial"/>
          <w:i/>
          <w:iCs/>
          <w:color w:val="7030A0"/>
          <w:sz w:val="18"/>
          <w:szCs w:val="18"/>
        </w:rPr>
        <w:t xml:space="preserve">  Director distinction: None (composition specified in Reg YY).</w:t>
      </w:r>
      <w:r>
        <w:rPr>
          <w:rFonts w:ascii="Arial" w:cs="Arial" w:eastAsia="Arial" w:hAnsi="Arial"/>
          <w:i/>
          <w:iCs/>
          <w:color w:val="595959"/>
          <w:sz w:val="18"/>
          <w:szCs w:val="18"/>
        </w:rPr>
        <w:t xml:space="preserve">  Overlap: Duplicates Reg YY 252.33 (implementing rule) and OCC App. D risk-governance framework.</w:t>
      </w:r>
      <w:r>
        <w:rPr>
          <w:rFonts w:ascii="Arial" w:cs="Arial" w:eastAsia="Arial" w:hAnsi="Arial"/>
          <w:i/>
          <w:iCs/>
          <w:color w:val="1F6B3B"/>
          <w:sz w:val="18"/>
          <w:szCs w:val="18"/>
        </w:rPr>
        <w:t xml:space="preserve">  Reform: Treat 165(h) as the single statutory anchor; avoid restating its content in multiple instruments.</w:t>
      </w:r>
    </w:p>
    <w:p>
      <w:pPr>
        <w:keepNext/>
        <w:spacing w:after="20" w:before="110"/>
      </w:pPr>
      <w:r>
        <w:rPr>
          <w:rFonts w:ascii="Arial" w:cs="Arial" w:eastAsia="Arial" w:hAnsi="Arial"/>
          <w:b/>
          <w:bCs/>
          <w:color w:val="1F3864"/>
          <w:sz w:val="21"/>
          <w:szCs w:val="21"/>
        </w:rPr>
        <w:t xml:space="preserve">RGC-02  —  Risk committee  ·  BHC</w:t>
      </w:r>
      <w:r>
        <w:rPr>
          <w:sz w:val="2"/>
          <w:szCs w:val="2"/>
        </w:rPr>
        <w:t xml:space="preserve"/>
      </w:r>
    </w:p>
    <w:p>
      <w:pPr>
        <w:spacing w:after="30"/>
      </w:pPr>
      <w:r>
        <w:rPr>
          <w:rFonts w:ascii="Arial" w:cs="Arial" w:eastAsia="Arial" w:hAnsi="Arial"/>
          <w:sz w:val="21"/>
          <w:szCs w:val="21"/>
        </w:rPr>
        <w:t xml:space="preserve">Risk committee approves and periodically reviews the enterprise risk-management policies of the firm's global operations and oversees the global risk-management framework.</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(EPS), 12 CFR part 252 subpart D, 12 CFR 252.33(a)(1).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Overlaps OCC App. D II.A (bank-level risk-governance framework).</w:t>
      </w:r>
      <w:r>
        <w:rPr>
          <w:rFonts w:ascii="Arial" w:cs="Arial" w:eastAsia="Arial" w:hAnsi="Arial"/>
          <w:i/>
          <w:iCs/>
          <w:color w:val="1F6B3B"/>
          <w:sz w:val="18"/>
          <w:szCs w:val="18"/>
        </w:rPr>
        <w:t xml:space="preserve">  Reform: Permit one enterprise risk-committee approval to satisfy the parallel IDI framework, with an IDI annex.</w:t>
      </w:r>
    </w:p>
    <w:p>
      <w:pPr>
        <w:keepNext/>
        <w:spacing w:after="20" w:before="110"/>
      </w:pPr>
      <w:r>
        <w:rPr>
          <w:rFonts w:ascii="Arial" w:cs="Arial" w:eastAsia="Arial" w:hAnsi="Arial"/>
          <w:b/>
          <w:bCs/>
          <w:color w:val="1F3864"/>
          <w:sz w:val="21"/>
          <w:szCs w:val="21"/>
        </w:rPr>
        <w:t xml:space="preserve">RGC-03  —  Risk committee  ·  BHC</w:t>
      </w:r>
      <w:r>
        <w:rPr>
          <w:sz w:val="2"/>
          <w:szCs w:val="2"/>
        </w:rPr>
        <w:t xml:space="preserve"/>
      </w:r>
    </w:p>
    <w:p>
      <w:pPr>
        <w:spacing w:after="30"/>
      </w:pPr>
      <w:r>
        <w:rPr>
          <w:rFonts w:ascii="Arial" w:cs="Arial" w:eastAsia="Arial" w:hAnsi="Arial"/>
          <w:sz w:val="21"/>
          <w:szCs w:val="21"/>
        </w:rPr>
        <w:t xml:space="preserve">Risk committee must have a formal written charter approved by the board, be a standalone independent committee, report directly to the board, meet at least quarterly, and fully document its proceedings.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252.33(a)(3).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Independent committee.</w:t>
      </w:r>
      <w:r>
        <w:rPr>
          <w:rFonts w:ascii="Arial" w:cs="Arial" w:eastAsia="Arial" w:hAnsi="Arial"/>
          <w:i/>
          <w:iCs/>
          <w:color w:val="595959"/>
          <w:sz w:val="18"/>
          <w:szCs w:val="18"/>
        </w:rPr>
        <w:t xml:space="preserve">  Overlap: Structural duplication with OCC App. D governance-framework expectations.</w:t>
      </w:r>
      <w:r>
        <w:rPr>
          <w:rFonts w:ascii="Arial" w:cs="Arial" w:eastAsia="Arial" w:hAnsi="Arial"/>
          <w:i/>
          <w:iCs/>
          <w:color w:val="1F6B3B"/>
          <w:sz w:val="18"/>
          <w:szCs w:val="18"/>
        </w:rPr>
        <w:t xml:space="preserve">  Reform: Harmonize charter/structure requirements across Fed and OCC at the consolidated level.</w:t>
      </w:r>
    </w:p>
    <w:p>
      <w:pPr>
        <w:keepNext/>
        <w:spacing w:after="20" w:before="110"/>
      </w:pPr>
      <w:r>
        <w:rPr>
          <w:rFonts w:ascii="Arial" w:cs="Arial" w:eastAsia="Arial" w:hAnsi="Arial"/>
          <w:b/>
          <w:bCs/>
          <w:color w:val="1F3864"/>
          <w:sz w:val="21"/>
          <w:szCs w:val="21"/>
        </w:rPr>
        <w:t xml:space="preserve">RGC-04  —  Risk committee  ·  BHC</w:t>
      </w:r>
      <w:r>
        <w:rPr>
          <w:sz w:val="2"/>
          <w:szCs w:val="2"/>
        </w:rPr>
        <w:t xml:space="preserve"/>
      </w:r>
    </w:p>
    <w:p>
      <w:pPr>
        <w:spacing w:after="30"/>
      </w:pPr>
      <w:r>
        <w:rPr>
          <w:rFonts w:ascii="Arial" w:cs="Arial" w:eastAsia="Arial" w:hAnsi="Arial"/>
          <w:sz w:val="21"/>
          <w:szCs w:val="21"/>
        </w:rPr>
        <w:t xml:space="preserve">Risk committee must receive and review reports from the chief risk officer at least quarterly.</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252.33(a)(3)(iv).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Cadence overlaps OCC App. D quarterly risk monitoring.</w:t>
      </w:r>
      <w:r>
        <w:rPr>
          <w:rFonts w:ascii="Arial" w:cs="Arial" w:eastAsia="Arial" w:hAnsi="Arial"/>
          <w:i/>
          <w:iCs/>
          <w:color w:val="1F6B3B"/>
          <w:sz w:val="18"/>
          <w:szCs w:val="18"/>
        </w:rPr>
        <w:t xml:space="preserve">  Reform: Single quarterly risk-reporting cadence covering both levels.</w:t>
      </w:r>
    </w:p>
    <w:p>
      <w:pPr>
        <w:keepNext/>
        <w:spacing w:after="20" w:before="110"/>
      </w:pPr>
      <w:r>
        <w:rPr>
          <w:rFonts w:ascii="Arial" w:cs="Arial" w:eastAsia="Arial" w:hAnsi="Arial"/>
          <w:b/>
          <w:bCs/>
          <w:color w:val="1F3864"/>
          <w:sz w:val="21"/>
          <w:szCs w:val="21"/>
        </w:rPr>
        <w:t xml:space="preserve">RGC-05  —  Risk committee  ·  BHC</w:t>
      </w:r>
      <w:r>
        <w:rPr>
          <w:sz w:val="2"/>
          <w:szCs w:val="2"/>
        </w:rPr>
        <w:t xml:space="preserve"/>
      </w:r>
    </w:p>
    <w:p>
      <w:pPr>
        <w:spacing w:after="30"/>
      </w:pPr>
      <w:r>
        <w:rPr>
          <w:rFonts w:ascii="Arial" w:cs="Arial" w:eastAsia="Arial" w:hAnsi="Arial"/>
          <w:sz w:val="21"/>
          <w:szCs w:val="21"/>
        </w:rPr>
        <w:t xml:space="preserve">Risk committee must be chaired by an independent director who meets SEC/NYSE independence standards and has risk-management experience.</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252.33(a)(4)(ii).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Independent director chair with risk-management experience.</w:t>
      </w:r>
      <w:r>
        <w:rPr>
          <w:rFonts w:ascii="Arial" w:cs="Arial" w:eastAsia="Arial" w:hAnsi="Arial"/>
          <w:i/>
          <w:iCs/>
          <w:color w:val="595959"/>
          <w:sz w:val="18"/>
          <w:szCs w:val="18"/>
        </w:rPr>
        <w:t xml:space="preserve">  Overlap: One of six non-uniform independence tests applied to the same directors.</w:t>
      </w:r>
      <w:r>
        <w:rPr>
          <w:rFonts w:ascii="Arial" w:cs="Arial" w:eastAsia="Arial" w:hAnsi="Arial"/>
          <w:i/>
          <w:iCs/>
          <w:color w:val="1F6B3B"/>
          <w:sz w:val="18"/>
          <w:szCs w:val="18"/>
        </w:rPr>
        <w:t xml:space="preserve">  Reform: Adopt a single prudential independence definition (see independence-test table).</w:t>
      </w:r>
    </w:p>
    <w:p>
      <w:pPr>
        <w:keepNext/>
        <w:spacing w:after="20" w:before="110"/>
      </w:pPr>
      <w:r>
        <w:rPr>
          <w:rFonts w:ascii="Arial" w:cs="Arial" w:eastAsia="Arial" w:hAnsi="Arial"/>
          <w:b/>
          <w:bCs/>
          <w:color w:val="1F3864"/>
          <w:sz w:val="21"/>
          <w:szCs w:val="21"/>
        </w:rPr>
        <w:t xml:space="preserve">RGC-06  —  Full board  ·  BHC</w:t>
      </w:r>
      <w:r>
        <w:rPr>
          <w:sz w:val="2"/>
          <w:szCs w:val="2"/>
        </w:rPr>
        <w:t xml:space="preserve"/>
      </w:r>
    </w:p>
    <w:p>
      <w:pPr>
        <w:spacing w:after="30"/>
      </w:pPr>
      <w:r>
        <w:rPr>
          <w:rFonts w:ascii="Arial" w:cs="Arial" w:eastAsia="Arial" w:hAnsi="Arial"/>
          <w:sz w:val="21"/>
          <w:szCs w:val="21"/>
        </w:rPr>
        <w:t xml:space="preserve">Board must appoint a chief risk officer with experience managing risk at large, complex firms.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252.33(b)(1).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Overlaps OCC App. D CRE appointment/compensation approval.</w:t>
      </w:r>
      <w:r>
        <w:rPr>
          <w:rFonts w:ascii="Arial" w:cs="Arial" w:eastAsia="Arial" w:hAnsi="Arial"/>
          <w:i/>
          <w:iCs/>
          <w:color w:val="1F6B3B"/>
          <w:sz w:val="18"/>
          <w:szCs w:val="18"/>
        </w:rPr>
        <w:t xml:space="preserve">  Reform: Consolidate CRO/CRE appointment into Reg YY; OCC incorporates by reference.</w:t>
      </w:r>
    </w:p>
    <w:p>
      <w:pPr>
        <w:keepNext/>
        <w:spacing w:after="20" w:before="110"/>
      </w:pPr>
      <w:r>
        <w:rPr>
          <w:rFonts w:ascii="Arial" w:cs="Arial" w:eastAsia="Arial" w:hAnsi="Arial"/>
          <w:b/>
          <w:bCs/>
          <w:color w:val="1F3864"/>
          <w:sz w:val="21"/>
          <w:szCs w:val="21"/>
        </w:rPr>
        <w:t xml:space="preserve">RGC-07  —  Full board or risk committee  ·  IDI</w:t>
      </w:r>
      <w:r>
        <w:rPr>
          <w:sz w:val="2"/>
          <w:szCs w:val="2"/>
        </w:rPr>
        <w:t xml:space="preserve"/>
      </w:r>
    </w:p>
    <w:p>
      <w:pPr>
        <w:spacing w:after="30"/>
      </w:pPr>
      <w:r>
        <w:rPr>
          <w:rFonts w:ascii="Arial" w:cs="Arial" w:eastAsia="Arial" w:hAnsi="Arial"/>
          <w:sz w:val="21"/>
          <w:szCs w:val="21"/>
        </w:rPr>
        <w:t xml:space="preserve">Board must require management to establish, and must approve, a formal written risk-governance framework, and approve significant changes.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II.A.  </w:t>
      </w:r>
      <w:r>
        <w:rPr>
          <w:rFonts w:ascii="Arial" w:cs="Arial" w:eastAsia="Arial" w:hAnsi="Arial"/>
          <w:i/>
          <w:iCs/>
          <w:color w:val="595959"/>
          <w:sz w:val="18"/>
          <w:szCs w:val="18"/>
        </w:rPr>
        <w:t xml:space="preserve">Type: Mandatory (OCC enforceable guideline).  Status: Active (NPRM to raise $50B-&gt;$700B threshold pending; GSIBs remain covered).</w:t>
      </w:r>
      <w:r>
        <w:rPr>
          <w:rFonts w:ascii="Arial" w:cs="Arial" w:eastAsia="Arial" w:hAnsi="Arial"/>
          <w:i/>
          <w:iCs/>
          <w:color w:val="595959"/>
          <w:sz w:val="18"/>
          <w:szCs w:val="18"/>
        </w:rPr>
        <w:t xml:space="preserve">  Overlap: Parallel to Reg YY 252.33 at the parent level.</w:t>
      </w:r>
      <w:r>
        <w:rPr>
          <w:rFonts w:ascii="Arial" w:cs="Arial" w:eastAsia="Arial" w:hAnsi="Arial"/>
          <w:i/>
          <w:iCs/>
          <w:color w:val="1F6B3B"/>
          <w:sz w:val="18"/>
          <w:szCs w:val="18"/>
        </w:rPr>
        <w:t xml:space="preserve">  Reform: Permit holding-company framework approval to satisfy the IDI framework where boards overlap.</w:t>
      </w:r>
    </w:p>
    <w:p>
      <w:pPr>
        <w:keepNext/>
        <w:spacing w:after="20" w:before="110"/>
      </w:pPr>
      <w:r>
        <w:rPr>
          <w:rFonts w:ascii="Arial" w:cs="Arial" w:eastAsia="Arial" w:hAnsi="Arial"/>
          <w:b/>
          <w:bCs/>
          <w:color w:val="1F3864"/>
          <w:sz w:val="21"/>
          <w:szCs w:val="21"/>
        </w:rPr>
        <w:t xml:space="preserve">RGC-08  —  Full board or risk committee  ·  IDI</w:t>
      </w:r>
      <w:r>
        <w:rPr>
          <w:sz w:val="2"/>
          <w:szCs w:val="2"/>
        </w:rPr>
        <w:t xml:space="preserve"/>
      </w:r>
    </w:p>
    <w:p>
      <w:pPr>
        <w:spacing w:after="30"/>
      </w:pPr>
      <w:r>
        <w:rPr>
          <w:rFonts w:ascii="Arial" w:cs="Arial" w:eastAsia="Arial" w:hAnsi="Arial"/>
          <w:sz w:val="21"/>
          <w:szCs w:val="21"/>
        </w:rPr>
        <w:t xml:space="preserve">Board or risk committee reviews and approves the risk-appetite statement at least annually and receives risk monitoring at least quarterly.</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secs. II.E, II.G.  </w:t>
      </w:r>
      <w:r>
        <w:rPr>
          <w:rFonts w:ascii="Arial" w:cs="Arial" w:eastAsia="Arial" w:hAnsi="Arial"/>
          <w:i/>
          <w:iCs/>
          <w:color w:val="595959"/>
          <w:sz w:val="18"/>
          <w:szCs w:val="18"/>
        </w:rPr>
        <w:t xml:space="preserve">Type: Mandatory (OCC).  Status: Active.</w:t>
      </w:r>
      <w:r>
        <w:rPr>
          <w:rFonts w:ascii="Arial" w:cs="Arial" w:eastAsia="Arial" w:hAnsi="Arial"/>
          <w:i/>
          <w:iCs/>
          <w:color w:val="595959"/>
          <w:sz w:val="18"/>
          <w:szCs w:val="18"/>
        </w:rPr>
        <w:t xml:space="preserve">  Overlap: Risk-appetite approval also arises under SR 21-3 (expectation) and the Reg YY liquidity-tolerance approval — three sources.</w:t>
      </w:r>
      <w:r>
        <w:rPr>
          <w:rFonts w:ascii="Arial" w:cs="Arial" w:eastAsia="Arial" w:hAnsi="Arial"/>
          <w:i/>
          <w:iCs/>
          <w:color w:val="1F6B3B"/>
          <w:sz w:val="18"/>
          <w:szCs w:val="18"/>
        </w:rPr>
        <w:t xml:space="preserve">  Reform: Single interagency risk-appetite template; one board-approved document satisfies all.</w:t>
      </w:r>
    </w:p>
    <w:p>
      <w:pPr>
        <w:keepNext/>
        <w:spacing w:after="20" w:before="110"/>
      </w:pPr>
      <w:r>
        <w:rPr>
          <w:rFonts w:ascii="Arial" w:cs="Arial" w:eastAsia="Arial" w:hAnsi="Arial"/>
          <w:b/>
          <w:bCs/>
          <w:color w:val="1F3864"/>
          <w:sz w:val="21"/>
          <w:szCs w:val="21"/>
        </w:rPr>
        <w:t xml:space="preserve">RGC-09  —  Full board or risk committee  ·  IDI</w:t>
      </w:r>
      <w:r>
        <w:rPr>
          <w:sz w:val="2"/>
          <w:szCs w:val="2"/>
        </w:rPr>
        <w:t xml:space="preserve"/>
      </w:r>
    </w:p>
    <w:p>
      <w:pPr>
        <w:spacing w:after="30"/>
      </w:pPr>
      <w:r>
        <w:rPr>
          <w:rFonts w:ascii="Arial" w:cs="Arial" w:eastAsia="Arial" w:hAnsi="Arial"/>
          <w:sz w:val="21"/>
          <w:szCs w:val="21"/>
        </w:rPr>
        <w:t xml:space="preserve">Board or risk committee approves the appointment, removal, and annual compensation of the chief risk executive(s).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I.E.7(c).  </w:t>
      </w:r>
      <w:r>
        <w:rPr>
          <w:rFonts w:ascii="Arial" w:cs="Arial" w:eastAsia="Arial" w:hAnsi="Arial"/>
          <w:i/>
          <w:iCs/>
          <w:color w:val="595959"/>
          <w:sz w:val="18"/>
          <w:szCs w:val="18"/>
        </w:rPr>
        <w:t xml:space="preserve">Type: Mandatory (OCC).  Status: Active.</w:t>
      </w:r>
      <w:r>
        <w:rPr>
          <w:rFonts w:ascii="Arial" w:cs="Arial" w:eastAsia="Arial" w:hAnsi="Arial"/>
          <w:i/>
          <w:iCs/>
          <w:color w:val="595959"/>
          <w:sz w:val="18"/>
          <w:szCs w:val="18"/>
        </w:rPr>
        <w:t xml:space="preserve">  Overlap: Overlaps Reg YY 252.33(b) CRO appointment.</w:t>
      </w:r>
      <w:r>
        <w:rPr>
          <w:rFonts w:ascii="Arial" w:cs="Arial" w:eastAsia="Arial" w:hAnsi="Arial"/>
          <w:i/>
          <w:iCs/>
          <w:color w:val="1F6B3B"/>
          <w:sz w:val="18"/>
          <w:szCs w:val="18"/>
        </w:rPr>
        <w:t xml:space="preserve">  Reform: Consolidate CRO/CRE appointment/pay approval across levels.</w:t>
      </w:r>
    </w:p>
    <w:p>
      <w:pPr>
        <w:keepNext/>
        <w:spacing w:after="20" w:before="110"/>
      </w:pPr>
      <w:r>
        <w:rPr>
          <w:rFonts w:ascii="Arial" w:cs="Arial" w:eastAsia="Arial" w:hAnsi="Arial"/>
          <w:b/>
          <w:bCs/>
          <w:color w:val="1F3864"/>
          <w:sz w:val="21"/>
          <w:szCs w:val="21"/>
        </w:rPr>
        <w:t xml:space="preserve">RGC-10  —  Full board  ·  IDI</w:t>
      </w:r>
      <w:r>
        <w:rPr>
          <w:sz w:val="2"/>
          <w:szCs w:val="2"/>
        </w:rPr>
        <w:t xml:space="preserve"/>
      </w:r>
    </w:p>
    <w:p>
      <w:pPr>
        <w:spacing w:after="30"/>
      </w:pPr>
      <w:r>
        <w:rPr>
          <w:rFonts w:ascii="Arial" w:cs="Arial" w:eastAsia="Arial" w:hAnsi="Arial"/>
          <w:sz w:val="21"/>
          <w:szCs w:val="21"/>
        </w:rPr>
        <w:t xml:space="preserve">Board reviews and approves the bank's three-year strategic plan with a comprehensive risk assessment and monitors implementation at least annually.</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II.D.  </w:t>
      </w:r>
      <w:r>
        <w:rPr>
          <w:rFonts w:ascii="Arial" w:cs="Arial" w:eastAsia="Arial" w:hAnsi="Arial"/>
          <w:i/>
          <w:iCs/>
          <w:color w:val="595959"/>
          <w:sz w:val="18"/>
          <w:szCs w:val="18"/>
        </w:rPr>
        <w:t xml:space="preserve">Type: Mandatory (OCC).  Status: Active.</w:t>
      </w:r>
      <w:r>
        <w:rPr>
          <w:rFonts w:ascii="Arial" w:cs="Arial" w:eastAsia="Arial" w:hAnsi="Arial"/>
          <w:i/>
          <w:iCs/>
          <w:color w:val="595959"/>
          <w:sz w:val="18"/>
          <w:szCs w:val="18"/>
        </w:rPr>
        <w:t xml:space="preserve">  Overlap: Overlaps consolidated strategy expectations (SR 21-3 / SR 12-17).</w:t>
      </w:r>
      <w:r>
        <w:rPr>
          <w:rFonts w:ascii="Arial" w:cs="Arial" w:eastAsia="Arial" w:hAnsi="Arial"/>
          <w:i/>
          <w:iCs/>
          <w:color w:val="1F6B3B"/>
          <w:sz w:val="18"/>
          <w:szCs w:val="18"/>
        </w:rPr>
        <w:t xml:space="preserve">  Reform: Permit one enterprise strategic-plan approval with an IDI addendum.</w:t>
      </w:r>
    </w:p>
    <w:p>
      <w:pPr>
        <w:pStyle w:val="Heading2"/>
      </w:pPr>
      <w:r>
        <w:t xml:space="preserve">2. Capital planning &amp; stress testing</w:t>
      </w:r>
    </w:p>
    <w:p>
      <w:pPr>
        <w:keepNext/>
        <w:spacing w:after="20" w:before="110"/>
      </w:pPr>
      <w:r>
        <w:rPr>
          <w:rFonts w:ascii="Arial" w:cs="Arial" w:eastAsia="Arial" w:hAnsi="Arial"/>
          <w:b/>
          <w:bCs/>
          <w:color w:val="1F3864"/>
          <w:sz w:val="21"/>
          <w:szCs w:val="21"/>
        </w:rPr>
        <w:t xml:space="preserve">CAP-01  —  Full board  ·  BHC</w:t>
      </w:r>
      <w:r>
        <w:rPr>
          <w:sz w:val="2"/>
          <w:szCs w:val="2"/>
        </w:rPr>
        <w:t xml:space="preserve"/>
      </w:r>
    </w:p>
    <w:p>
      <w:pPr>
        <w:spacing w:after="30"/>
      </w:pPr>
      <w:r>
        <w:rPr>
          <w:rFonts w:ascii="Arial" w:cs="Arial" w:eastAsia="Arial" w:hAnsi="Arial"/>
          <w:sz w:val="21"/>
          <w:szCs w:val="21"/>
        </w:rPr>
        <w:t xml:space="preserve">Board oversight that the firm's stress-testing framework is adequate and integrated into capital planning.</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Act section 165(i), 12 U.S.C. 5365(i).  </w:t>
      </w:r>
      <w:r>
        <w:rPr>
          <w:rFonts w:ascii="Arial" w:cs="Arial" w:eastAsia="Arial" w:hAnsi="Arial"/>
          <w:i/>
          <w:iCs/>
          <w:color w:val="595959"/>
          <w:sz w:val="18"/>
          <w:szCs w:val="18"/>
        </w:rPr>
        <w:t xml:space="preserve">Type: Mandatory (statute).  Status: Active.</w:t>
      </w:r>
      <w:r>
        <w:rPr>
          <w:rFonts w:ascii="Arial" w:cs="Arial" w:eastAsia="Arial" w:hAnsi="Arial"/>
          <w:i/>
          <w:iCs/>
          <w:color w:val="595959"/>
          <w:sz w:val="18"/>
          <w:szCs w:val="18"/>
        </w:rPr>
        <w:t xml:space="preserve">  Overlap: Overlaps Reg YY company-run stress test and the SOX/FDICIA controls cycles.</w:t>
      </w:r>
      <w:r>
        <w:rPr>
          <w:rFonts w:ascii="Arial" w:cs="Arial" w:eastAsia="Arial" w:hAnsi="Arial"/>
          <w:i/>
          <w:iCs/>
          <w:color w:val="1F6B3B"/>
          <w:sz w:val="18"/>
          <w:szCs w:val="18"/>
        </w:rPr>
        <w:t xml:space="preserve">  Reform: Align stress-test, CCAR, and SOX cycles; one integrated board review.</w:t>
      </w:r>
    </w:p>
    <w:p>
      <w:pPr>
        <w:keepNext/>
        <w:spacing w:after="20" w:before="110"/>
      </w:pPr>
      <w:r>
        <w:rPr>
          <w:rFonts w:ascii="Arial" w:cs="Arial" w:eastAsia="Arial" w:hAnsi="Arial"/>
          <w:b/>
          <w:bCs/>
          <w:color w:val="1F3864"/>
          <w:sz w:val="21"/>
          <w:szCs w:val="21"/>
        </w:rPr>
        <w:t xml:space="preserve">CAP-02  —  Full board or designated committee  ·  BHC</w:t>
      </w:r>
      <w:r>
        <w:rPr>
          <w:sz w:val="2"/>
          <w:szCs w:val="2"/>
        </w:rPr>
        <w:t xml:space="preserve"/>
      </w:r>
    </w:p>
    <w:p>
      <w:pPr>
        <w:spacing w:after="30"/>
      </w:pPr>
      <w:r>
        <w:rPr>
          <w:rFonts w:ascii="Arial" w:cs="Arial" w:eastAsia="Arial" w:hAnsi="Arial"/>
          <w:sz w:val="21"/>
          <w:szCs w:val="21"/>
        </w:rPr>
        <w:t xml:space="preserve">Board or a designated committee must, at least annually and before submission, review the robustness of the capital-adequacy process, ensure deficiencies are remedied, and approve the capital plan.</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Capital plan rule, 12 CFR 225.8 (Reg Y), 12 CFR 225.8(e)(1)(iii).  </w:t>
      </w:r>
      <w:r>
        <w:rPr>
          <w:rFonts w:ascii="Arial" w:cs="Arial" w:eastAsia="Arial" w:hAnsi="Arial"/>
          <w:i/>
          <w:iCs/>
          <w:color w:val="595959"/>
          <w:sz w:val="18"/>
          <w:szCs w:val="18"/>
        </w:rPr>
        <w:t xml:space="preserve">Type: Mandatory.  Status: Active (SCB calculation frozen until 2027).</w:t>
      </w:r>
      <w:r>
        <w:rPr>
          <w:rFonts w:ascii="Arial" w:cs="Arial" w:eastAsia="Arial" w:hAnsi="Arial"/>
          <w:i/>
          <w:iCs/>
          <w:color w:val="595959"/>
          <w:sz w:val="18"/>
          <w:szCs w:val="18"/>
        </w:rPr>
        <w:t xml:space="preserve">  Overlap: Elaborated by SR 15-18 (expectation): quarterly briefings, capital-policy review.</w:t>
      </w:r>
      <w:r>
        <w:rPr>
          <w:rFonts w:ascii="Arial" w:cs="Arial" w:eastAsia="Arial" w:hAnsi="Arial"/>
          <w:i/>
          <w:iCs/>
          <w:color w:val="1F6B3B"/>
          <w:sz w:val="18"/>
          <w:szCs w:val="18"/>
        </w:rPr>
        <w:t xml:space="preserve">  Reform: Separate board capital-action decisions from technical methodology reporting (push methodology to management).</w:t>
      </w:r>
    </w:p>
    <w:p>
      <w:pPr>
        <w:keepNext/>
        <w:spacing w:after="20" w:before="110"/>
      </w:pPr>
      <w:r>
        <w:rPr>
          <w:rFonts w:ascii="Arial" w:cs="Arial" w:eastAsia="Arial" w:hAnsi="Arial"/>
          <w:b/>
          <w:bCs/>
          <w:color w:val="1F3864"/>
          <w:sz w:val="21"/>
          <w:szCs w:val="21"/>
        </w:rPr>
        <w:t xml:space="preserve">CAP-03  —  Full board or designated committee  ·  BHC</w:t>
      </w:r>
      <w:r>
        <w:rPr>
          <w:sz w:val="2"/>
          <w:szCs w:val="2"/>
        </w:rPr>
        <w:t xml:space="preserve"/>
      </w:r>
    </w:p>
    <w:p>
      <w:pPr>
        <w:spacing w:after="30"/>
      </w:pPr>
      <w:r>
        <w:rPr>
          <w:rFonts w:ascii="Arial" w:cs="Arial" w:eastAsia="Arial" w:hAnsi="Arial"/>
          <w:sz w:val="21"/>
          <w:szCs w:val="21"/>
        </w:rPr>
        <w:t xml:space="preserve">The capital plan must contain a board-approved capital policy.</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Capital plan rule, 12 CFR 225.8 (Reg Y), 12 CFR 225.8(d).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Capital-policy approval also stated in SR 15-18 (expectation).</w:t>
      </w:r>
      <w:r>
        <w:rPr>
          <w:rFonts w:ascii="Arial" w:cs="Arial" w:eastAsia="Arial" w:hAnsi="Arial"/>
          <w:i/>
          <w:iCs/>
          <w:color w:val="1F6B3B"/>
          <w:sz w:val="18"/>
          <w:szCs w:val="18"/>
        </w:rPr>
        <w:t xml:space="preserve">  Reform: One board-approved capital policy satisfies rule and guidance.</w:t>
      </w:r>
    </w:p>
    <w:p>
      <w:pPr>
        <w:keepNext/>
        <w:spacing w:after="20" w:before="110"/>
      </w:pPr>
      <w:r>
        <w:rPr>
          <w:rFonts w:ascii="Arial" w:cs="Arial" w:eastAsia="Arial" w:hAnsi="Arial"/>
          <w:b/>
          <w:bCs/>
          <w:color w:val="1F3864"/>
          <w:sz w:val="21"/>
          <w:szCs w:val="21"/>
        </w:rPr>
        <w:t xml:space="preserve">CAP-04  —  Full board  ·  BHC</w:t>
      </w:r>
      <w:r>
        <w:rPr>
          <w:sz w:val="2"/>
          <w:szCs w:val="2"/>
        </w:rPr>
        <w:t xml:space="preserve"/>
      </w:r>
    </w:p>
    <w:p>
      <w:pPr>
        <w:spacing w:after="30"/>
      </w:pPr>
      <w:r>
        <w:rPr>
          <w:rFonts w:ascii="Arial" w:cs="Arial" w:eastAsia="Arial" w:hAnsi="Arial"/>
          <w:sz w:val="21"/>
          <w:szCs w:val="21"/>
        </w:rPr>
        <w:t xml:space="preserve">Board (and senior management) oversee the company-run stress-testing processes and results.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F, 12 CFR 252.54.  </w:t>
      </w:r>
      <w:r>
        <w:rPr>
          <w:rFonts w:ascii="Arial" w:cs="Arial" w:eastAsia="Arial" w:hAnsi="Arial"/>
          <w:i/>
          <w:iCs/>
          <w:color w:val="595959"/>
          <w:sz w:val="18"/>
          <w:szCs w:val="18"/>
        </w:rPr>
        <w:t xml:space="preserve">Type: Mandatory.  Status: Active (stress-test transparency reforms pending).</w:t>
      </w:r>
      <w:r>
        <w:rPr>
          <w:rFonts w:ascii="Arial" w:cs="Arial" w:eastAsia="Arial" w:hAnsi="Arial"/>
          <w:i/>
          <w:iCs/>
          <w:color w:val="595959"/>
          <w:sz w:val="18"/>
          <w:szCs w:val="18"/>
        </w:rPr>
        <w:t xml:space="preserve">  Overlap: Overlaps 165(i) and capital-plan governance.</w:t>
      </w:r>
      <w:r>
        <w:rPr>
          <w:rFonts w:ascii="Arial" w:cs="Arial" w:eastAsia="Arial" w:hAnsi="Arial"/>
          <w:i/>
          <w:iCs/>
          <w:color w:val="1F6B3B"/>
          <w:sz w:val="18"/>
          <w:szCs w:val="18"/>
        </w:rPr>
        <w:t xml:space="preserve">  Reform: Consolidate stress-test governance into the capital-plan board cycle.</w:t>
      </w:r>
    </w:p>
    <w:p>
      <w:pPr>
        <w:keepNext/>
        <w:spacing w:after="20" w:before="110"/>
      </w:pPr>
      <w:r>
        <w:rPr>
          <w:rFonts w:ascii="Arial" w:cs="Arial" w:eastAsia="Arial" w:hAnsi="Arial"/>
          <w:b/>
          <w:bCs/>
          <w:color w:val="1F3864"/>
          <w:sz w:val="21"/>
          <w:szCs w:val="21"/>
        </w:rPr>
        <w:t xml:space="preserve">CAP-05  —  Full board  ·  BHC</w:t>
      </w:r>
      <w:r>
        <w:rPr>
          <w:sz w:val="2"/>
          <w:szCs w:val="2"/>
        </w:rPr>
        <w:t xml:space="preserve"/>
      </w:r>
    </w:p>
    <w:p>
      <w:pPr>
        <w:spacing w:after="30"/>
      </w:pPr>
      <w:r>
        <w:rPr>
          <w:rFonts w:ascii="Arial" w:cs="Arial" w:eastAsia="Arial" w:hAnsi="Arial"/>
          <w:sz w:val="21"/>
          <w:szCs w:val="21"/>
        </w:rPr>
        <w:t xml:space="preserve">Board (firm) must ensure submission of the data required for the Federal Reserve's supervisory stress tests.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E, 12 CFR 252.44.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FR Y-14 documentation overlaps capital-plan and model-risk records.</w:t>
      </w:r>
      <w:r>
        <w:rPr>
          <w:rFonts w:ascii="Arial" w:cs="Arial" w:eastAsia="Arial" w:hAnsi="Arial"/>
          <w:i/>
          <w:iCs/>
          <w:color w:val="1F6B3B"/>
          <w:sz w:val="18"/>
          <w:szCs w:val="18"/>
        </w:rPr>
        <w:t xml:space="preserve">  Reform: FR Y-14 documentation-reduction proposal (2025) trims supporting workpapers.</w:t>
      </w:r>
    </w:p>
    <w:p>
      <w:pPr>
        <w:pStyle w:val="Heading2"/>
      </w:pPr>
      <w:r>
        <w:t xml:space="preserve">3. Liquidity risk management</w:t>
      </w:r>
    </w:p>
    <w:p>
      <w:pPr>
        <w:keepNext/>
        <w:spacing w:after="20" w:before="110"/>
      </w:pPr>
      <w:r>
        <w:rPr>
          <w:rFonts w:ascii="Arial" w:cs="Arial" w:eastAsia="Arial" w:hAnsi="Arial"/>
          <w:b/>
          <w:bCs/>
          <w:color w:val="1F3864"/>
          <w:sz w:val="21"/>
          <w:szCs w:val="21"/>
        </w:rPr>
        <w:t xml:space="preserve">LIQ-01  —  Full board  ·  BHC</w:t>
      </w:r>
      <w:r>
        <w:rPr>
          <w:sz w:val="2"/>
          <w:szCs w:val="2"/>
        </w:rPr>
        <w:t xml:space="preserve"/>
      </w:r>
    </w:p>
    <w:p>
      <w:pPr>
        <w:spacing w:after="30"/>
      </w:pPr>
      <w:r>
        <w:rPr>
          <w:rFonts w:ascii="Arial" w:cs="Arial" w:eastAsia="Arial" w:hAnsi="Arial"/>
          <w:sz w:val="21"/>
          <w:szCs w:val="21"/>
        </w:rPr>
        <w:t xml:space="preserve">Board must approve the firm's liquidity risk tolerance at least annually.</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252.34(a)(1).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Overlaps SR 10-6 (expectation) board ownership of liquidity risk and OCC liquidity expectations.</w:t>
      </w:r>
      <w:r>
        <w:rPr>
          <w:rFonts w:ascii="Arial" w:cs="Arial" w:eastAsia="Arial" w:hAnsi="Arial"/>
          <w:i/>
          <w:iCs/>
          <w:color w:val="1F6B3B"/>
          <w:sz w:val="18"/>
          <w:szCs w:val="18"/>
        </w:rPr>
        <w:t xml:space="preserve">  Reform: One board liquidity-risk-tolerance approval satisfies rule and guidance.</w:t>
      </w:r>
    </w:p>
    <w:p>
      <w:pPr>
        <w:keepNext/>
        <w:spacing w:after="20" w:before="110"/>
      </w:pPr>
      <w:r>
        <w:rPr>
          <w:rFonts w:ascii="Arial" w:cs="Arial" w:eastAsia="Arial" w:hAnsi="Arial"/>
          <w:b/>
          <w:bCs/>
          <w:color w:val="1F3864"/>
          <w:sz w:val="21"/>
          <w:szCs w:val="21"/>
        </w:rPr>
        <w:t xml:space="preserve">LIQ-02  —  Full board  ·  BHC</w:t>
      </w:r>
      <w:r>
        <w:rPr>
          <w:sz w:val="2"/>
          <w:szCs w:val="2"/>
        </w:rPr>
        <w:t xml:space="preserve"/>
      </w:r>
    </w:p>
    <w:p>
      <w:pPr>
        <w:spacing w:after="30"/>
      </w:pPr>
      <w:r>
        <w:rPr>
          <w:rFonts w:ascii="Arial" w:cs="Arial" w:eastAsia="Arial" w:hAnsi="Arial"/>
          <w:sz w:val="21"/>
          <w:szCs w:val="21"/>
        </w:rPr>
        <w:t xml:space="preserve">Board must review, at least semi-annually, whether the firm is operating within its established liquidity risk tolerance.</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252.34(a)(1)(ii).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Cadence overlaps quarterly liquidity reporting under SR 10-6.</w:t>
      </w:r>
      <w:r>
        <w:rPr>
          <w:rFonts w:ascii="Arial" w:cs="Arial" w:eastAsia="Arial" w:hAnsi="Arial"/>
          <w:i/>
          <w:iCs/>
          <w:color w:val="1F6B3B"/>
          <w:sz w:val="18"/>
          <w:szCs w:val="18"/>
        </w:rPr>
        <w:t xml:space="preserve">  Reform: Single liquidity reporting/review cadence.</w:t>
      </w:r>
    </w:p>
    <w:p>
      <w:pPr>
        <w:keepNext/>
        <w:spacing w:after="20" w:before="110"/>
      </w:pPr>
      <w:r>
        <w:rPr>
          <w:rFonts w:ascii="Arial" w:cs="Arial" w:eastAsia="Arial" w:hAnsi="Arial"/>
          <w:b/>
          <w:bCs/>
          <w:color w:val="1F3864"/>
          <w:sz w:val="21"/>
          <w:szCs w:val="21"/>
        </w:rPr>
        <w:t xml:space="preserve">LIQ-03  —  Full board  ·  BHC</w:t>
      </w:r>
      <w:r>
        <w:rPr>
          <w:sz w:val="2"/>
          <w:szCs w:val="2"/>
        </w:rPr>
        <w:t xml:space="preserve"/>
      </w:r>
    </w:p>
    <w:p>
      <w:pPr>
        <w:spacing w:after="30"/>
      </w:pPr>
      <w:r>
        <w:rPr>
          <w:rFonts w:ascii="Arial" w:cs="Arial" w:eastAsia="Arial" w:hAnsi="Arial"/>
          <w:sz w:val="21"/>
          <w:szCs w:val="21"/>
        </w:rPr>
        <w:t xml:space="preserve">Board must approve and periodically review the liquidity risk-management strategies, policies, and procedures.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252.34(a)(2).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Substantially the same duty stated in SR 10-6 (expectation) at two levels.</w:t>
      </w:r>
      <w:r>
        <w:rPr>
          <w:rFonts w:ascii="Arial" w:cs="Arial" w:eastAsia="Arial" w:hAnsi="Arial"/>
          <w:i/>
          <w:iCs/>
          <w:color w:val="1F6B3B"/>
          <w:sz w:val="18"/>
          <w:szCs w:val="18"/>
        </w:rPr>
        <w:t xml:space="preserve">  Reform: Consolidate; cross-reference rather than restate.</w:t>
      </w:r>
    </w:p>
    <w:p>
      <w:pPr>
        <w:keepNext/>
        <w:spacing w:after="20" w:before="110"/>
      </w:pPr>
      <w:r>
        <w:rPr>
          <w:rFonts w:ascii="Arial" w:cs="Arial" w:eastAsia="Arial" w:hAnsi="Arial"/>
          <w:b/>
          <w:bCs/>
          <w:color w:val="1F3864"/>
          <w:sz w:val="21"/>
          <w:szCs w:val="21"/>
        </w:rPr>
        <w:t xml:space="preserve">LIQ-04  —  Risk committee  ·  BHC</w:t>
      </w:r>
      <w:r>
        <w:rPr>
          <w:sz w:val="2"/>
          <w:szCs w:val="2"/>
        </w:rPr>
        <w:t xml:space="preserve"/>
      </w:r>
    </w:p>
    <w:p>
      <w:pPr>
        <w:spacing w:after="30"/>
      </w:pPr>
      <w:r>
        <w:rPr>
          <w:rFonts w:ascii="Arial" w:cs="Arial" w:eastAsia="Arial" w:hAnsi="Arial"/>
          <w:sz w:val="21"/>
          <w:szCs w:val="21"/>
        </w:rPr>
        <w:t xml:space="preserve">Risk committee (or a designated subcommittee of board members) must approve the contingency funding plan at least annually and approve material revisions before implementation.</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D, 12 CFR 252.34(b).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One of three related resilience plans (CFP / recovery / resolution) on different cycles.</w:t>
      </w:r>
      <w:r>
        <w:rPr>
          <w:rFonts w:ascii="Arial" w:cs="Arial" w:eastAsia="Arial" w:hAnsi="Arial"/>
          <w:i/>
          <w:iCs/>
          <w:color w:val="1F6B3B"/>
          <w:sz w:val="18"/>
          <w:szCs w:val="18"/>
        </w:rPr>
        <w:t xml:space="preserve">  Reform: Integrate CFP, recovery, and resolution into a single 'resilience planning' board cycle.</w:t>
      </w:r>
    </w:p>
    <w:p>
      <w:pPr>
        <w:pStyle w:val="Heading2"/>
      </w:pPr>
      <w:r>
        <w:t xml:space="preserve">4. Resolution &amp; recovery planning</w:t>
      </w:r>
    </w:p>
    <w:p>
      <w:pPr>
        <w:keepNext/>
        <w:spacing w:after="20" w:before="110"/>
      </w:pPr>
      <w:r>
        <w:rPr>
          <w:rFonts w:ascii="Arial" w:cs="Arial" w:eastAsia="Arial" w:hAnsi="Arial"/>
          <w:b/>
          <w:bCs/>
          <w:color w:val="1F3864"/>
          <w:sz w:val="21"/>
          <w:szCs w:val="21"/>
        </w:rPr>
        <w:t xml:space="preserve">RES-01  —  Full board  ·  BHC</w:t>
      </w:r>
      <w:r>
        <w:rPr>
          <w:sz w:val="2"/>
          <w:szCs w:val="2"/>
        </w:rPr>
        <w:t xml:space="preserve"/>
      </w:r>
    </w:p>
    <w:p>
      <w:pPr>
        <w:spacing w:after="30"/>
      </w:pPr>
      <w:r>
        <w:rPr>
          <w:rFonts w:ascii="Arial" w:cs="Arial" w:eastAsia="Arial" w:hAnsi="Arial"/>
          <w:sz w:val="21"/>
          <w:szCs w:val="21"/>
        </w:rPr>
        <w:t xml:space="preserve">The Title I resolution plan (living will) must be approved by the board of directors and noted in the minutes before submission. Non-delegable; applies to a document that can exceed 100,000 pages.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section 165(d); Regulation QQ, 12 CFR part 243, 12 U.S.C. 5365(d); 12 CFR 243.4(f).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Parallel to the FDIC IDI resolution plan (RES-02): two minuted approvals, two cadences, two rules, overlapping content.</w:t>
      </w:r>
      <w:r>
        <w:rPr>
          <w:rFonts w:ascii="Arial" w:cs="Arial" w:eastAsia="Arial" w:hAnsi="Arial"/>
          <w:i/>
          <w:iCs/>
          <w:color w:val="1F6B3B"/>
          <w:sz w:val="18"/>
          <w:szCs w:val="18"/>
        </w:rPr>
        <w:t xml:space="preserve">  Reform: Permit a single board approval covering both the Title I and IDI submissions, with an IDI annex.</w:t>
      </w:r>
    </w:p>
    <w:p>
      <w:pPr>
        <w:keepNext/>
        <w:spacing w:after="20" w:before="110"/>
      </w:pPr>
      <w:r>
        <w:rPr>
          <w:rFonts w:ascii="Arial" w:cs="Arial" w:eastAsia="Arial" w:hAnsi="Arial"/>
          <w:b/>
          <w:bCs/>
          <w:color w:val="1F3864"/>
          <w:sz w:val="21"/>
          <w:szCs w:val="21"/>
        </w:rPr>
        <w:t xml:space="preserve">RES-02  —  Full board or appropriate committee  ·  IDI</w:t>
      </w:r>
      <w:r>
        <w:rPr>
          <w:sz w:val="2"/>
          <w:szCs w:val="2"/>
        </w:rPr>
        <w:t xml:space="preserve"/>
      </w:r>
    </w:p>
    <w:p>
      <w:pPr>
        <w:spacing w:after="30"/>
      </w:pPr>
      <w:r>
        <w:rPr>
          <w:rFonts w:ascii="Arial" w:cs="Arial" w:eastAsia="Arial" w:hAnsi="Arial"/>
          <w:sz w:val="21"/>
          <w:szCs w:val="21"/>
        </w:rPr>
        <w:t xml:space="preserve">The covered IDI's resolution submission must include board/committee escalation procedures and (per the rule's governance content) board approval of the submission.</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IDI Resolution Plan Rule, 12 CFR 360.10, 12 CFR 360.10(c)(5).  </w:t>
      </w:r>
      <w:r>
        <w:rPr>
          <w:rFonts w:ascii="Arial" w:cs="Arial" w:eastAsia="Arial" w:hAnsi="Arial"/>
          <w:i/>
          <w:iCs/>
          <w:color w:val="595959"/>
          <w:sz w:val="18"/>
          <w:szCs w:val="18"/>
        </w:rPr>
        <w:t xml:space="preserve">Type: Mandatory.  Status: Active but in flux (FDIC modified approach 2025; rule changes proposed for 2026; GSIB CIDIs file interim supplements through 2026).</w:t>
      </w:r>
      <w:r>
        <w:rPr>
          <w:rFonts w:ascii="Arial" w:cs="Arial" w:eastAsia="Arial" w:hAnsi="Arial"/>
          <w:i/>
          <w:iCs/>
          <w:color w:val="595959"/>
          <w:sz w:val="18"/>
          <w:szCs w:val="18"/>
        </w:rPr>
        <w:t xml:space="preserve">  Overlap: Direct duplication with the parent Title I plan for GSIB-owned banks.</w:t>
      </w:r>
      <w:r>
        <w:rPr>
          <w:rFonts w:ascii="Arial" w:cs="Arial" w:eastAsia="Arial" w:hAnsi="Arial"/>
          <w:i/>
          <w:iCs/>
          <w:color w:val="1F6B3B"/>
          <w:sz w:val="18"/>
          <w:szCs w:val="18"/>
        </w:rPr>
        <w:t xml:space="preserve">  Reform: Shared resolution submission; one board approval.</w:t>
      </w:r>
    </w:p>
    <w:p>
      <w:pPr>
        <w:keepNext/>
        <w:spacing w:after="20" w:before="110"/>
      </w:pPr>
      <w:r>
        <w:rPr>
          <w:rFonts w:ascii="Arial" w:cs="Arial" w:eastAsia="Arial" w:hAnsi="Arial"/>
          <w:b/>
          <w:bCs/>
          <w:color w:val="1F3864"/>
          <w:sz w:val="21"/>
          <w:szCs w:val="21"/>
        </w:rPr>
        <w:t xml:space="preserve">RES-03  —  n/a (rescinded)  ·  IDI</w:t>
      </w:r>
      <w:r>
        <w:rPr>
          <w:rFonts w:ascii="Arial" w:cs="Arial" w:eastAsia="Arial" w:hAnsi="Arial"/>
          <w:b/>
          <w:bCs/>
          <w:color w:val="C00000"/>
          <w:sz w:val="18"/>
          <w:szCs w:val="18"/>
        </w:rPr>
        <w:t xml:space="preserve">  [RESCINDED]</w:t>
      </w:r>
    </w:p>
    <w:p>
      <w:pPr>
        <w:spacing w:after="30"/>
      </w:pPr>
      <w:r>
        <w:rPr>
          <w:rFonts w:ascii="Arial" w:cs="Arial" w:eastAsia="Arial" w:hAnsi="Arial"/>
          <w:sz w:val="21"/>
          <w:szCs w:val="21"/>
        </w:rPr>
        <w:t xml:space="preserve">RESCINDED: the board's duty to review and approve the IDI recovery plan at least annually no longer exists. The only remaining recovery-planning hook is the holding-company SR 14-8 oversight expectation (catalogued in the supervisory-expectations inventory).</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Recovery Planning Guidelines, 12 CFR part 30, App. E, App. E (rescinded).  </w:t>
      </w:r>
      <w:r>
        <w:rPr>
          <w:rFonts w:ascii="Arial" w:cs="Arial" w:eastAsia="Arial" w:hAnsi="Arial"/>
          <w:i/>
          <w:iCs/>
          <w:color w:val="595959"/>
          <w:sz w:val="18"/>
          <w:szCs w:val="18"/>
        </w:rPr>
        <w:t xml:space="preserve">Type: Rescinded.  Status: Rescinded effective May 1, 2026 (91 FR doc. 2026-06281; OCC Bulletin 2026-10).</w:t>
      </w:r>
      <w:r>
        <w:rPr>
          <w:rFonts w:ascii="Arial" w:cs="Arial" w:eastAsia="Arial" w:hAnsi="Arial"/>
          <w:i/>
          <w:iCs/>
          <w:color w:val="595959"/>
          <w:sz w:val="18"/>
          <w:szCs w:val="18"/>
        </w:rPr>
        <w:t xml:space="preserve">  Overlap: Was duplicative of SR 14-8 until rescission; now parent-only and guidance-only.</w:t>
      </w:r>
      <w:r>
        <w:rPr>
          <w:rFonts w:ascii="Arial" w:cs="Arial" w:eastAsia="Arial" w:hAnsi="Arial"/>
          <w:i/>
          <w:iCs/>
          <w:color w:val="1F6B3B"/>
          <w:sz w:val="18"/>
          <w:szCs w:val="18"/>
        </w:rPr>
        <w:t xml:space="preserve">  Reform: Already removed; confirm no residual re-imposition via the Heightened Standards.</w:t>
      </w:r>
    </w:p>
    <w:p>
      <w:pPr>
        <w:pStyle w:val="Heading2"/>
      </w:pPr>
      <w:r>
        <w:t xml:space="preserve">5. TLAC, single-counterparty &amp; GSIB structural limits</w:t>
      </w:r>
    </w:p>
    <w:p>
      <w:pPr>
        <w:keepNext/>
        <w:spacing w:after="20" w:before="110"/>
      </w:pPr>
      <w:r>
        <w:rPr>
          <w:rFonts w:ascii="Arial" w:cs="Arial" w:eastAsia="Arial" w:hAnsi="Arial"/>
          <w:b/>
          <w:bCs/>
          <w:color w:val="1F3864"/>
          <w:sz w:val="21"/>
          <w:szCs w:val="21"/>
        </w:rPr>
        <w:t xml:space="preserve">TLA-01  —  Full board  ·  BHC</w:t>
      </w:r>
      <w:r>
        <w:rPr>
          <w:sz w:val="2"/>
          <w:szCs w:val="2"/>
        </w:rPr>
        <w:t xml:space="preserve"/>
      </w:r>
    </w:p>
    <w:p>
      <w:pPr>
        <w:spacing w:after="30"/>
      </w:pPr>
      <w:r>
        <w:rPr>
          <w:rFonts w:ascii="Arial" w:cs="Arial" w:eastAsia="Arial" w:hAnsi="Arial"/>
          <w:sz w:val="21"/>
          <w:szCs w:val="21"/>
        </w:rPr>
        <w:t xml:space="preserve">Board oversight of compliance with external long-term debt and total loss-absorbing capacity (TLAC) requirements.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G, 12 CFR 252.62-252.63.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Oversight folds into capital/resolution governance.</w:t>
      </w:r>
      <w:r>
        <w:rPr>
          <w:rFonts w:ascii="Arial" w:cs="Arial" w:eastAsia="Arial" w:hAnsi="Arial"/>
          <w:i/>
          <w:iCs/>
          <w:color w:val="1F6B3B"/>
          <w:sz w:val="18"/>
          <w:szCs w:val="18"/>
        </w:rPr>
        <w:t xml:space="preserve">  Reform: Fold into the capital-plan board cycle.</w:t>
      </w:r>
    </w:p>
    <w:p>
      <w:pPr>
        <w:keepNext/>
        <w:spacing w:after="20" w:before="110"/>
      </w:pPr>
      <w:r>
        <w:rPr>
          <w:rFonts w:ascii="Arial" w:cs="Arial" w:eastAsia="Arial" w:hAnsi="Arial"/>
          <w:b/>
          <w:bCs/>
          <w:color w:val="1F3864"/>
          <w:sz w:val="21"/>
          <w:szCs w:val="21"/>
        </w:rPr>
        <w:t xml:space="preserve">TLA-02  —  Full board  ·  BHC</w:t>
      </w:r>
      <w:r>
        <w:rPr>
          <w:sz w:val="2"/>
          <w:szCs w:val="2"/>
        </w:rPr>
        <w:t xml:space="preserve"/>
      </w:r>
    </w:p>
    <w:p>
      <w:pPr>
        <w:spacing w:after="30"/>
      </w:pPr>
      <w:r>
        <w:rPr>
          <w:rFonts w:ascii="Arial" w:cs="Arial" w:eastAsia="Arial" w:hAnsi="Arial"/>
          <w:sz w:val="21"/>
          <w:szCs w:val="21"/>
        </w:rPr>
        <w:t xml:space="preserve">Board oversight of compliance with the clean-holding-company restrictions on the corporate practices of U.S. GSIBs.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G, 12 CFR 252.64.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Minimal; GSIB-specific.</w:t>
      </w:r>
      <w:r>
        <w:rPr>
          <w:rFonts w:ascii="Arial" w:cs="Arial" w:eastAsia="Arial" w:hAnsi="Arial"/>
          <w:i/>
          <w:iCs/>
          <w:color w:val="1F6B3B"/>
          <w:sz w:val="18"/>
          <w:szCs w:val="18"/>
        </w:rPr>
        <w:t xml:space="preserve">  Reform: Retain; distinct structural purpose.</w:t>
      </w:r>
    </w:p>
    <w:p>
      <w:pPr>
        <w:keepNext/>
        <w:spacing w:after="20" w:before="110"/>
      </w:pPr>
      <w:r>
        <w:rPr>
          <w:rFonts w:ascii="Arial" w:cs="Arial" w:eastAsia="Arial" w:hAnsi="Arial"/>
          <w:b/>
          <w:bCs/>
          <w:color w:val="1F3864"/>
          <w:sz w:val="21"/>
          <w:szCs w:val="21"/>
        </w:rPr>
        <w:t xml:space="preserve">TLA-03  —  Full board  ·  BHC</w:t>
      </w:r>
      <w:r>
        <w:rPr>
          <w:sz w:val="2"/>
          <w:szCs w:val="2"/>
        </w:rPr>
        <w:t xml:space="preserve"/>
      </w:r>
    </w:p>
    <w:p>
      <w:pPr>
        <w:spacing w:after="30"/>
      </w:pPr>
      <w:r>
        <w:rPr>
          <w:rFonts w:ascii="Arial" w:cs="Arial" w:eastAsia="Arial" w:hAnsi="Arial"/>
          <w:sz w:val="21"/>
          <w:szCs w:val="21"/>
        </w:rPr>
        <w:t xml:space="preserve">Board oversight of compliance with single-counterparty credit-exposure limits.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YY, 12 CFR part 252 subpart H, 12 CFR 252.70-252.78.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Oversight overlaps enterprise risk-limit monitoring.</w:t>
      </w:r>
      <w:r>
        <w:rPr>
          <w:rFonts w:ascii="Arial" w:cs="Arial" w:eastAsia="Arial" w:hAnsi="Arial"/>
          <w:i/>
          <w:iCs/>
          <w:color w:val="1F6B3B"/>
          <w:sz w:val="18"/>
          <w:szCs w:val="18"/>
        </w:rPr>
        <w:t xml:space="preserve">  Reform: Cover within risk-committee limit monitoring.</w:t>
      </w:r>
    </w:p>
    <w:p>
      <w:pPr>
        <w:pStyle w:val="Heading2"/>
      </w:pPr>
      <w:r>
        <w:t xml:space="preserve">6. Volcker &amp; trading-compliance attestation</w:t>
      </w:r>
    </w:p>
    <w:p>
      <w:pPr>
        <w:keepNext/>
        <w:spacing w:after="20" w:before="110"/>
      </w:pPr>
      <w:r>
        <w:rPr>
          <w:rFonts w:ascii="Arial" w:cs="Arial" w:eastAsia="Arial" w:hAnsi="Arial"/>
          <w:b/>
          <w:bCs/>
          <w:color w:val="1F3864"/>
          <w:sz w:val="21"/>
          <w:szCs w:val="21"/>
        </w:rPr>
        <w:t xml:space="preserve">VOL-01  —  Full board  ·  BHC &amp; IDI</w:t>
      </w:r>
      <w:r>
        <w:rPr>
          <w:sz w:val="2"/>
          <w:szCs w:val="2"/>
        </w:rPr>
        <w:t xml:space="preserve"/>
      </w:r>
    </w:p>
    <w:p>
      <w:pPr>
        <w:spacing w:after="30"/>
      </w:pPr>
      <w:r>
        <w:rPr>
          <w:rFonts w:ascii="Arial" w:cs="Arial" w:eastAsia="Arial" w:hAnsi="Arial"/>
          <w:sz w:val="21"/>
          <w:szCs w:val="21"/>
        </w:rPr>
        <w:t xml:space="preserve">Board must approve and oversee a Volcker Rule compliance program; for the largest firms the CEO must attest annually to the program's effectiveness.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Holding Company Act section 13 (Volcker Rule), 12 U.S.C. 1851; 12 CFR part 248 (subpart D).  </w:t>
      </w:r>
      <w:r>
        <w:rPr>
          <w:rFonts w:ascii="Arial" w:cs="Arial" w:eastAsia="Arial" w:hAnsi="Arial"/>
          <w:i/>
          <w:iCs/>
          <w:color w:val="595959"/>
          <w:sz w:val="18"/>
          <w:szCs w:val="18"/>
        </w:rPr>
        <w:t xml:space="preserve">Type: Mandatory.  Status: Active (2019/2020 amendments simplified the regime).</w:t>
      </w:r>
      <w:r>
        <w:rPr>
          <w:rFonts w:ascii="Arial" w:cs="Arial" w:eastAsia="Arial" w:hAnsi="Arial"/>
          <w:i/>
          <w:iCs/>
          <w:color w:val="595959"/>
          <w:sz w:val="18"/>
          <w:szCs w:val="18"/>
        </w:rPr>
        <w:t xml:space="preserve">  Overlap: CEO attestation overlaps the resolution-plan and SOX certification cycles.</w:t>
      </w:r>
      <w:r>
        <w:rPr>
          <w:rFonts w:ascii="Arial" w:cs="Arial" w:eastAsia="Arial" w:hAnsi="Arial"/>
          <w:i/>
          <w:iCs/>
          <w:color w:val="1F6B3B"/>
          <w:sz w:val="18"/>
          <w:szCs w:val="18"/>
        </w:rPr>
        <w:t xml:space="preserve">  Reform: Align the Volcker attestation cycle with other annual board certifications.</w:t>
      </w:r>
    </w:p>
    <w:p>
      <w:pPr>
        <w:pStyle w:val="Heading2"/>
      </w:pPr>
      <w:r>
        <w:t xml:space="preserve">7. Board composition &amp; independence</w:t>
      </w:r>
    </w:p>
    <w:p>
      <w:pPr>
        <w:keepNext/>
        <w:spacing w:after="20" w:before="110"/>
      </w:pPr>
      <w:r>
        <w:rPr>
          <w:rFonts w:ascii="Arial" w:cs="Arial" w:eastAsia="Arial" w:hAnsi="Arial"/>
          <w:b/>
          <w:bCs/>
          <w:color w:val="1F3864"/>
          <w:sz w:val="21"/>
          <w:szCs w:val="21"/>
        </w:rPr>
        <w:t xml:space="preserve">IND-01  —  Full board (composition)  ·  IDI</w:t>
      </w:r>
      <w:r>
        <w:rPr>
          <w:sz w:val="2"/>
          <w:szCs w:val="2"/>
        </w:rPr>
        <w:t xml:space="preserve"/>
      </w:r>
    </w:p>
    <w:p>
      <w:pPr>
        <w:spacing w:after="30"/>
      </w:pPr>
      <w:r>
        <w:rPr>
          <w:rFonts w:ascii="Arial" w:cs="Arial" w:eastAsia="Arial" w:hAnsi="Arial"/>
          <w:sz w:val="21"/>
          <w:szCs w:val="21"/>
        </w:rPr>
        <w:t xml:space="preserve">At least two members of the board must be independent (3-year no-officer/employee test; no immediate-family executive tie; independent under a national exchange's listing standards).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III.D.  </w:t>
      </w:r>
      <w:r>
        <w:rPr>
          <w:rFonts w:ascii="Arial" w:cs="Arial" w:eastAsia="Arial" w:hAnsi="Arial"/>
          <w:i/>
          <w:iCs/>
          <w:color w:val="595959"/>
          <w:sz w:val="18"/>
          <w:szCs w:val="18"/>
        </w:rPr>
        <w:t xml:space="preserve">Type: Mandatory (OCC).  Status: Active.</w:t>
      </w:r>
      <w:r>
        <w:rPr>
          <w:rFonts w:ascii="Arial" w:cs="Arial" w:eastAsia="Arial" w:hAnsi="Arial"/>
          <w:i/>
          <w:iCs/>
          <w:color w:val="7030A0"/>
          <w:sz w:val="18"/>
          <w:szCs w:val="18"/>
        </w:rPr>
        <w:t xml:space="preserve">  Director distinction: At least two independent directors (quantified).</w:t>
      </w:r>
      <w:r>
        <w:rPr>
          <w:rFonts w:ascii="Arial" w:cs="Arial" w:eastAsia="Arial" w:hAnsi="Arial"/>
          <w:i/>
          <w:iCs/>
          <w:color w:val="595959"/>
          <w:sz w:val="18"/>
          <w:szCs w:val="18"/>
        </w:rPr>
        <w:t xml:space="preserve">  Overlap: One of six non-uniform independence tests.</w:t>
      </w:r>
      <w:r>
        <w:rPr>
          <w:rFonts w:ascii="Arial" w:cs="Arial" w:eastAsia="Arial" w:hAnsi="Arial"/>
          <w:i/>
          <w:iCs/>
          <w:color w:val="1F6B3B"/>
          <w:sz w:val="18"/>
          <w:szCs w:val="18"/>
        </w:rPr>
        <w:t xml:space="preserve">  Reform: Single prudential independence definition.</w:t>
      </w:r>
    </w:p>
    <w:p>
      <w:pPr>
        <w:keepNext/>
        <w:spacing w:after="20" w:before="110"/>
      </w:pPr>
      <w:r>
        <w:rPr>
          <w:rFonts w:ascii="Arial" w:cs="Arial" w:eastAsia="Arial" w:hAnsi="Arial"/>
          <w:b/>
          <w:bCs/>
          <w:color w:val="1F3864"/>
          <w:sz w:val="21"/>
          <w:szCs w:val="21"/>
        </w:rPr>
        <w:t xml:space="preserve">IND-02  —  Full board  ·  IDI</w:t>
      </w:r>
      <w:r>
        <w:rPr>
          <w:sz w:val="2"/>
          <w:szCs w:val="2"/>
        </w:rPr>
        <w:t xml:space="preserve"/>
      </w:r>
    </w:p>
    <w:p>
      <w:pPr>
        <w:spacing w:after="30"/>
      </w:pPr>
      <w:r>
        <w:rPr>
          <w:rFonts w:ascii="Arial" w:cs="Arial" w:eastAsia="Arial" w:hAnsi="Arial"/>
          <w:sz w:val="21"/>
          <w:szCs w:val="21"/>
        </w:rPr>
        <w:t xml:space="preserve">Board must establish and adhere to a formal, ongoing training program for all directors.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III.E.  </w:t>
      </w:r>
      <w:r>
        <w:rPr>
          <w:rFonts w:ascii="Arial" w:cs="Arial" w:eastAsia="Arial" w:hAnsi="Arial"/>
          <w:i/>
          <w:iCs/>
          <w:color w:val="595959"/>
          <w:sz w:val="18"/>
          <w:szCs w:val="18"/>
        </w:rPr>
        <w:t xml:space="preserve">Type: Mandatory (OCC).  Status: Active.</w:t>
      </w:r>
      <w:r>
        <w:rPr>
          <w:rFonts w:ascii="Arial" w:cs="Arial" w:eastAsia="Arial" w:hAnsi="Arial"/>
          <w:i/>
          <w:iCs/>
          <w:color w:val="7030A0"/>
          <w:sz w:val="18"/>
          <w:szCs w:val="18"/>
        </w:rPr>
        <w:t xml:space="preserve">  Director distinction: All directors.</w:t>
      </w:r>
      <w:r>
        <w:rPr>
          <w:rFonts w:ascii="Arial" w:cs="Arial" w:eastAsia="Arial" w:hAnsi="Arial"/>
          <w:i/>
          <w:iCs/>
          <w:color w:val="595959"/>
          <w:sz w:val="18"/>
          <w:szCs w:val="18"/>
        </w:rPr>
        <w:t xml:space="preserve">  Overlap: Overlaps SR 21-3 / Director's Book training expectations and BSA training.</w:t>
      </w:r>
      <w:r>
        <w:rPr>
          <w:rFonts w:ascii="Arial" w:cs="Arial" w:eastAsia="Arial" w:hAnsi="Arial"/>
          <w:i/>
          <w:iCs/>
          <w:color w:val="1F6B3B"/>
          <w:sz w:val="18"/>
          <w:szCs w:val="18"/>
        </w:rPr>
        <w:t xml:space="preserve">  Reform: One consolidated director-training program.</w:t>
      </w:r>
    </w:p>
    <w:p>
      <w:pPr>
        <w:keepNext/>
        <w:spacing w:after="20" w:before="110"/>
      </w:pPr>
      <w:r>
        <w:rPr>
          <w:rFonts w:ascii="Arial" w:cs="Arial" w:eastAsia="Arial" w:hAnsi="Arial"/>
          <w:b/>
          <w:bCs/>
          <w:color w:val="1F3864"/>
          <w:sz w:val="21"/>
          <w:szCs w:val="21"/>
        </w:rPr>
        <w:t xml:space="preserve">IND-03  —  Full board  ·  IDI</w:t>
      </w:r>
      <w:r>
        <w:rPr>
          <w:sz w:val="2"/>
          <w:szCs w:val="2"/>
        </w:rPr>
        <w:t xml:space="preserve"/>
      </w:r>
    </w:p>
    <w:p>
      <w:pPr>
        <w:spacing w:after="30"/>
      </w:pPr>
      <w:r>
        <w:rPr>
          <w:rFonts w:ascii="Arial" w:cs="Arial" w:eastAsia="Arial" w:hAnsi="Arial"/>
          <w:sz w:val="21"/>
          <w:szCs w:val="21"/>
        </w:rPr>
        <w:t xml:space="preserve">Board must conduct an annual self-assessment of its effectiveness in meeting the Section III standards.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III.F.  </w:t>
      </w:r>
      <w:r>
        <w:rPr>
          <w:rFonts w:ascii="Arial" w:cs="Arial" w:eastAsia="Arial" w:hAnsi="Arial"/>
          <w:i/>
          <w:iCs/>
          <w:color w:val="595959"/>
          <w:sz w:val="18"/>
          <w:szCs w:val="18"/>
        </w:rPr>
        <w:t xml:space="preserve">Type: Mandatory (OCC).  Status: Active.</w:t>
      </w:r>
      <w:r>
        <w:rPr>
          <w:rFonts w:ascii="Arial" w:cs="Arial" w:eastAsia="Arial" w:hAnsi="Arial"/>
          <w:i/>
          <w:iCs/>
          <w:color w:val="595959"/>
          <w:sz w:val="18"/>
          <w:szCs w:val="18"/>
        </w:rPr>
        <w:t xml:space="preserve">  Overlap: Overlaps SR 21-3 board self-assessment (expectation).</w:t>
      </w:r>
      <w:r>
        <w:rPr>
          <w:rFonts w:ascii="Arial" w:cs="Arial" w:eastAsia="Arial" w:hAnsi="Arial"/>
          <w:i/>
          <w:iCs/>
          <w:color w:val="1F6B3B"/>
          <w:sz w:val="18"/>
          <w:szCs w:val="18"/>
        </w:rPr>
        <w:t xml:space="preserve">  Reform: Single interagency board-effectiveness self-assessment.</w:t>
      </w:r>
    </w:p>
    <w:p>
      <w:pPr>
        <w:keepNext/>
        <w:spacing w:after="20" w:before="110"/>
      </w:pPr>
      <w:r>
        <w:rPr>
          <w:rFonts w:ascii="Arial" w:cs="Arial" w:eastAsia="Arial" w:hAnsi="Arial"/>
          <w:b/>
          <w:bCs/>
          <w:color w:val="1F3864"/>
          <w:sz w:val="21"/>
          <w:szCs w:val="21"/>
        </w:rPr>
        <w:t xml:space="preserve">IND-04  —  Each director  ·  IDI</w:t>
      </w:r>
      <w:r>
        <w:rPr>
          <w:sz w:val="2"/>
          <w:szCs w:val="2"/>
        </w:rPr>
        <w:t xml:space="preserve"/>
      </w:r>
    </w:p>
    <w:p>
      <w:pPr>
        <w:spacing w:after="30"/>
      </w:pPr>
      <w:r>
        <w:rPr>
          <w:rFonts w:ascii="Arial" w:cs="Arial" w:eastAsia="Arial" w:hAnsi="Arial"/>
          <w:sz w:val="21"/>
          <w:szCs w:val="21"/>
        </w:rPr>
        <w:t xml:space="preserve">Each member of the board should exercise sound, independent judgment.</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 III.C.  </w:t>
      </w:r>
      <w:r>
        <w:rPr>
          <w:rFonts w:ascii="Arial" w:cs="Arial" w:eastAsia="Arial" w:hAnsi="Arial"/>
          <w:i/>
          <w:iCs/>
          <w:color w:val="595959"/>
          <w:sz w:val="18"/>
          <w:szCs w:val="18"/>
        </w:rPr>
        <w:t xml:space="preserve">Type: Mandatory (OCC).  Status: Active.</w:t>
      </w:r>
      <w:r>
        <w:rPr>
          <w:rFonts w:ascii="Arial" w:cs="Arial" w:eastAsia="Arial" w:hAnsi="Arial"/>
          <w:i/>
          <w:iCs/>
          <w:color w:val="7030A0"/>
          <w:sz w:val="18"/>
          <w:szCs w:val="18"/>
        </w:rPr>
        <w:t xml:space="preserve">  Director distinction: Applies to each director.</w:t>
      </w:r>
      <w:r>
        <w:rPr>
          <w:rFonts w:ascii="Arial" w:cs="Arial" w:eastAsia="Arial" w:hAnsi="Arial"/>
          <w:i/>
          <w:iCs/>
          <w:color w:val="595959"/>
          <w:sz w:val="18"/>
          <w:szCs w:val="18"/>
        </w:rPr>
        <w:t xml:space="preserve">  Overlap: Conceptual overlap with FDIC director-duty standards.</w:t>
      </w:r>
      <w:r>
        <w:rPr>
          <w:rFonts w:ascii="Arial" w:cs="Arial" w:eastAsia="Arial" w:hAnsi="Arial"/>
          <w:i/>
          <w:iCs/>
          <w:color w:val="1F6B3B"/>
          <w:sz w:val="18"/>
          <w:szCs w:val="18"/>
        </w:rPr>
        <w:t xml:space="preserve">  Reform: Retain as principle.</w:t>
      </w:r>
    </w:p>
    <w:p>
      <w:pPr>
        <w:keepNext/>
        <w:spacing w:after="20" w:before="110"/>
      </w:pPr>
      <w:r>
        <w:rPr>
          <w:rFonts w:ascii="Arial" w:cs="Arial" w:eastAsia="Arial" w:hAnsi="Arial"/>
          <w:b/>
          <w:bCs/>
          <w:color w:val="1F3864"/>
          <w:sz w:val="21"/>
          <w:szCs w:val="21"/>
        </w:rPr>
        <w:t xml:space="preserve">IND-05  —  Audit committee  ·  Issuer</w:t>
      </w:r>
      <w:r>
        <w:rPr>
          <w:sz w:val="2"/>
          <w:szCs w:val="2"/>
        </w:rPr>
        <w:t xml:space="preserve"/>
      </w:r>
    </w:p>
    <w:p>
      <w:pPr>
        <w:spacing w:after="30"/>
      </w:pPr>
      <w:r>
        <w:rPr>
          <w:rFonts w:ascii="Arial" w:cs="Arial" w:eastAsia="Arial" w:hAnsi="Arial"/>
          <w:sz w:val="21"/>
          <w:szCs w:val="21"/>
        </w:rPr>
        <w:t xml:space="preserve">All audit-committee members must be independent, and the committee must have authority to engage independent counsel and advisers.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Sarbanes-Oxley section 301, SOX sec. 301; 17 CFR 240.10A-3.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All audit-committee members independent (SEC test).</w:t>
      </w:r>
      <w:r>
        <w:rPr>
          <w:rFonts w:ascii="Arial" w:cs="Arial" w:eastAsia="Arial" w:hAnsi="Arial"/>
          <w:i/>
          <w:iCs/>
          <w:color w:val="595959"/>
          <w:sz w:val="18"/>
          <w:szCs w:val="18"/>
        </w:rPr>
        <w:t xml:space="preserve">  Overlap: Different independence test than FDICIA 'outside director' and Reg YY chair test.</w:t>
      </w:r>
      <w:r>
        <w:rPr>
          <w:rFonts w:ascii="Arial" w:cs="Arial" w:eastAsia="Arial" w:hAnsi="Arial"/>
          <w:i/>
          <w:iCs/>
          <w:color w:val="1F6B3B"/>
          <w:sz w:val="18"/>
          <w:szCs w:val="18"/>
        </w:rPr>
        <w:t xml:space="preserve">  Reform: Harmonize independence definitions across SEC and banking agencies.</w:t>
      </w:r>
    </w:p>
    <w:p>
      <w:pPr>
        <w:keepNext/>
        <w:spacing w:after="20" w:before="110"/>
      </w:pPr>
      <w:r>
        <w:rPr>
          <w:rFonts w:ascii="Arial" w:cs="Arial" w:eastAsia="Arial" w:hAnsi="Arial"/>
          <w:b/>
          <w:bCs/>
          <w:color w:val="1F3864"/>
          <w:sz w:val="21"/>
          <w:szCs w:val="21"/>
        </w:rPr>
        <w:t xml:space="preserve">IND-06  —  Full board; compensation committee; nominating committee  ·  Issuer</w:t>
      </w:r>
      <w:r>
        <w:rPr>
          <w:sz w:val="2"/>
          <w:szCs w:val="2"/>
        </w:rPr>
        <w:t xml:space="preserve"/>
      </w:r>
    </w:p>
    <w:p>
      <w:pPr>
        <w:spacing w:after="30"/>
      </w:pPr>
      <w:r>
        <w:rPr>
          <w:rFonts w:ascii="Arial" w:cs="Arial" w:eastAsia="Arial" w:hAnsi="Arial"/>
          <w:sz w:val="21"/>
          <w:szCs w:val="21"/>
        </w:rPr>
        <w:t xml:space="preserve">Majority-independent board; compensation committee fully independent; director nominations by independent directors or a nominating committee.</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NYSE / Nasdaq listing standards, NYSE Listed Company Manual 303A; Nasdaq Rule 5600.  </w:t>
      </w:r>
      <w:r>
        <w:rPr>
          <w:rFonts w:ascii="Arial" w:cs="Arial" w:eastAsia="Arial" w:hAnsi="Arial"/>
          <w:i/>
          <w:iCs/>
          <w:color w:val="595959"/>
          <w:sz w:val="18"/>
          <w:szCs w:val="18"/>
        </w:rPr>
        <w:t xml:space="preserve">Type: Mandatory (listing).  Status: Active.</w:t>
      </w:r>
      <w:r>
        <w:rPr>
          <w:rFonts w:ascii="Arial" w:cs="Arial" w:eastAsia="Arial" w:hAnsi="Arial"/>
          <w:i/>
          <w:iCs/>
          <w:color w:val="7030A0"/>
          <w:sz w:val="18"/>
          <w:szCs w:val="18"/>
        </w:rPr>
        <w:t xml:space="preserve">  Director distinction: Independence required (exchange test).</w:t>
      </w:r>
      <w:r>
        <w:rPr>
          <w:rFonts w:ascii="Arial" w:cs="Arial" w:eastAsia="Arial" w:hAnsi="Arial"/>
          <w:i/>
          <w:iCs/>
          <w:color w:val="595959"/>
          <w:sz w:val="18"/>
          <w:szCs w:val="18"/>
        </w:rPr>
        <w:t xml:space="preserve">  Overlap: Overlaps SOX, DFA 952, and banking independence tests.</w:t>
      </w:r>
      <w:r>
        <w:rPr>
          <w:rFonts w:ascii="Arial" w:cs="Arial" w:eastAsia="Arial" w:hAnsi="Arial"/>
          <w:i/>
          <w:iCs/>
          <w:color w:val="1F6B3B"/>
          <w:sz w:val="18"/>
          <w:szCs w:val="18"/>
        </w:rPr>
        <w:t xml:space="preserve">  Reform: Cross-reference exchange independence to satisfy prudential committee-independence expectations.</w:t>
      </w:r>
    </w:p>
    <w:p>
      <w:pPr>
        <w:keepNext/>
        <w:spacing w:after="20" w:before="110"/>
      </w:pPr>
      <w:r>
        <w:rPr>
          <w:rFonts w:ascii="Arial" w:cs="Arial" w:eastAsia="Arial" w:hAnsi="Arial"/>
          <w:b/>
          <w:bCs/>
          <w:color w:val="1F3864"/>
          <w:sz w:val="21"/>
          <w:szCs w:val="21"/>
        </w:rPr>
        <w:t xml:space="preserve">IND-07  —  Compensation committee  ·  Issuer</w:t>
      </w:r>
      <w:r>
        <w:rPr>
          <w:sz w:val="2"/>
          <w:szCs w:val="2"/>
        </w:rPr>
        <w:t xml:space="preserve"/>
      </w:r>
    </w:p>
    <w:p>
      <w:pPr>
        <w:spacing w:after="30"/>
      </w:pPr>
      <w:r>
        <w:rPr>
          <w:rFonts w:ascii="Arial" w:cs="Arial" w:eastAsia="Arial" w:hAnsi="Arial"/>
          <w:sz w:val="21"/>
          <w:szCs w:val="21"/>
        </w:rPr>
        <w:t xml:space="preserve">Compensation committee must be independent and may retain independent compensation advisers (with independence factors considered).</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section 952, 15 U.S.C. 78j-3; 17 CFR 240.10C-1.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Independent committee.</w:t>
      </w:r>
      <w:r>
        <w:rPr>
          <w:rFonts w:ascii="Arial" w:cs="Arial" w:eastAsia="Arial" w:hAnsi="Arial"/>
          <w:i/>
          <w:iCs/>
          <w:color w:val="595959"/>
          <w:sz w:val="18"/>
          <w:szCs w:val="18"/>
        </w:rPr>
        <w:t xml:space="preserve">  Overlap: Overlaps NYSE/Nasdaq comp-committee independence and incentive-comp governance.</w:t>
      </w:r>
      <w:r>
        <w:rPr>
          <w:rFonts w:ascii="Arial" w:cs="Arial" w:eastAsia="Arial" w:hAnsi="Arial"/>
          <w:i/>
          <w:iCs/>
          <w:color w:val="1F6B3B"/>
          <w:sz w:val="18"/>
          <w:szCs w:val="18"/>
        </w:rPr>
        <w:t xml:space="preserve">  Reform: Treat 952 independence as satisfying prudential comp-governance independence.</w:t>
      </w:r>
    </w:p>
    <w:p>
      <w:pPr>
        <w:keepNext/>
        <w:spacing w:after="20" w:before="110"/>
      </w:pPr>
      <w:r>
        <w:rPr>
          <w:rFonts w:ascii="Arial" w:cs="Arial" w:eastAsia="Arial" w:hAnsi="Arial"/>
          <w:b/>
          <w:bCs/>
          <w:color w:val="1F3864"/>
          <w:sz w:val="21"/>
          <w:szCs w:val="21"/>
        </w:rPr>
        <w:t xml:space="preserve">IND-08  —  Full board / audit &amp; comp committees  ·  Issuer</w:t>
      </w:r>
      <w:r>
        <w:rPr>
          <w:sz w:val="2"/>
          <w:szCs w:val="2"/>
        </w:rPr>
        <w:t xml:space="preserve"/>
      </w:r>
    </w:p>
    <w:p>
      <w:pPr>
        <w:spacing w:after="30"/>
      </w:pPr>
      <w:r>
        <w:rPr>
          <w:rFonts w:ascii="Arial" w:cs="Arial" w:eastAsia="Arial" w:hAnsi="Arial"/>
          <w:sz w:val="21"/>
          <w:szCs w:val="21"/>
        </w:rPr>
        <w:t xml:space="preserve">Board must disclose audit-committee financial expert(s) and compensation-committee independence and processes.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SEC Regulation S-K Item 407, 17 CFR 229.407.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Financial-expert / independence disclosure.</w:t>
      </w:r>
      <w:r>
        <w:rPr>
          <w:rFonts w:ascii="Arial" w:cs="Arial" w:eastAsia="Arial" w:hAnsi="Arial"/>
          <w:i/>
          <w:iCs/>
          <w:color w:val="595959"/>
          <w:sz w:val="18"/>
          <w:szCs w:val="18"/>
        </w:rPr>
        <w:t xml:space="preserve">  Overlap: Disclosure layer over the substantive independence rules.</w:t>
      </w:r>
      <w:r>
        <w:rPr>
          <w:rFonts w:ascii="Arial" w:cs="Arial" w:eastAsia="Arial" w:hAnsi="Arial"/>
          <w:i/>
          <w:iCs/>
          <w:color w:val="1F6B3B"/>
          <w:sz w:val="18"/>
          <w:szCs w:val="18"/>
        </w:rPr>
        <w:t xml:space="preserve">  Reform: Retain; disclosure-only.</w:t>
      </w:r>
    </w:p>
    <w:p>
      <w:pPr>
        <w:keepNext/>
        <w:spacing w:after="20" w:before="110"/>
      </w:pPr>
      <w:r>
        <w:rPr>
          <w:rFonts w:ascii="Arial" w:cs="Arial" w:eastAsia="Arial" w:hAnsi="Arial"/>
          <w:b/>
          <w:bCs/>
          <w:color w:val="1F3864"/>
          <w:sz w:val="21"/>
          <w:szCs w:val="21"/>
        </w:rPr>
        <w:t xml:space="preserve">IND-09  —  Full board / audit committee  ·  Issuer</w:t>
      </w:r>
      <w:r>
        <w:rPr>
          <w:sz w:val="2"/>
          <w:szCs w:val="2"/>
        </w:rPr>
        <w:t xml:space="preserve"/>
      </w:r>
    </w:p>
    <w:p>
      <w:pPr>
        <w:spacing w:after="30"/>
      </w:pPr>
      <w:r>
        <w:rPr>
          <w:rFonts w:ascii="Arial" w:cs="Arial" w:eastAsia="Arial" w:hAnsi="Arial"/>
          <w:sz w:val="21"/>
          <w:szCs w:val="21"/>
        </w:rPr>
        <w:t xml:space="preserve">Board must review and approve (and disclose) related-party transactions.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SEC Regulation S-K Item 404, 17 CFR 229.404.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Overlaps Reg O insider-lending and Reg W affiliate-transaction controls.</w:t>
      </w:r>
      <w:r>
        <w:rPr>
          <w:rFonts w:ascii="Arial" w:cs="Arial" w:eastAsia="Arial" w:hAnsi="Arial"/>
          <w:i/>
          <w:iCs/>
          <w:color w:val="1F6B3B"/>
          <w:sz w:val="18"/>
          <w:szCs w:val="18"/>
        </w:rPr>
        <w:t xml:space="preserve">  Reform: Coordinate related-party review with Reg O/W board processes.</w:t>
      </w:r>
    </w:p>
    <w:p>
      <w:pPr>
        <w:pStyle w:val="Heading2"/>
      </w:pPr>
      <w:r>
        <w:t xml:space="preserve">8. Audit committee &amp; internal control over financial reporting</w:t>
      </w:r>
    </w:p>
    <w:p>
      <w:pPr>
        <w:keepNext/>
        <w:spacing w:after="20" w:before="110"/>
      </w:pPr>
      <w:r>
        <w:rPr>
          <w:rFonts w:ascii="Arial" w:cs="Arial" w:eastAsia="Arial" w:hAnsi="Arial"/>
          <w:b/>
          <w:bCs/>
          <w:color w:val="1F3864"/>
          <w:sz w:val="21"/>
          <w:szCs w:val="21"/>
        </w:rPr>
        <w:t xml:space="preserve">AUD-01  —  Audit committee  ·  IDI</w:t>
      </w:r>
      <w:r>
        <w:rPr>
          <w:sz w:val="2"/>
          <w:szCs w:val="2"/>
        </w:rPr>
        <w:t xml:space="preserve"/>
      </w:r>
    </w:p>
    <w:p>
      <w:pPr>
        <w:spacing w:after="30"/>
      </w:pPr>
      <w:r>
        <w:rPr>
          <w:rFonts w:ascii="Arial" w:cs="Arial" w:eastAsia="Arial" w:hAnsi="Arial"/>
          <w:sz w:val="21"/>
          <w:szCs w:val="21"/>
        </w:rPr>
        <w:t xml:space="preserve">Insured institution must establish an audit committee composed entirely of outside directors.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FDICIA section 36; FDIC Part 363, 12 U.S.C. 1831m; 12 CFR 363.5.  </w:t>
      </w:r>
      <w:r>
        <w:rPr>
          <w:rFonts w:ascii="Arial" w:cs="Arial" w:eastAsia="Arial" w:hAnsi="Arial"/>
          <w:i/>
          <w:iCs/>
          <w:color w:val="595959"/>
          <w:sz w:val="18"/>
          <w:szCs w:val="18"/>
        </w:rPr>
        <w:t xml:space="preserve">Type: Mandatory.  Status: Active (2023-25 threshold updates; GSIBs fully covered).</w:t>
      </w:r>
      <w:r>
        <w:rPr>
          <w:rFonts w:ascii="Arial" w:cs="Arial" w:eastAsia="Arial" w:hAnsi="Arial"/>
          <w:i/>
          <w:iCs/>
          <w:color w:val="7030A0"/>
          <w:sz w:val="18"/>
          <w:szCs w:val="18"/>
        </w:rPr>
        <w:t xml:space="preserve">  Director distinction: Entirely outside directors (FDICIA test).</w:t>
      </w:r>
      <w:r>
        <w:rPr>
          <w:rFonts w:ascii="Arial" w:cs="Arial" w:eastAsia="Arial" w:hAnsi="Arial"/>
          <w:i/>
          <w:iCs/>
          <w:color w:val="595959"/>
          <w:sz w:val="18"/>
          <w:szCs w:val="18"/>
        </w:rPr>
        <w:t xml:space="preserve">  Overlap: Parallel to SOX 301 audit-committee independence at the issuer level.</w:t>
      </w:r>
      <w:r>
        <w:rPr>
          <w:rFonts w:ascii="Arial" w:cs="Arial" w:eastAsia="Arial" w:hAnsi="Arial"/>
          <w:i/>
          <w:iCs/>
          <w:color w:val="1F6B3B"/>
          <w:sz w:val="18"/>
          <w:szCs w:val="18"/>
        </w:rPr>
        <w:t xml:space="preserve">  Reform: Permit one audit committee to satisfy both regimes with reconciled independence.</w:t>
      </w:r>
    </w:p>
    <w:p>
      <w:pPr>
        <w:keepNext/>
        <w:spacing w:after="20" w:before="110"/>
      </w:pPr>
      <w:r>
        <w:rPr>
          <w:rFonts w:ascii="Arial" w:cs="Arial" w:eastAsia="Arial" w:hAnsi="Arial"/>
          <w:b/>
          <w:bCs/>
          <w:color w:val="1F3864"/>
          <w:sz w:val="21"/>
          <w:szCs w:val="21"/>
        </w:rPr>
        <w:t xml:space="preserve">AUD-02  —  Full board  ·  IDI</w:t>
      </w:r>
      <w:r>
        <w:rPr>
          <w:sz w:val="2"/>
          <w:szCs w:val="2"/>
        </w:rPr>
        <w:t xml:space="preserve"/>
      </w:r>
    </w:p>
    <w:p>
      <w:pPr>
        <w:spacing w:after="30"/>
      </w:pPr>
      <w:r>
        <w:rPr>
          <w:rFonts w:ascii="Arial" w:cs="Arial" w:eastAsia="Arial" w:hAnsi="Arial"/>
          <w:sz w:val="21"/>
          <w:szCs w:val="21"/>
        </w:rPr>
        <w:t xml:space="preserve">Board must annually determine whether audit-committee members are independent of management.</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Part 363, 12 CFR 363.5(a); App. A.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Independence determination.</w:t>
      </w:r>
      <w:r>
        <w:rPr>
          <w:rFonts w:ascii="Arial" w:cs="Arial" w:eastAsia="Arial" w:hAnsi="Arial"/>
          <w:i/>
          <w:iCs/>
          <w:color w:val="595959"/>
          <w:sz w:val="18"/>
          <w:szCs w:val="18"/>
        </w:rPr>
        <w:t xml:space="preserve">  Overlap: Duplicates SEC/exchange annual independence determinations.</w:t>
      </w:r>
      <w:r>
        <w:rPr>
          <w:rFonts w:ascii="Arial" w:cs="Arial" w:eastAsia="Arial" w:hAnsi="Arial"/>
          <w:i/>
          <w:iCs/>
          <w:color w:val="1F6B3B"/>
          <w:sz w:val="18"/>
          <w:szCs w:val="18"/>
        </w:rPr>
        <w:t xml:space="preserve">  Reform: Single annual independence determination across regimes.</w:t>
      </w:r>
    </w:p>
    <w:p>
      <w:pPr>
        <w:keepNext/>
        <w:spacing w:after="20" w:before="110"/>
      </w:pPr>
      <w:r>
        <w:rPr>
          <w:rFonts w:ascii="Arial" w:cs="Arial" w:eastAsia="Arial" w:hAnsi="Arial"/>
          <w:b/>
          <w:bCs/>
          <w:color w:val="1F3864"/>
          <w:sz w:val="21"/>
          <w:szCs w:val="21"/>
        </w:rPr>
        <w:t xml:space="preserve">AUD-03  —  Audit committee  ·  IDI</w:t>
      </w:r>
      <w:r>
        <w:rPr>
          <w:sz w:val="2"/>
          <w:szCs w:val="2"/>
        </w:rPr>
        <w:t xml:space="preserve"/>
      </w:r>
    </w:p>
    <w:p>
      <w:pPr>
        <w:spacing w:after="30"/>
      </w:pPr>
      <w:r>
        <w:rPr>
          <w:rFonts w:ascii="Arial" w:cs="Arial" w:eastAsia="Arial" w:hAnsi="Arial"/>
          <w:sz w:val="21"/>
          <w:szCs w:val="21"/>
        </w:rPr>
        <w:t xml:space="preserve">For large IDIs, the audit committee must include members with banking/financial-management expertise, have access to its own outside counsel, and exclude large customers.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Part 363, 12 CFR 363.5(b)(2); App. A Guidelines 32, 34.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Expertise + outside-counsel access; exclude large customers.</w:t>
      </w:r>
      <w:r>
        <w:rPr>
          <w:rFonts w:ascii="Arial" w:cs="Arial" w:eastAsia="Arial" w:hAnsi="Arial"/>
          <w:i/>
          <w:iCs/>
          <w:color w:val="595959"/>
          <w:sz w:val="18"/>
          <w:szCs w:val="18"/>
        </w:rPr>
        <w:t xml:space="preserve">  Overlap: Overlaps SOX financial-expert and OCC App. D audit standards.</w:t>
      </w:r>
      <w:r>
        <w:rPr>
          <w:rFonts w:ascii="Arial" w:cs="Arial" w:eastAsia="Arial" w:hAnsi="Arial"/>
          <w:i/>
          <w:iCs/>
          <w:color w:val="1F6B3B"/>
          <w:sz w:val="18"/>
          <w:szCs w:val="18"/>
        </w:rPr>
        <w:t xml:space="preserve">  Reform: Reconcile expertise/independence criteria.</w:t>
      </w:r>
    </w:p>
    <w:p>
      <w:pPr>
        <w:keepNext/>
        <w:spacing w:after="20" w:before="110"/>
      </w:pPr>
      <w:r>
        <w:rPr>
          <w:rFonts w:ascii="Arial" w:cs="Arial" w:eastAsia="Arial" w:hAnsi="Arial"/>
          <w:b/>
          <w:bCs/>
          <w:color w:val="1F3864"/>
          <w:sz w:val="21"/>
          <w:szCs w:val="21"/>
        </w:rPr>
        <w:t xml:space="preserve">AUD-04  —  Audit committee  ·  IDI</w:t>
      </w:r>
      <w:r>
        <w:rPr>
          <w:sz w:val="2"/>
          <w:szCs w:val="2"/>
        </w:rPr>
        <w:t xml:space="preserve"/>
      </w:r>
    </w:p>
    <w:p>
      <w:pPr>
        <w:spacing w:after="30"/>
      </w:pPr>
      <w:r>
        <w:rPr>
          <w:rFonts w:ascii="Arial" w:cs="Arial" w:eastAsia="Arial" w:hAnsi="Arial"/>
          <w:sz w:val="21"/>
          <w:szCs w:val="21"/>
        </w:rPr>
        <w:t xml:space="preserve">Audit committee oversees the independent public accountant and reviews management's ICFR assessment and compliance with designated safety-and-soundness laws.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FDIC Part 363, 12 CFR 363.2, 363.3; App. A Guideline 31.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Operates on a calendar-year cycle parallel to (and unaligned with) the SOX fiscal-year ICFR cycle.</w:t>
      </w:r>
      <w:r>
        <w:rPr>
          <w:rFonts w:ascii="Arial" w:cs="Arial" w:eastAsia="Arial" w:hAnsi="Arial"/>
          <w:i/>
          <w:iCs/>
          <w:color w:val="1F6B3B"/>
          <w:sz w:val="18"/>
          <w:szCs w:val="18"/>
        </w:rPr>
        <w:t xml:space="preserve">  Reform: Permit SOX 404 program to satisfy FDICIA ICFR by cross-reference.</w:t>
      </w:r>
    </w:p>
    <w:p>
      <w:pPr>
        <w:keepNext/>
        <w:spacing w:after="20" w:before="110"/>
      </w:pPr>
      <w:r>
        <w:rPr>
          <w:rFonts w:ascii="Arial" w:cs="Arial" w:eastAsia="Arial" w:hAnsi="Arial"/>
          <w:b/>
          <w:bCs/>
          <w:color w:val="1F3864"/>
          <w:sz w:val="21"/>
          <w:szCs w:val="21"/>
        </w:rPr>
        <w:t xml:space="preserve">AUD-05  —  Audit committee  ·  Issuer</w:t>
      </w:r>
      <w:r>
        <w:rPr>
          <w:sz w:val="2"/>
          <w:szCs w:val="2"/>
        </w:rPr>
        <w:t xml:space="preserve"/>
      </w:r>
    </w:p>
    <w:p>
      <w:pPr>
        <w:spacing w:after="30"/>
      </w:pPr>
      <w:r>
        <w:rPr>
          <w:rFonts w:ascii="Arial" w:cs="Arial" w:eastAsia="Arial" w:hAnsi="Arial"/>
          <w:sz w:val="21"/>
          <w:szCs w:val="21"/>
        </w:rPr>
        <w:t xml:space="preserve">Management's annual assessment of internal control over financial reporting, overseen by the board through the audit committee.</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Sarbanes-Oxley section 404(a), SOX sec. 404(a); 15 U.S.C. 7262(a).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Parallel to FDICIA Part 363 ICFR on a different cycle.</w:t>
      </w:r>
      <w:r>
        <w:rPr>
          <w:rFonts w:ascii="Arial" w:cs="Arial" w:eastAsia="Arial" w:hAnsi="Arial"/>
          <w:i/>
          <w:iCs/>
          <w:color w:val="1F6B3B"/>
          <w:sz w:val="18"/>
          <w:szCs w:val="18"/>
        </w:rPr>
        <w:t xml:space="preserve">  Reform: Cross-reference to eliminate duplicate assessment.</w:t>
      </w:r>
    </w:p>
    <w:p>
      <w:pPr>
        <w:keepNext/>
        <w:spacing w:after="20" w:before="110"/>
      </w:pPr>
      <w:r>
        <w:rPr>
          <w:rFonts w:ascii="Arial" w:cs="Arial" w:eastAsia="Arial" w:hAnsi="Arial"/>
          <w:b/>
          <w:bCs/>
          <w:color w:val="1F3864"/>
          <w:sz w:val="21"/>
          <w:szCs w:val="21"/>
        </w:rPr>
        <w:t xml:space="preserve">AUD-06  —  Audit committee  ·  Issuer</w:t>
      </w:r>
      <w:r>
        <w:rPr>
          <w:sz w:val="2"/>
          <w:szCs w:val="2"/>
        </w:rPr>
        <w:t xml:space="preserve"/>
      </w:r>
    </w:p>
    <w:p>
      <w:pPr>
        <w:spacing w:after="30"/>
      </w:pPr>
      <w:r>
        <w:rPr>
          <w:rFonts w:ascii="Arial" w:cs="Arial" w:eastAsia="Arial" w:hAnsi="Arial"/>
          <w:sz w:val="21"/>
          <w:szCs w:val="21"/>
        </w:rPr>
        <w:t xml:space="preserve">External auditor attestation on management's ICFR assessment.</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Sarbanes-Oxley section 404(b), SOX sec. 404(b); 15 U.S.C. 7262(b).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Overlaps FDICIA external-audit requirements.</w:t>
      </w:r>
      <w:r>
        <w:rPr>
          <w:rFonts w:ascii="Arial" w:cs="Arial" w:eastAsia="Arial" w:hAnsi="Arial"/>
          <w:i/>
          <w:iCs/>
          <w:color w:val="1F6B3B"/>
          <w:sz w:val="18"/>
          <w:szCs w:val="18"/>
        </w:rPr>
        <w:t xml:space="preserve">  Reform: Single external-audit attestation satisfies both.</w:t>
      </w:r>
    </w:p>
    <w:p>
      <w:pPr>
        <w:keepNext/>
        <w:spacing w:after="20" w:before="110"/>
      </w:pPr>
      <w:r>
        <w:rPr>
          <w:rFonts w:ascii="Arial" w:cs="Arial" w:eastAsia="Arial" w:hAnsi="Arial"/>
          <w:b/>
          <w:bCs/>
          <w:color w:val="1F3864"/>
          <w:sz w:val="21"/>
          <w:szCs w:val="21"/>
        </w:rPr>
        <w:t xml:space="preserve">AUD-07  —  Audit committee  ·  Issuer</w:t>
      </w:r>
      <w:r>
        <w:rPr>
          <w:sz w:val="2"/>
          <w:szCs w:val="2"/>
        </w:rPr>
        <w:t xml:space="preserve"/>
      </w:r>
    </w:p>
    <w:p>
      <w:pPr>
        <w:spacing w:after="30"/>
      </w:pPr>
      <w:r>
        <w:rPr>
          <w:rFonts w:ascii="Arial" w:cs="Arial" w:eastAsia="Arial" w:hAnsi="Arial"/>
          <w:sz w:val="21"/>
          <w:szCs w:val="21"/>
        </w:rPr>
        <w:t xml:space="preserve">CEO/CFO quarterly certification of financial reports, overseen by the audit committee.</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Sarbanes-Oxley section 302, SOX sec. 302; 17 CFR 240.13a-14.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Adds to the array of periodic management certifications the board oversees.</w:t>
      </w:r>
      <w:r>
        <w:rPr>
          <w:rFonts w:ascii="Arial" w:cs="Arial" w:eastAsia="Arial" w:hAnsi="Arial"/>
          <w:i/>
          <w:iCs/>
          <w:color w:val="1F6B3B"/>
          <w:sz w:val="18"/>
          <w:szCs w:val="18"/>
        </w:rPr>
        <w:t xml:space="preserve">  Reform: Retain; statutory.</w:t>
      </w:r>
    </w:p>
    <w:p>
      <w:pPr>
        <w:keepNext/>
        <w:spacing w:after="20" w:before="110"/>
      </w:pPr>
      <w:r>
        <w:rPr>
          <w:rFonts w:ascii="Arial" w:cs="Arial" w:eastAsia="Arial" w:hAnsi="Arial"/>
          <w:b/>
          <w:bCs/>
          <w:color w:val="1F3864"/>
          <w:sz w:val="21"/>
          <w:szCs w:val="21"/>
        </w:rPr>
        <w:t xml:space="preserve">AUD-08  —  Audit committee  ·  IDI</w:t>
      </w:r>
      <w:r>
        <w:rPr>
          <w:sz w:val="2"/>
          <w:szCs w:val="2"/>
        </w:rPr>
        <w:t xml:space="preserve"/>
      </w:r>
    </w:p>
    <w:p>
      <w:pPr>
        <w:spacing w:after="30"/>
      </w:pPr>
      <w:r>
        <w:rPr>
          <w:rFonts w:ascii="Arial" w:cs="Arial" w:eastAsia="Arial" w:hAnsi="Arial"/>
          <w:sz w:val="21"/>
          <w:szCs w:val="21"/>
        </w:rPr>
        <w:t xml:space="preserve">Audit committee approves the chief audit executive's appointment, removal, and compensation, and the internal-audit charter and plan.</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OCC Heightened Standards, 12 CFR part 30, App. D, App. D, secs. I.E.8(b),(c).  </w:t>
      </w:r>
      <w:r>
        <w:rPr>
          <w:rFonts w:ascii="Arial" w:cs="Arial" w:eastAsia="Arial" w:hAnsi="Arial"/>
          <w:i/>
          <w:iCs/>
          <w:color w:val="595959"/>
          <w:sz w:val="18"/>
          <w:szCs w:val="18"/>
        </w:rPr>
        <w:t xml:space="preserve">Type: Mandatory (OCC).  Status: Active.</w:t>
      </w:r>
      <w:r>
        <w:rPr>
          <w:rFonts w:ascii="Arial" w:cs="Arial" w:eastAsia="Arial" w:hAnsi="Arial"/>
          <w:i/>
          <w:iCs/>
          <w:color w:val="595959"/>
          <w:sz w:val="18"/>
          <w:szCs w:val="18"/>
        </w:rPr>
        <w:t xml:space="preserve">  Overlap: Parallel to SR 13-1 (expectation) CAE/audit-committee duties.</w:t>
      </w:r>
      <w:r>
        <w:rPr>
          <w:rFonts w:ascii="Arial" w:cs="Arial" w:eastAsia="Arial" w:hAnsi="Arial"/>
          <w:i/>
          <w:iCs/>
          <w:color w:val="1F6B3B"/>
          <w:sz w:val="18"/>
          <w:szCs w:val="18"/>
        </w:rPr>
        <w:t xml:space="preserve">  Reform: One CAE-oversight standard across Fed guidance and OCC rule.</w:t>
      </w:r>
    </w:p>
    <w:p>
      <w:pPr>
        <w:pStyle w:val="Heading2"/>
      </w:pPr>
      <w:r>
        <w:t xml:space="preserve">9. Cybersecurity &amp; information security</w:t>
      </w:r>
    </w:p>
    <w:p>
      <w:pPr>
        <w:keepNext/>
        <w:spacing w:after="20" w:before="110"/>
      </w:pPr>
      <w:r>
        <w:rPr>
          <w:rFonts w:ascii="Arial" w:cs="Arial" w:eastAsia="Arial" w:hAnsi="Arial"/>
          <w:b/>
          <w:bCs/>
          <w:color w:val="1F3864"/>
          <w:sz w:val="21"/>
          <w:szCs w:val="21"/>
        </w:rPr>
        <w:t xml:space="preserve">CYB-01  —  Full board or committee  ·  BHC &amp; IDI</w:t>
      </w:r>
      <w:r>
        <w:rPr>
          <w:sz w:val="2"/>
          <w:szCs w:val="2"/>
        </w:rPr>
        <w:t xml:space="preserve"/>
      </w:r>
    </w:p>
    <w:p>
      <w:pPr>
        <w:spacing w:after="30"/>
      </w:pPr>
      <w:r>
        <w:rPr>
          <w:rFonts w:ascii="Arial" w:cs="Arial" w:eastAsia="Arial" w:hAnsi="Arial"/>
          <w:sz w:val="21"/>
          <w:szCs w:val="21"/>
        </w:rPr>
        <w:t xml:space="preserve">Board (or an appropriate committee) must approve the written information-security program and oversee its development, implementation, and maintenance.</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GLBA section 501(b); Interagency Information Security Standards, 12 CFR part 30 App. B; part 208 App. D-2; part 225 App. F; part 364 App. B.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Same program approved at both BHC and IDI levels; the single most clearly duplicative cross-level approval (codified in four parallel appendices).</w:t>
      </w:r>
      <w:r>
        <w:rPr>
          <w:rFonts w:ascii="Arial" w:cs="Arial" w:eastAsia="Arial" w:hAnsi="Arial"/>
          <w:i/>
          <w:iCs/>
          <w:color w:val="1F6B3B"/>
          <w:sz w:val="18"/>
          <w:szCs w:val="18"/>
        </w:rPr>
        <w:t xml:space="preserve">  Reform: One enterprise information-security program approval satisfies all four appendices.</w:t>
      </w:r>
    </w:p>
    <w:p>
      <w:pPr>
        <w:keepNext/>
        <w:spacing w:after="20" w:before="110"/>
      </w:pPr>
      <w:r>
        <w:rPr>
          <w:rFonts w:ascii="Arial" w:cs="Arial" w:eastAsia="Arial" w:hAnsi="Arial"/>
          <w:b/>
          <w:bCs/>
          <w:color w:val="1F3864"/>
          <w:sz w:val="21"/>
          <w:szCs w:val="21"/>
        </w:rPr>
        <w:t xml:space="preserve">CYB-02  —  Full board or committee  ·  BHC &amp; IDI</w:t>
      </w:r>
      <w:r>
        <w:rPr>
          <w:sz w:val="2"/>
          <w:szCs w:val="2"/>
        </w:rPr>
        <w:t xml:space="preserve"/>
      </w:r>
    </w:p>
    <w:p>
      <w:pPr>
        <w:spacing w:after="30"/>
      </w:pPr>
      <w:r>
        <w:rPr>
          <w:rFonts w:ascii="Arial" w:cs="Arial" w:eastAsia="Arial" w:hAnsi="Arial"/>
          <w:sz w:val="21"/>
          <w:szCs w:val="21"/>
        </w:rPr>
        <w:t xml:space="preserve">Board (or committee) must receive a report on the information-security program at least annually.</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Information Security Standards, 12 CFR part 30 App. B, sec. III.F.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Annual report duplicated across appendices and overlaps FFIEC IT expectations.</w:t>
      </w:r>
      <w:r>
        <w:rPr>
          <w:rFonts w:ascii="Arial" w:cs="Arial" w:eastAsia="Arial" w:hAnsi="Arial"/>
          <w:i/>
          <w:iCs/>
          <w:color w:val="1F6B3B"/>
          <w:sz w:val="18"/>
          <w:szCs w:val="18"/>
        </w:rPr>
        <w:t xml:space="preserve">  Reform: Single annual information-security board report.</w:t>
      </w:r>
    </w:p>
    <w:p>
      <w:pPr>
        <w:keepNext/>
        <w:spacing w:after="20" w:before="110"/>
      </w:pPr>
      <w:r>
        <w:rPr>
          <w:rFonts w:ascii="Arial" w:cs="Arial" w:eastAsia="Arial" w:hAnsi="Arial"/>
          <w:b/>
          <w:bCs/>
          <w:color w:val="1F3864"/>
          <w:sz w:val="21"/>
          <w:szCs w:val="21"/>
        </w:rPr>
        <w:t xml:space="preserve">CYB-03  —  Full board  ·  Issuer</w:t>
      </w:r>
      <w:r>
        <w:rPr>
          <w:sz w:val="2"/>
          <w:szCs w:val="2"/>
        </w:rPr>
        <w:t xml:space="preserve"/>
      </w:r>
    </w:p>
    <w:p>
      <w:pPr>
        <w:spacing w:after="30"/>
      </w:pPr>
      <w:r>
        <w:rPr>
          <w:rFonts w:ascii="Arial" w:cs="Arial" w:eastAsia="Arial" w:hAnsi="Arial"/>
          <w:sz w:val="21"/>
          <w:szCs w:val="21"/>
        </w:rPr>
        <w:t xml:space="preserve">Board oversight of cybersecurity risk must be disclosed; material cybersecurity incidents must be disclosed on Form 8-K.</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SEC Cybersecurity Disclosure rules, 17 CFR 229.106 (Reg S-K Item 106); Form 8-K Item 1.05.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Overlaps FFIEC IT and information-security expectations and the incident-notification rule.</w:t>
      </w:r>
      <w:r>
        <w:rPr>
          <w:rFonts w:ascii="Arial" w:cs="Arial" w:eastAsia="Arial" w:hAnsi="Arial"/>
          <w:i/>
          <w:iCs/>
          <w:color w:val="1F6B3B"/>
          <w:sz w:val="18"/>
          <w:szCs w:val="18"/>
        </w:rPr>
        <w:t xml:space="preserve">  Reform: Joint SEC/banking-agency statement that one cyber-oversight framework satisfies disclosure and safety-and-soundness.</w:t>
      </w:r>
    </w:p>
    <w:p>
      <w:pPr>
        <w:keepNext/>
        <w:spacing w:after="20" w:before="110"/>
      </w:pPr>
      <w:r>
        <w:rPr>
          <w:rFonts w:ascii="Arial" w:cs="Arial" w:eastAsia="Arial" w:hAnsi="Arial"/>
          <w:b/>
          <w:bCs/>
          <w:color w:val="1F3864"/>
          <w:sz w:val="21"/>
          <w:szCs w:val="21"/>
        </w:rPr>
        <w:t xml:space="preserve">CYB-04  —  Entity-level (board-overseen escalation)  ·  BHC &amp; IDI</w:t>
      </w:r>
      <w:r>
        <w:rPr>
          <w:sz w:val="2"/>
          <w:szCs w:val="2"/>
        </w:rPr>
        <w:t xml:space="preserve"/>
      </w:r>
    </w:p>
    <w:p>
      <w:pPr>
        <w:spacing w:after="30"/>
      </w:pPr>
      <w:r>
        <w:rPr>
          <w:rFonts w:ascii="Arial" w:cs="Arial" w:eastAsia="Arial" w:hAnsi="Arial"/>
          <w:sz w:val="21"/>
          <w:szCs w:val="21"/>
        </w:rPr>
        <w:t xml:space="preserve">Entity must notify its primary federal regulator within 36 hours of a 'notification incident'; the determination relies on board-overseen incident-response governance.</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Computer-Security Incident Notification Rule, 12 CFR part 53 (OCC); part 225 subpart N (FRB); part 304 subpart C (FDIC).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Interacts with SEC incident disclosure and info-security program.</w:t>
      </w:r>
      <w:r>
        <w:rPr>
          <w:rFonts w:ascii="Arial" w:cs="Arial" w:eastAsia="Arial" w:hAnsi="Arial"/>
          <w:i/>
          <w:iCs/>
          <w:color w:val="1F6B3B"/>
          <w:sz w:val="18"/>
          <w:szCs w:val="18"/>
        </w:rPr>
        <w:t xml:space="preserve">  Reform: Align incident-notification triggers/timing with SEC disclosure.</w:t>
      </w:r>
    </w:p>
    <w:p>
      <w:pPr>
        <w:pStyle w:val="Heading2"/>
      </w:pPr>
      <w:r>
        <w:t xml:space="preserve">10. BSA/AML program</w:t>
      </w:r>
    </w:p>
    <w:p>
      <w:pPr>
        <w:keepNext/>
        <w:spacing w:after="20" w:before="110"/>
      </w:pPr>
      <w:r>
        <w:rPr>
          <w:rFonts w:ascii="Arial" w:cs="Arial" w:eastAsia="Arial" w:hAnsi="Arial"/>
          <w:b/>
          <w:bCs/>
          <w:color w:val="1F3864"/>
          <w:sz w:val="21"/>
          <w:szCs w:val="21"/>
        </w:rPr>
        <w:t xml:space="preserve">BSA-01  —  Full board  ·  IDI (and BHC where applicable)</w:t>
      </w:r>
      <w:r>
        <w:rPr>
          <w:sz w:val="2"/>
          <w:szCs w:val="2"/>
        </w:rPr>
        <w:t xml:space="preserve"/>
      </w:r>
    </w:p>
    <w:p>
      <w:pPr>
        <w:spacing w:after="30"/>
      </w:pPr>
      <w:r>
        <w:rPr>
          <w:rFonts w:ascii="Arial" w:cs="Arial" w:eastAsia="Arial" w:hAnsi="Arial"/>
          <w:sz w:val="21"/>
          <w:szCs w:val="21"/>
        </w:rPr>
        <w:t xml:space="preserve">Board must approve a written BSA/AML compliance program, with approval noted in the minutes.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31 CFR 1010.210 / 1020.210; 12 CFR 21.21, 208.63, 326.8.  </w:t>
      </w:r>
      <w:r>
        <w:rPr>
          <w:rFonts w:ascii="Arial" w:cs="Arial" w:eastAsia="Arial" w:hAnsi="Arial"/>
          <w:i/>
          <w:iCs/>
          <w:color w:val="595959"/>
          <w:sz w:val="18"/>
          <w:szCs w:val="18"/>
        </w:rPr>
        <w:t xml:space="preserve">Type: Mandatory.  Status: Active (FinCEN/agency 'effective and risk-based' program reproposals pending 2026).</w:t>
      </w:r>
      <w:r>
        <w:rPr>
          <w:rFonts w:ascii="Arial" w:cs="Arial" w:eastAsia="Arial" w:hAnsi="Arial"/>
          <w:i/>
          <w:iCs/>
          <w:color w:val="595959"/>
          <w:sz w:val="18"/>
          <w:szCs w:val="18"/>
        </w:rPr>
        <w:t xml:space="preserve">  Overlap: The 'approve a program / oversee / receive reporting' template recurs across at least eight domains.</w:t>
      </w:r>
      <w:r>
        <w:rPr>
          <w:rFonts w:ascii="Arial" w:cs="Arial" w:eastAsia="Arial" w:hAnsi="Arial"/>
          <w:i/>
          <w:iCs/>
          <w:color w:val="1F6B3B"/>
          <w:sz w:val="18"/>
          <w:szCs w:val="18"/>
        </w:rPr>
        <w:t xml:space="preserve">  Reform: Consolidated risk-governance approval with program-specific management certifications.</w:t>
      </w:r>
    </w:p>
    <w:p>
      <w:pPr>
        <w:keepNext/>
        <w:spacing w:after="20" w:before="110"/>
      </w:pPr>
      <w:r>
        <w:rPr>
          <w:rFonts w:ascii="Arial" w:cs="Arial" w:eastAsia="Arial" w:hAnsi="Arial"/>
          <w:b/>
          <w:bCs/>
          <w:color w:val="1F3864"/>
          <w:sz w:val="21"/>
          <w:szCs w:val="21"/>
        </w:rPr>
        <w:t xml:space="preserve">BSA-02  —  Full board  ·  IDI</w:t>
      </w:r>
      <w:r>
        <w:rPr>
          <w:sz w:val="2"/>
          <w:szCs w:val="2"/>
        </w:rPr>
        <w:t xml:space="preserve"/>
      </w:r>
    </w:p>
    <w:p>
      <w:pPr>
        <w:spacing w:after="30"/>
      </w:pPr>
      <w:r>
        <w:rPr>
          <w:rFonts w:ascii="Arial" w:cs="Arial" w:eastAsia="Arial" w:hAnsi="Arial"/>
          <w:sz w:val="21"/>
          <w:szCs w:val="21"/>
        </w:rPr>
        <w:t xml:space="preserve">Board must designate a qualified BSA/AML compliance officer with appropriate authority, independence, and resources.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31 CFR 1010.210(a)(2); 12 CFR 21.21(c)(3).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Overlaps OCC App. D officer-appointment standards.</w:t>
      </w:r>
      <w:r>
        <w:rPr>
          <w:rFonts w:ascii="Arial" w:cs="Arial" w:eastAsia="Arial" w:hAnsi="Arial"/>
          <w:i/>
          <w:iCs/>
          <w:color w:val="1F6B3B"/>
          <w:sz w:val="18"/>
          <w:szCs w:val="18"/>
        </w:rPr>
        <w:t xml:space="preserve">  Reform: Single officer-designation record.</w:t>
      </w:r>
    </w:p>
    <w:p>
      <w:pPr>
        <w:keepNext/>
        <w:spacing w:after="20" w:before="110"/>
      </w:pPr>
      <w:r>
        <w:rPr>
          <w:rFonts w:ascii="Arial" w:cs="Arial" w:eastAsia="Arial" w:hAnsi="Arial"/>
          <w:b/>
          <w:bCs/>
          <w:color w:val="1F3864"/>
          <w:sz w:val="21"/>
          <w:szCs w:val="21"/>
        </w:rPr>
        <w:t xml:space="preserve">BSA-03  —  Full board or designated committee  ·  IDI</w:t>
      </w:r>
      <w:r>
        <w:rPr>
          <w:sz w:val="2"/>
          <w:szCs w:val="2"/>
        </w:rPr>
        <w:t xml:space="preserve"/>
      </w:r>
    </w:p>
    <w:p>
      <w:pPr>
        <w:spacing w:after="30"/>
      </w:pPr>
      <w:r>
        <w:rPr>
          <w:rFonts w:ascii="Arial" w:cs="Arial" w:eastAsia="Arial" w:hAnsi="Arial"/>
          <w:sz w:val="21"/>
          <w:szCs w:val="21"/>
        </w:rPr>
        <w:t xml:space="preserve">Board must receive and review BSA/AML reporting, including SAR-filing notification, CTR, and risk-assessment information.</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FFIEC manual, 31 CFR 1010.210.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Reporting overlaps enterprise compliance and financial-crimes governance.</w:t>
      </w:r>
      <w:r>
        <w:rPr>
          <w:rFonts w:ascii="Arial" w:cs="Arial" w:eastAsia="Arial" w:hAnsi="Arial"/>
          <w:i/>
          <w:iCs/>
          <w:color w:val="1F6B3B"/>
          <w:sz w:val="18"/>
          <w:szCs w:val="18"/>
        </w:rPr>
        <w:t xml:space="preserve">  Reform: Coordinated compliance reporting calendar.</w:t>
      </w:r>
    </w:p>
    <w:p>
      <w:pPr>
        <w:keepNext/>
        <w:spacing w:after="20" w:before="110"/>
      </w:pPr>
      <w:r>
        <w:rPr>
          <w:rFonts w:ascii="Arial" w:cs="Arial" w:eastAsia="Arial" w:hAnsi="Arial"/>
          <w:b/>
          <w:bCs/>
          <w:color w:val="1F3864"/>
          <w:sz w:val="21"/>
          <w:szCs w:val="21"/>
        </w:rPr>
        <w:t xml:space="preserve">BSA-04  —  Full board  ·  IDI</w:t>
      </w:r>
      <w:r>
        <w:rPr>
          <w:sz w:val="2"/>
          <w:szCs w:val="2"/>
        </w:rPr>
        <w:t xml:space="preserve"/>
      </w:r>
    </w:p>
    <w:p>
      <w:pPr>
        <w:spacing w:after="30"/>
      </w:pPr>
      <w:r>
        <w:rPr>
          <w:rFonts w:ascii="Arial" w:cs="Arial" w:eastAsia="Arial" w:hAnsi="Arial"/>
          <w:sz w:val="21"/>
          <w:szCs w:val="21"/>
        </w:rPr>
        <w:t xml:space="preserve">Board must ensure independent testing of the BSA/AML program.</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31 CFR 1010.210(a)(5).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Exam procedures reference a committee of primarily/all outside directors.</w:t>
      </w:r>
      <w:r>
        <w:rPr>
          <w:rFonts w:ascii="Arial" w:cs="Arial" w:eastAsia="Arial" w:hAnsi="Arial"/>
          <w:i/>
          <w:iCs/>
          <w:color w:val="595959"/>
          <w:sz w:val="18"/>
          <w:szCs w:val="18"/>
        </w:rPr>
        <w:t xml:space="preserve">  Overlap: Overlaps internal-audit oversight.</w:t>
      </w:r>
      <w:r>
        <w:rPr>
          <w:rFonts w:ascii="Arial" w:cs="Arial" w:eastAsia="Arial" w:hAnsi="Arial"/>
          <w:i/>
          <w:iCs/>
          <w:color w:val="1F6B3B"/>
          <w:sz w:val="18"/>
          <w:szCs w:val="18"/>
        </w:rPr>
        <w:t xml:space="preserve">  Reform: Coordinate independent testing with internal audit.</w:t>
      </w:r>
    </w:p>
    <w:p>
      <w:pPr>
        <w:keepNext/>
        <w:spacing w:after="20" w:before="110"/>
      </w:pPr>
      <w:r>
        <w:rPr>
          <w:rFonts w:ascii="Arial" w:cs="Arial" w:eastAsia="Arial" w:hAnsi="Arial"/>
          <w:b/>
          <w:bCs/>
          <w:color w:val="1F3864"/>
          <w:sz w:val="21"/>
          <w:szCs w:val="21"/>
        </w:rPr>
        <w:t xml:space="preserve">BSA-05  —  Full board  ·  IDI</w:t>
      </w:r>
      <w:r>
        <w:rPr>
          <w:sz w:val="2"/>
          <w:szCs w:val="2"/>
        </w:rPr>
        <w:t xml:space="preserve"/>
      </w:r>
    </w:p>
    <w:p>
      <w:pPr>
        <w:spacing w:after="30"/>
      </w:pPr>
      <w:r>
        <w:rPr>
          <w:rFonts w:ascii="Arial" w:cs="Arial" w:eastAsia="Arial" w:hAnsi="Arial"/>
          <w:sz w:val="21"/>
          <w:szCs w:val="21"/>
        </w:rPr>
        <w:t xml:space="preserve">Board must ensure BSA/AML training, including for directors, tailored to the risk profile.</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Bank Secrecy Act program rules, 31 CFR 1010.210(a)(4).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Directors as training recipients.</w:t>
      </w:r>
      <w:r>
        <w:rPr>
          <w:rFonts w:ascii="Arial" w:cs="Arial" w:eastAsia="Arial" w:hAnsi="Arial"/>
          <w:i/>
          <w:iCs/>
          <w:color w:val="595959"/>
          <w:sz w:val="18"/>
          <w:szCs w:val="18"/>
        </w:rPr>
        <w:t xml:space="preserve">  Overlap: Overlaps OCC director-training requirement.</w:t>
      </w:r>
      <w:r>
        <w:rPr>
          <w:rFonts w:ascii="Arial" w:cs="Arial" w:eastAsia="Arial" w:hAnsi="Arial"/>
          <w:i/>
          <w:iCs/>
          <w:color w:val="1F6B3B"/>
          <w:sz w:val="18"/>
          <w:szCs w:val="18"/>
        </w:rPr>
        <w:t xml:space="preserve">  Reform: Fold into consolidated director-training program.</w:t>
      </w:r>
    </w:p>
    <w:p>
      <w:pPr>
        <w:pStyle w:val="Heading2"/>
      </w:pPr>
      <w:r>
        <w:t xml:space="preserve">11. Insider lending &amp; affiliate transactions (Reg O / Reg W)</w:t>
      </w:r>
    </w:p>
    <w:p>
      <w:pPr>
        <w:keepNext/>
        <w:spacing w:after="20" w:before="110"/>
      </w:pPr>
      <w:r>
        <w:rPr>
          <w:rFonts w:ascii="Arial" w:cs="Arial" w:eastAsia="Arial" w:hAnsi="Arial"/>
          <w:b/>
          <w:bCs/>
          <w:color w:val="1F3864"/>
          <w:sz w:val="21"/>
          <w:szCs w:val="21"/>
        </w:rPr>
        <w:t xml:space="preserve">AFF-01  —  Full board  ·  IDI</w:t>
      </w:r>
      <w:r>
        <w:rPr>
          <w:sz w:val="2"/>
          <w:szCs w:val="2"/>
        </w:rPr>
        <w:t xml:space="preserve"/>
      </w:r>
    </w:p>
    <w:p>
      <w:pPr>
        <w:spacing w:after="30"/>
      </w:pPr>
      <w:r>
        <w:rPr>
          <w:rFonts w:ascii="Arial" w:cs="Arial" w:eastAsia="Arial" w:hAnsi="Arial"/>
          <w:sz w:val="21"/>
          <w:szCs w:val="21"/>
        </w:rPr>
        <w:t xml:space="preserve">Board must ensure insider extensions of credit are made on substantially the same terms as comparable transactions, observe prior-approval thresholds, and stay within aggregate insider-lending limits.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O, 12 CFR part 215 (215.4); 12 U.S.C. 375b.  </w:t>
      </w:r>
      <w:r>
        <w:rPr>
          <w:rFonts w:ascii="Arial" w:cs="Arial" w:eastAsia="Arial" w:hAnsi="Arial"/>
          <w:i/>
          <w:iCs/>
          <w:color w:val="595959"/>
          <w:sz w:val="18"/>
          <w:szCs w:val="18"/>
        </w:rPr>
        <w:t xml:space="preserve">Type: Mandatory.  Status: Active.</w:t>
      </w:r>
      <w:r>
        <w:rPr>
          <w:rFonts w:ascii="Arial" w:cs="Arial" w:eastAsia="Arial" w:hAnsi="Arial"/>
          <w:i/>
          <w:iCs/>
          <w:color w:val="7030A0"/>
          <w:sz w:val="18"/>
          <w:szCs w:val="18"/>
        </w:rPr>
        <w:t xml:space="preserve">  Director distinction: Concerns inside directors / principal shareholders as covered insiders.</w:t>
      </w:r>
      <w:r>
        <w:rPr>
          <w:rFonts w:ascii="Arial" w:cs="Arial" w:eastAsia="Arial" w:hAnsi="Arial"/>
          <w:i/>
          <w:iCs/>
          <w:color w:val="595959"/>
          <w:sz w:val="18"/>
          <w:szCs w:val="18"/>
        </w:rPr>
        <w:t xml:space="preserve">  Overlap: Overlaps SEC related-party-transaction review.</w:t>
      </w:r>
      <w:r>
        <w:rPr>
          <w:rFonts w:ascii="Arial" w:cs="Arial" w:eastAsia="Arial" w:hAnsi="Arial"/>
          <w:i/>
          <w:iCs/>
          <w:color w:val="1F6B3B"/>
          <w:sz w:val="18"/>
          <w:szCs w:val="18"/>
        </w:rPr>
        <w:t xml:space="preserve">  Reform: Coordinate Reg O approvals with related-party-transaction process.</w:t>
      </w:r>
    </w:p>
    <w:p>
      <w:pPr>
        <w:keepNext/>
        <w:spacing w:after="20" w:before="110"/>
      </w:pPr>
      <w:r>
        <w:rPr>
          <w:rFonts w:ascii="Arial" w:cs="Arial" w:eastAsia="Arial" w:hAnsi="Arial"/>
          <w:b/>
          <w:bCs/>
          <w:color w:val="1F3864"/>
          <w:sz w:val="21"/>
          <w:szCs w:val="21"/>
        </w:rPr>
        <w:t xml:space="preserve">AFF-02  —  Full board  ·  IDI</w:t>
      </w:r>
      <w:r>
        <w:rPr>
          <w:sz w:val="2"/>
          <w:szCs w:val="2"/>
        </w:rPr>
        <w:t xml:space="preserve"/>
      </w:r>
    </w:p>
    <w:p>
      <w:pPr>
        <w:spacing w:after="30"/>
      </w:pPr>
      <w:r>
        <w:rPr>
          <w:rFonts w:ascii="Arial" w:cs="Arial" w:eastAsia="Arial" w:hAnsi="Arial"/>
          <w:sz w:val="21"/>
          <w:szCs w:val="21"/>
        </w:rPr>
        <w:t xml:space="preserve">Board must ensure policies and procedures for compliance with sections 23A/23B, observance of quantitative limits on covered transactions, and the prohibition on purchasing low-quality assets from affiliates.</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Regulation W; sections 23A/23B, 12 CFR part 223; 12 U.S.C. 371c, 371c-1.  </w:t>
      </w:r>
      <w:r>
        <w:rPr>
          <w:rFonts w:ascii="Arial" w:cs="Arial" w:eastAsia="Arial" w:hAnsi="Arial"/>
          <w:i/>
          <w:iCs/>
          <w:color w:val="595959"/>
          <w:sz w:val="18"/>
          <w:szCs w:val="18"/>
        </w:rPr>
        <w:t xml:space="preserve">Type: Mandatory.  Status: Active.</w:t>
      </w:r>
      <w:r>
        <w:rPr>
          <w:rFonts w:ascii="Arial" w:cs="Arial" w:eastAsia="Arial" w:hAnsi="Arial"/>
          <w:i/>
          <w:iCs/>
          <w:color w:val="595959"/>
          <w:sz w:val="18"/>
          <w:szCs w:val="18"/>
        </w:rPr>
        <w:t xml:space="preserve">  Overlap: Central to the holding-company/IDI conflict (the bank board must protect the bank vs. the parent).</w:t>
      </w:r>
      <w:r>
        <w:rPr>
          <w:rFonts w:ascii="Arial" w:cs="Arial" w:eastAsia="Arial" w:hAnsi="Arial"/>
          <w:i/>
          <w:iCs/>
          <w:color w:val="1F6B3B"/>
          <w:sz w:val="18"/>
          <w:szCs w:val="18"/>
        </w:rPr>
        <w:t xml:space="preserve">  Reform: Tie to the subsidiary-board source-of-strength / sanctity-of-charter governance.</w:t>
      </w:r>
    </w:p>
    <w:p>
      <w:pPr>
        <w:pStyle w:val="Heading2"/>
      </w:pPr>
      <w:r>
        <w:t xml:space="preserve">12. Incentive compensation</w:t>
      </w:r>
    </w:p>
    <w:p>
      <w:pPr>
        <w:keepNext/>
        <w:spacing w:after="20" w:before="110"/>
      </w:pPr>
      <w:r>
        <w:rPr>
          <w:rFonts w:ascii="Arial" w:cs="Arial" w:eastAsia="Arial" w:hAnsi="Arial"/>
          <w:b/>
          <w:bCs/>
          <w:color w:val="1F3864"/>
          <w:sz w:val="21"/>
          <w:szCs w:val="21"/>
        </w:rPr>
        <w:t xml:space="preserve">INC-01  —  n/a (unimplemented)  ·  BHC &amp; IDI</w:t>
      </w:r>
      <w:r>
        <w:rPr>
          <w:rFonts w:ascii="Arial" w:cs="Arial" w:eastAsia="Arial" w:hAnsi="Arial"/>
          <w:b/>
          <w:bCs/>
          <w:color w:val="C00000"/>
          <w:sz w:val="18"/>
          <w:szCs w:val="18"/>
        </w:rPr>
        <w:t xml:space="preserve">  [STATUTORY MANDATE; NOT IMPLEMENTED]</w:t>
      </w:r>
    </w:p>
    <w:p>
      <w:pPr>
        <w:spacing w:after="30"/>
      </w:pPr>
      <w:r>
        <w:rPr>
          <w:rFonts w:ascii="Arial" w:cs="Arial" w:eastAsia="Arial" w:hAnsi="Arial"/>
          <w:sz w:val="21"/>
          <w:szCs w:val="21"/>
        </w:rPr>
        <w:t xml:space="preserve">NOT IMPLEMENTED: section 956 directs the agencies to prohibit incentive compensation that encourages inappropriate risk and to require board-level controls (forfeiture/clawback), but no final rule exists after three proposals (2011, 2016, 2024). The only operative standard is the 2010 interagency guidance (catalogued in the supervisory-expectations inventory).</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Dodd-Frank section 956, 12 U.S.C. 5641; 12 CFR part 236 (reserved).  </w:t>
      </w:r>
      <w:r>
        <w:rPr>
          <w:rFonts w:ascii="Arial" w:cs="Arial" w:eastAsia="Arial" w:hAnsi="Arial"/>
          <w:i/>
          <w:iCs/>
          <w:color w:val="595959"/>
          <w:sz w:val="18"/>
          <w:szCs w:val="18"/>
        </w:rPr>
        <w:t xml:space="preserve">Type: Statutory mandate; not implemented.  Status: Unimplemented (12 CFR part 236 reserved).</w:t>
      </w:r>
      <w:r>
        <w:rPr>
          <w:rFonts w:ascii="Arial" w:cs="Arial" w:eastAsia="Arial" w:hAnsi="Arial"/>
          <w:i/>
          <w:iCs/>
          <w:color w:val="595959"/>
          <w:sz w:val="18"/>
          <w:szCs w:val="18"/>
        </w:rPr>
        <w:t xml:space="preserve">  Overlap: The 2010 guidance overlaps SEC comp-committee independence and OCC App. D comp standards.</w:t>
      </w:r>
      <w:r>
        <w:rPr>
          <w:rFonts w:ascii="Arial" w:cs="Arial" w:eastAsia="Arial" w:hAnsi="Arial"/>
          <w:i/>
          <w:iCs/>
          <w:color w:val="1F6B3B"/>
          <w:sz w:val="18"/>
          <w:szCs w:val="18"/>
        </w:rPr>
        <w:t xml:space="preserve">  Reform: Either finalize a single section 956 framework that supersedes overlapping guidance, or leave to the existing guidance — but do not treat the proposal as latent law.</w:t>
      </w:r>
    </w:p>
    <w:p>
      <w:pPr>
        <w:pStyle w:val="Heading2"/>
      </w:pPr>
      <w:r>
        <w:t xml:space="preserve">13. Cross-cutting safety &amp; soundness / source of strength</w:t>
      </w:r>
    </w:p>
    <w:p>
      <w:pPr>
        <w:keepNext/>
        <w:spacing w:after="20" w:before="110"/>
      </w:pPr>
      <w:r>
        <w:rPr>
          <w:rFonts w:ascii="Arial" w:cs="Arial" w:eastAsia="Arial" w:hAnsi="Arial"/>
          <w:b/>
          <w:bCs/>
          <w:color w:val="1F3864"/>
          <w:sz w:val="21"/>
          <w:szCs w:val="21"/>
        </w:rPr>
        <w:t xml:space="preserve">SS-01  —  Full board; audit committee  ·  IDI</w:t>
      </w:r>
      <w:r>
        <w:rPr>
          <w:sz w:val="2"/>
          <w:szCs w:val="2"/>
        </w:rPr>
        <w:t xml:space="preserve"/>
      </w:r>
    </w:p>
    <w:p>
      <w:pPr>
        <w:spacing w:after="30"/>
      </w:pPr>
      <w:r>
        <w:rPr>
          <w:rFonts w:ascii="Arial" w:cs="Arial" w:eastAsia="Arial" w:hAnsi="Arial"/>
          <w:sz w:val="21"/>
          <w:szCs w:val="21"/>
        </w:rPr>
        <w:t xml:space="preserve">Board-relevant operational and managerial standards: internal controls and information systems, internal audit, loan documentation, credit underwriting, interest-rate-risk and asset-quality reporting to the board, and compensation that is not excessive.</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Interagency Guidelines Establishing Standards for Safety and Soundness, 12 CFR part 30 App. A (OCC) / part 364 App. A (FDIC); FDI Act sec. 39.  </w:t>
      </w:r>
      <w:r>
        <w:rPr>
          <w:rFonts w:ascii="Arial" w:cs="Arial" w:eastAsia="Arial" w:hAnsi="Arial"/>
          <w:i/>
          <w:iCs/>
          <w:color w:val="595959"/>
          <w:sz w:val="18"/>
          <w:szCs w:val="18"/>
        </w:rPr>
        <w:t xml:space="preserve">Type: Mandatory (enforceable guideline).  Status: Active.</w:t>
      </w:r>
      <w:r>
        <w:rPr>
          <w:rFonts w:ascii="Arial" w:cs="Arial" w:eastAsia="Arial" w:hAnsi="Arial"/>
          <w:i/>
          <w:iCs/>
          <w:color w:val="7030A0"/>
          <w:sz w:val="18"/>
          <w:szCs w:val="18"/>
        </w:rPr>
        <w:t xml:space="preserve">  Director distinction: Inside directors named in the excessive-compensation prohibition.</w:t>
      </w:r>
      <w:r>
        <w:rPr>
          <w:rFonts w:ascii="Arial" w:cs="Arial" w:eastAsia="Arial" w:hAnsi="Arial"/>
          <w:i/>
          <w:iCs/>
          <w:color w:val="595959"/>
          <w:sz w:val="18"/>
          <w:szCs w:val="18"/>
        </w:rPr>
        <w:t xml:space="preserve">  Overlap: Broad standards can duplicate domain-specific programs.</w:t>
      </w:r>
      <w:r>
        <w:rPr>
          <w:rFonts w:ascii="Arial" w:cs="Arial" w:eastAsia="Arial" w:hAnsi="Arial"/>
          <w:i/>
          <w:iCs/>
          <w:color w:val="1F6B3B"/>
          <w:sz w:val="18"/>
          <w:szCs w:val="18"/>
        </w:rPr>
        <w:t xml:space="preserve">  Reform: Treat as the residual baseline; avoid re-imposing the same items in domain rules.</w:t>
      </w:r>
    </w:p>
    <w:p>
      <w:pPr>
        <w:keepNext/>
        <w:spacing w:after="20" w:before="110"/>
      </w:pPr>
      <w:r>
        <w:rPr>
          <w:rFonts w:ascii="Arial" w:cs="Arial" w:eastAsia="Arial" w:hAnsi="Arial"/>
          <w:b/>
          <w:bCs/>
          <w:color w:val="1F3864"/>
          <w:sz w:val="21"/>
          <w:szCs w:val="21"/>
        </w:rPr>
        <w:t xml:space="preserve">SS-02  —  Full board  ·  BHC</w:t>
      </w:r>
      <w:r>
        <w:rPr>
          <w:sz w:val="2"/>
          <w:szCs w:val="2"/>
        </w:rPr>
        <w:t xml:space="preserve"/>
      </w:r>
    </w:p>
    <w:p>
      <w:pPr>
        <w:spacing w:after="30"/>
      </w:pPr>
      <w:r>
        <w:rPr>
          <w:rFonts w:ascii="Arial" w:cs="Arial" w:eastAsia="Arial" w:hAnsi="Arial"/>
          <w:sz w:val="21"/>
          <w:szCs w:val="21"/>
        </w:rPr>
        <w:t xml:space="preserve">The parent holding company (and its board) must serve as a source of financial strength to its insured subsidiary bank.</w:t>
      </w:r>
    </w:p>
    <w:p>
      <w:pPr>
        <w:spacing w:after="110"/>
      </w:pPr>
      <w:r>
        <w:rPr>
          <w:rFonts w:ascii="Arial" w:cs="Arial" w:eastAsia="Arial" w:hAnsi="Arial"/>
          <w:b/>
          <w:bCs/>
          <w:i/>
          <w:iCs/>
          <w:color w:val="595959"/>
          <w:sz w:val="18"/>
          <w:szCs w:val="18"/>
        </w:rPr>
        <w:t xml:space="preserve">Source: </w:t>
      </w:r>
      <w:r>
        <w:rPr>
          <w:rFonts w:ascii="Arial" w:cs="Arial" w:eastAsia="Arial" w:hAnsi="Arial"/>
          <w:i/>
          <w:iCs/>
          <w:color w:val="595959"/>
          <w:sz w:val="18"/>
          <w:szCs w:val="18"/>
        </w:rPr>
        <w:t xml:space="preserve">Source-of-strength doctrine, 12 U.S.C. 1831o-1; Regulation Y, 12 CFR 225.4(a).  </w:t>
      </w:r>
      <w:r>
        <w:rPr>
          <w:rFonts w:ascii="Arial" w:cs="Arial" w:eastAsia="Arial" w:hAnsi="Arial"/>
          <w:i/>
          <w:iCs/>
          <w:color w:val="595959"/>
          <w:sz w:val="18"/>
          <w:szCs w:val="18"/>
        </w:rPr>
        <w:t xml:space="preserve">Type: Mandatory (statute/rule).  Status: Active.</w:t>
      </w:r>
      <w:r>
        <w:rPr>
          <w:rFonts w:ascii="Arial" w:cs="Arial" w:eastAsia="Arial" w:hAnsi="Arial"/>
          <w:i/>
          <w:iCs/>
          <w:color w:val="595959"/>
          <w:sz w:val="18"/>
          <w:szCs w:val="18"/>
        </w:rPr>
        <w:t xml:space="preserve">  Overlap: In tension with the OCC 'sanctity of the charter' principle (the IDI board must protect the bank's interests over the parent's).</w:t>
      </w:r>
      <w:r>
        <w:rPr>
          <w:rFonts w:ascii="Arial" w:cs="Arial" w:eastAsia="Arial" w:hAnsi="Arial"/>
          <w:i/>
          <w:iCs/>
          <w:color w:val="1F6B3B"/>
          <w:sz w:val="18"/>
          <w:szCs w:val="18"/>
        </w:rPr>
        <w:t xml:space="preserve">  Reform: Clarify the interaction of source-of-strength and sanctity-of-charter for overlapping (parent-and-bank) directors.</w:t>
      </w:r>
    </w:p>
    <w:p>
      <w:r>
        <w:br w:type="page"/>
      </w:r>
    </w:p>
    <w:p>
      <w:pPr>
        <w:pStyle w:val="Heading1"/>
      </w:pPr>
      <w:r>
        <w:t xml:space="preserve">6. Overlap and duplication analysis</w:t>
      </w:r>
    </w:p>
    <w:p>
      <w:pPr>
        <w:spacing w:after="120" w:before="0"/>
      </w:pPr>
      <w:r>
        <w:rPr>
          <w:rFonts w:ascii="Arial" w:cs="Arial" w:eastAsia="Arial" w:hAnsi="Arial"/>
          <w:i/>
          <w:iCs/>
          <w:color w:val="595959"/>
          <w:sz w:val="20"/>
          <w:szCs w:val="20"/>
        </w:rPr>
        <w:t xml:space="preserve">Identifying overlap is not the same as recommending repeal; some redundancy reflects genuinely distinct supervisory interests. The aim is to surface and characterize candidates.</w:t>
      </w:r>
    </w:p>
    <w:p>
      <w:pPr>
        <w:pStyle w:val="Heading2"/>
      </w:pPr>
      <w:r>
        <w:t xml:space="preserve">Pattern 1 — the recurring 'approve a program, oversee it, receive periodic reporting' template</w:t>
      </w:r>
    </w:p>
    <w:p>
      <w:pPr>
        <w:spacing w:after="120" w:before="0"/>
      </w:pPr>
      <w:r>
        <w:rPr>
          <w:rFonts w:ascii="Arial" w:cs="Arial" w:eastAsia="Arial" w:hAnsi="Arial"/>
          <w:sz w:val="22"/>
          <w:szCs w:val="22"/>
        </w:rPr>
        <w:t xml:space="preserve">The board is told to do the same three things for a different risk across at least eight authorities: information-security (12 CFR 30 App. B), BSA program rules, third-party guidance, liquidity (252.34(a)(2)), capital plan (225.8), heightened standards risk-governance framework, operational-resilience tolerance, and consumer CMS. A single principles-based board-oversight standard could subsume most of these without lowering the substantive expectation.</w:t>
      </w:r>
    </w:p>
    <w:p>
      <w:pPr>
        <w:spacing w:after="120" w:before="0"/>
      </w:pPr>
      <w:r>
        <w:rPr>
          <w:rFonts w:ascii="Arial" w:cs="Arial" w:eastAsia="Arial" w:hAnsi="Arial"/>
          <w:i/>
          <w:iCs/>
          <w:color w:val="808080"/>
          <w:sz w:val="18"/>
          <w:szCs w:val="18"/>
        </w:rPr>
        <w:t xml:space="preserve">Related entries: BSA-01, CYB-01, LIQ-03, CAP-02, RGC-07, RGC-08</w:t>
      </w:r>
    </w:p>
    <w:p>
      <w:pPr>
        <w:pStyle w:val="Heading2"/>
      </w:pPr>
      <w:r>
        <w:t xml:space="preserve">Pattern 2 — non-uniform independence definitions for the same directors</w:t>
      </w:r>
    </w:p>
    <w:p>
      <w:pPr>
        <w:spacing w:after="120" w:before="0"/>
      </w:pPr>
      <w:r>
        <w:rPr>
          <w:rFonts w:ascii="Arial" w:cs="Arial" w:eastAsia="Arial" w:hAnsi="Arial"/>
          <w:sz w:val="22"/>
          <w:szCs w:val="22"/>
        </w:rPr>
        <w:t xml:space="preserve">A GSIB lead bank and its parent face at least six distinct independence tests differing in lookback period, family/affiliation tests, and whether they incorporate an exchange standard. A single cross-referenced prudential independence definition would eliminate parallel determinations for the same individuals.</w:t>
      </w:r>
    </w:p>
    <w:p>
      <w:pPr>
        <w:spacing w:after="120" w:before="0"/>
      </w:pPr>
      <w:r>
        <w:rPr>
          <w:rFonts w:ascii="Arial" w:cs="Arial" w:eastAsia="Arial" w:hAnsi="Arial"/>
          <w:i/>
          <w:iCs/>
          <w:color w:val="808080"/>
          <w:sz w:val="18"/>
          <w:szCs w:val="18"/>
        </w:rPr>
        <w:t xml:space="preserve">Related entries: RGC-05, IND-01, IND-05, IND-06, IND-07, AUD-01</w:t>
      </w:r>
    </w:p>
    <w:p>
      <w:pPr>
        <w:pStyle w:val="Heading2"/>
      </w:pPr>
      <w:r>
        <w:t xml:space="preserve">Pattern 3 — parallel approvals at the parent and bank levels</w:t>
      </w:r>
    </w:p>
    <w:p>
      <w:pPr>
        <w:spacing w:after="120" w:before="0"/>
      </w:pPr>
      <w:r>
        <w:rPr>
          <w:rFonts w:ascii="Arial" w:cs="Arial" w:eastAsia="Arial" w:hAnsi="Arial"/>
          <w:sz w:val="22"/>
          <w:szCs w:val="22"/>
        </w:rPr>
        <w:t xml:space="preserve">Several duties require formal board action at both the holding-company and insured-bank level on overlapping subject matter (resolution, liquidity, risk governance/appetite, information security). Some parallelism is defensible (the FDIC's distinct resolvability interest); other instances are closer to pure redundancy where the same program is approved by parent and subsidiary boards whose memberships substantially overlap.</w:t>
      </w:r>
    </w:p>
    <w:p>
      <w:pPr>
        <w:spacing w:after="120" w:before="0"/>
      </w:pPr>
      <w:r>
        <w:rPr>
          <w:rFonts w:ascii="Arial" w:cs="Arial" w:eastAsia="Arial" w:hAnsi="Arial"/>
          <w:i/>
          <w:iCs/>
          <w:color w:val="808080"/>
          <w:sz w:val="18"/>
          <w:szCs w:val="18"/>
        </w:rPr>
        <w:t xml:space="preserve">Related entries: RES-01, RES-02, LIQ-01, RGC-07, CYB-01</w:t>
      </w:r>
    </w:p>
    <w:p>
      <w:pPr>
        <w:pStyle w:val="Heading2"/>
      </w:pPr>
      <w:r>
        <w:t xml:space="preserve">Pattern 4 — guidance that has migrated, been rescinded, or never finalized</w:t>
      </w:r>
    </w:p>
    <w:p>
      <w:pPr>
        <w:spacing w:after="120" w:before="0"/>
      </w:pPr>
      <w:r>
        <w:rPr>
          <w:rFonts w:ascii="Arial" w:cs="Arial" w:eastAsia="Arial" w:hAnsi="Arial"/>
          <w:sz w:val="22"/>
          <w:szCs w:val="22"/>
        </w:rPr>
        <w:t xml:space="preserve">Roughly a quarter of the board duties a 2024-vintage compliance map would list in five areas have been removed, softened, or were never in force: model risk (SR 11-7 replaced, board duty dropped, Apr 2026), OCC recovery planning (App. E rescinded, May 2026), FDIC 2023 corporate-governance proposal (withdrawn Mar 2025), incentive comp (section 956 never finalized), and the FFIEC CAT (sunset Aug 2025).</w:t>
      </w:r>
    </w:p>
    <w:p>
      <w:pPr>
        <w:spacing w:after="120" w:before="0"/>
      </w:pPr>
      <w:r>
        <w:rPr>
          <w:rFonts w:ascii="Arial" w:cs="Arial" w:eastAsia="Arial" w:hAnsi="Arial"/>
          <w:i/>
          <w:iCs/>
          <w:color w:val="808080"/>
          <w:sz w:val="18"/>
          <w:szCs w:val="18"/>
        </w:rPr>
        <w:t xml:space="preserve">Related entries: RES-03, INC-01</w:t>
      </w:r>
    </w:p>
    <w:p>
      <w:pPr>
        <w:pStyle w:val="Heading2"/>
      </w:pPr>
      <w:r>
        <w:t xml:space="preserve">Parent (BHC) vs. insured-bank (IDI) parallel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50"/>
        <w:gridCol w:w="2550"/>
        <w:gridCol w:w="23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Subject</w:t>
            </w:r>
          </w:p>
        </w:tc>
        <w:tc>
          <w:tcPr>
            <w:tcW w:type="dxa" w:w="255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BHC-level duty</w:t>
            </w:r>
          </w:p>
        </w:tc>
        <w:tc>
          <w:tcPr>
            <w:tcW w:type="dxa" w:w="255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IDI-level duty</w:t>
            </w:r>
          </w:p>
        </w:tc>
        <w:tc>
          <w:tcPr>
            <w:tcW w:type="dxa" w:w="23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Overlap character</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Resolution planning</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Title I plan approval, 12 CFR 243.4(f)</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IDI plan approval, 12 CFR 360.10(c)(5)</w:t>
            </w:r>
          </w:p>
        </w:tc>
        <w:tc>
          <w:tcPr>
            <w:tcW w:type="dxa" w:w="2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Two minuted approvals on overlapping content, two cadences, two rules</w:t>
            </w:r>
          </w:p>
        </w:tc>
      </w:tr>
      <w:tr>
        <w:tc>
          <w:tcPr>
            <w:tcW w:type="dxa" w:w="1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bCs/>
                <w:sz w:val="14"/>
                <w:szCs w:val="14"/>
              </w:rPr>
              <w:t xml:space="preserve">Liquidity governance</w:t>
            </w:r>
          </w:p>
        </w:tc>
        <w:tc>
          <w:tcPr>
            <w:tcW w:type="dxa" w:w="255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252.34(a) tolerance &amp; strategies</w:t>
            </w:r>
          </w:p>
        </w:tc>
        <w:tc>
          <w:tcPr>
            <w:tcW w:type="dxa" w:w="255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SR 10-6 board ownership &amp; annual review (expectation)</w:t>
            </w:r>
          </w:p>
        </w:tc>
        <w:tc>
          <w:tcPr>
            <w:tcW w:type="dxa" w:w="2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Substantially the same board duty stated twice at two levels</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Recovery planning</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SR 14-8 oversight (expectation)</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pt 30 App. E approval — RESCINDED 5/1/2026</w:t>
            </w:r>
          </w:p>
        </w:tc>
        <w:tc>
          <w:tcPr>
            <w:tcW w:type="dxa" w:w="2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Was duplicative; now parent-only and guidance-only</w:t>
            </w:r>
          </w:p>
        </w:tc>
      </w:tr>
      <w:tr>
        <w:tc>
          <w:tcPr>
            <w:tcW w:type="dxa" w:w="19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bCs/>
                <w:sz w:val="14"/>
                <w:szCs w:val="14"/>
              </w:rPr>
              <w:t xml:space="preserve">Risk governance / appetite</w:t>
            </w:r>
          </w:p>
        </w:tc>
        <w:tc>
          <w:tcPr>
            <w:tcW w:type="dxa" w:w="255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252.33 risk committee; SR 21-3</w:t>
            </w:r>
          </w:p>
        </w:tc>
        <w:tc>
          <w:tcPr>
            <w:tcW w:type="dxa" w:w="255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pt 30 App. D framework &amp; appetite</w:t>
            </w:r>
          </w:p>
        </w:tc>
        <w:tc>
          <w:tcPr>
            <w:tcW w:type="dxa" w:w="2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Parent risk committee and bank risk-governance framework cover overlapping ground</w:t>
            </w:r>
          </w:p>
        </w:tc>
      </w:tr>
      <w:tr>
        <w:tc>
          <w:tcPr>
            <w:tcW w:type="dxa" w:w="19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Information security</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pt 225 App. F program approval</w:t>
            </w:r>
          </w:p>
        </w:tc>
        <w:tc>
          <w:tcPr>
            <w:tcW w:type="dxa" w:w="255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pt 30 App. B / pt 364 App. B program approval</w:t>
            </w:r>
          </w:p>
        </w:tc>
        <w:tc>
          <w:tcPr>
            <w:tcW w:type="dxa" w:w="2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Same program approved at two levels (four parallel appendices)</w:t>
            </w:r>
          </w:p>
        </w:tc>
      </w:tr>
    </w:tbl>
    <w:p>
      <w:pPr>
        <w:pStyle w:val="Heading2"/>
      </w:pPr>
      <w:r>
        <w:t xml:space="preserve">Non-uniform director-independence tests (same directors)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Framework</w:t>
            </w:r>
          </w:p>
        </w:tc>
        <w:tc>
          <w:tcPr>
            <w:tcW w:type="dxa" w:w="60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Independence requirement</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OCC Heightened Standards (12 CFR 30 App. D)</w:t>
            </w:r>
          </w:p>
        </w:tc>
        <w:tc>
          <w:tcPr>
            <w:tcW w:type="dxa" w:w="60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At least two independent directors; 3-year lookback; independent under exchange listing standards.</w:t>
            </w:r>
          </w:p>
        </w:tc>
      </w:tr>
      <w:tr>
        <w:tc>
          <w:tcPr>
            <w:tcW w:type="dxa" w:w="33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bCs/>
                <w:sz w:val="14"/>
                <w:szCs w:val="14"/>
              </w:rPr>
              <w:t xml:space="preserve">Regulation YY risk-committee chair (12 CFR 252.33(a)(4))</w:t>
            </w:r>
          </w:p>
        </w:tc>
        <w:tc>
          <w:tcPr>
            <w:tcW w:type="dxa" w:w="60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Risk-committee chair independent under SEC/NYSE standards; 3-year lookback; risk-management experience.</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FDICIA / Part 363 (12 CFR 363.5)</w:t>
            </w:r>
          </w:p>
        </w:tc>
        <w:tc>
          <w:tcPr>
            <w:tcW w:type="dxa" w:w="60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Audit committee entirely 'outside directors'; 1-year lookback; banking-specific definition.</w:t>
            </w:r>
          </w:p>
        </w:tc>
      </w:tr>
      <w:tr>
        <w:tc>
          <w:tcPr>
            <w:tcW w:type="dxa" w:w="33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bCs/>
                <w:sz w:val="14"/>
                <w:szCs w:val="14"/>
              </w:rPr>
              <w:t xml:space="preserve">SOX section 301 (17 CFR 240.10A-3)</w:t>
            </w:r>
          </w:p>
        </w:tc>
        <w:tc>
          <w:tcPr>
            <w:tcW w:type="dxa" w:w="60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Audit-committee members independent under the SEC test (no consulting/advisory fees; not affiliated persons).</w:t>
            </w:r>
          </w:p>
        </w:tc>
      </w:tr>
      <w:tr>
        <w:tc>
          <w:tcPr>
            <w:tcW w:type="dxa" w:w="3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Dodd-Frank section 952 (17 CFR 240.10C-1)</w:t>
            </w:r>
          </w:p>
        </w:tc>
        <w:tc>
          <w:tcPr>
            <w:tcW w:type="dxa" w:w="60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Compensation-committee independence, considering enumerated affiliation/fee factors.</w:t>
            </w:r>
          </w:p>
        </w:tc>
      </w:tr>
      <w:tr>
        <w:tc>
          <w:tcPr>
            <w:tcW w:type="dxa" w:w="33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bCs/>
                <w:sz w:val="14"/>
                <w:szCs w:val="14"/>
              </w:rPr>
              <w:t xml:space="preserve">NYSE / Nasdaq listing standards</w:t>
            </w:r>
          </w:p>
        </w:tc>
        <w:tc>
          <w:tcPr>
            <w:tcW w:type="dxa" w:w="60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Majority-independent board; exchange independence definition for committee members.</w:t>
            </w:r>
          </w:p>
        </w:tc>
      </w:tr>
    </w:tbl>
    <w:p>
      <w:r>
        <w:br w:type="page"/>
      </w:r>
    </w:p>
    <w:p>
      <w:pPr>
        <w:pStyle w:val="Heading1"/>
      </w:pPr>
      <w:r>
        <w:t xml:space="preserve">7. The ten highest-burden overlap zones</w:t>
      </w:r>
    </w:p>
    <w:p>
      <w:pPr>
        <w:spacing w:after="120" w:before="0"/>
      </w:pPr>
      <w:r>
        <w:rPr>
          <w:rFonts w:ascii="Arial" w:cs="Arial" w:eastAsia="Arial" w:hAnsi="Arial"/>
          <w:sz w:val="22"/>
          <w:szCs w:val="22"/>
        </w:rPr>
        <w:t xml:space="preserve">Ranked by severity and estimated board-hour load, with a candidate reform treatment for each (synthesized from the Kimi and GPT-5.5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400"/>
        <w:gridCol w:w="1100"/>
        <w:gridCol w:w="1300"/>
        <w:gridCol w:w="4140"/>
      </w:tblGrid>
      <w:tr>
        <w:trPr>
          <w:tblHeader/>
        </w:trPr>
        <w:tc>
          <w:tcPr>
            <w:tcW w:type="dxa" w:w="42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w:t>
            </w:r>
          </w:p>
        </w:tc>
        <w:tc>
          <w:tcPr>
            <w:tcW w:type="dxa" w:w="24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Zone</w:t>
            </w:r>
          </w:p>
        </w:tc>
        <w:tc>
          <w:tcPr>
            <w:tcW w:type="dxa" w:w="11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Severity</w:t>
            </w:r>
          </w:p>
        </w:tc>
        <w:tc>
          <w:tcPr>
            <w:tcW w:type="dxa" w:w="13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Hrs/yr</w:t>
            </w:r>
          </w:p>
        </w:tc>
        <w:tc>
          <w:tcPr>
            <w:tcW w:type="dxa" w:w="414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Reform recommendation</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1</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Risk committee architecture</w:t>
            </w:r>
          </w:p>
        </w:tc>
        <w:tc>
          <w:tcPr>
            <w:tcW w:type="dxa" w:w="1100"/>
            <w:tcBorders>
              <w:top w:val="single" w:color="BFBFBF" w:sz="1"/>
              <w:left w:val="single" w:color="BFBFBF" w:sz="1"/>
              <w:bottom w:val="single" w:color="BFBFBF" w:sz="1"/>
              <w:right w:val="single" w:color="BFBFBF" w:sz="1"/>
            </w:tcBorders>
            <w:shd w:fill="F8CBAD" w:val="clear"/>
            <w:tcMar>
              <w:top w:type="dxa" w:w="50"/>
              <w:left w:type="dxa" w:w="80"/>
              <w:bottom w:type="dxa" w:w="50"/>
              <w:right w:type="dxa" w:w="80"/>
            </w:tcMar>
          </w:tcPr>
          <w:p>
            <w:pPr>
              <w:spacing w:after="0"/>
              <w:jc w:val="left"/>
            </w:pPr>
            <w:r>
              <w:rPr>
                <w:rFonts w:ascii="Arial" w:cs="Arial" w:eastAsia="Arial" w:hAnsi="Arial"/>
                <w:sz w:val="14"/>
                <w:szCs w:val="14"/>
              </w:rPr>
              <w:t xml:space="preserve">Critical</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~80/yr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Harmonize Fed and OCC risk-committee requirements via joint rulemaking, single standard at the consolidated level; preserve sanctity-of-charter through a streamlined certification rather than a full parallel committee.</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2</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Risk appetite statement approval</w:t>
            </w:r>
          </w:p>
        </w:tc>
        <w:tc>
          <w:tcPr>
            <w:tcW w:type="dxa" w:w="1100"/>
            <w:tcBorders>
              <w:top w:val="single" w:color="BFBFBF" w:sz="1"/>
              <w:left w:val="single" w:color="BFBFBF" w:sz="1"/>
              <w:bottom w:val="single" w:color="BFBFBF" w:sz="1"/>
              <w:right w:val="single" w:color="BFBFBF" w:sz="1"/>
            </w:tcBorders>
            <w:shd w:fill="F8CBAD" w:val="clear"/>
            <w:tcMar>
              <w:top w:type="dxa" w:w="50"/>
              <w:left w:type="dxa" w:w="80"/>
              <w:bottom w:type="dxa" w:w="50"/>
              <w:right w:type="dxa" w:w="80"/>
            </w:tcMar>
          </w:tcPr>
          <w:p>
            <w:pPr>
              <w:spacing w:after="0"/>
              <w:jc w:val="left"/>
            </w:pPr>
            <w:r>
              <w:rPr>
                <w:rFonts w:ascii="Arial" w:cs="Arial" w:eastAsia="Arial" w:hAnsi="Arial"/>
                <w:sz w:val="14"/>
                <w:szCs w:val="14"/>
              </w:rPr>
              <w:t xml:space="preserve">Critical</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~40/yr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Single interagency risk-appetite template; one board-approved document satisfies all three with a safe harbor.</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3</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CRO / CRE appointment &amp; compensation</w:t>
            </w:r>
          </w:p>
        </w:tc>
        <w:tc>
          <w:tcPr>
            <w:tcW w:type="dxa" w:w="1100"/>
            <w:tcBorders>
              <w:top w:val="single" w:color="BFBFBF" w:sz="1"/>
              <w:left w:val="single" w:color="BFBFBF" w:sz="1"/>
              <w:bottom w:val="single" w:color="BFBFBF" w:sz="1"/>
              <w:right w:val="single" w:color="BFBFBF" w:sz="1"/>
            </w:tcBorders>
            <w:shd w:fill="FCE4D6" w:val="clear"/>
            <w:tcMar>
              <w:top w:type="dxa" w:w="50"/>
              <w:left w:type="dxa" w:w="80"/>
              <w:bottom w:type="dxa" w:w="50"/>
              <w:right w:type="dxa" w:w="80"/>
            </w:tcMar>
          </w:tcPr>
          <w:p>
            <w:pPr>
              <w:spacing w:after="0"/>
              <w:jc w:val="left"/>
            </w:pPr>
            <w:r>
              <w:rPr>
                <w:rFonts w:ascii="Arial" w:cs="Arial" w:eastAsia="Arial" w:hAnsi="Arial"/>
                <w:sz w:val="14"/>
                <w:szCs w:val="14"/>
              </w:rPr>
              <w:t xml:space="preserve">High</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~30/yr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Consolidate into Reg YY; OCC incorporates by reference for firms subject to both.</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4</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Audit committee independence</w:t>
            </w:r>
          </w:p>
        </w:tc>
        <w:tc>
          <w:tcPr>
            <w:tcW w:type="dxa" w:w="1100"/>
            <w:tcBorders>
              <w:top w:val="single" w:color="BFBFBF" w:sz="1"/>
              <w:left w:val="single" w:color="BFBFBF" w:sz="1"/>
              <w:bottom w:val="single" w:color="BFBFBF" w:sz="1"/>
              <w:right w:val="single" w:color="BFBFBF" w:sz="1"/>
            </w:tcBorders>
            <w:shd w:fill="FCE4D6" w:val="clear"/>
            <w:tcMar>
              <w:top w:type="dxa" w:w="50"/>
              <w:left w:type="dxa" w:w="80"/>
              <w:bottom w:type="dxa" w:w="50"/>
              <w:right w:type="dxa" w:w="80"/>
            </w:tcMar>
          </w:tcPr>
          <w:p>
            <w:pPr>
              <w:spacing w:after="0"/>
              <w:jc w:val="left"/>
            </w:pPr>
            <w:r>
              <w:rPr>
                <w:rFonts w:ascii="Arial" w:cs="Arial" w:eastAsia="Arial" w:hAnsi="Arial"/>
                <w:sz w:val="14"/>
                <w:szCs w:val="14"/>
              </w:rPr>
              <w:t xml:space="preserve">High</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~60/yr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Joint interagency statement with a single 'independent director' definition for banking organizations.</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5</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Internal controls oversight (ICFR)</w:t>
            </w:r>
          </w:p>
        </w:tc>
        <w:tc>
          <w:tcPr>
            <w:tcW w:type="dxa" w:w="1100"/>
            <w:tcBorders>
              <w:top w:val="single" w:color="BFBFBF" w:sz="1"/>
              <w:left w:val="single" w:color="BFBFBF" w:sz="1"/>
              <w:bottom w:val="single" w:color="BFBFBF" w:sz="1"/>
              <w:right w:val="single" w:color="BFBFBF" w:sz="1"/>
            </w:tcBorders>
            <w:shd w:fill="FCE4D6" w:val="clear"/>
            <w:tcMar>
              <w:top w:type="dxa" w:w="50"/>
              <w:left w:type="dxa" w:w="80"/>
              <w:bottom w:type="dxa" w:w="50"/>
              <w:right w:type="dxa" w:w="80"/>
            </w:tcMar>
          </w:tcPr>
          <w:p>
            <w:pPr>
              <w:spacing w:after="0"/>
              <w:jc w:val="left"/>
            </w:pPr>
            <w:r>
              <w:rPr>
                <w:rFonts w:ascii="Arial" w:cs="Arial" w:eastAsia="Arial" w:hAnsi="Arial"/>
                <w:sz w:val="14"/>
                <w:szCs w:val="14"/>
              </w:rPr>
              <w:t xml:space="preserve">High</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~50/yr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Permit SOX 404(b) attestation to satisfy FDICIA ICFR by cross-reference; align the fiscal- and calendar-year cycles.</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6</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Recovery / contingency / resolution planning</w:t>
            </w:r>
          </w:p>
        </w:tc>
        <w:tc>
          <w:tcPr>
            <w:tcW w:type="dxa" w:w="1100"/>
            <w:tcBorders>
              <w:top w:val="single" w:color="BFBFBF" w:sz="1"/>
              <w:left w:val="single" w:color="BFBFBF" w:sz="1"/>
              <w:bottom w:val="single" w:color="BFBFBF" w:sz="1"/>
              <w:right w:val="single" w:color="BFBFBF" w:sz="1"/>
            </w:tcBorders>
            <w:shd w:fill="FCE4D6" w:val="clear"/>
            <w:tcMar>
              <w:top w:type="dxa" w:w="50"/>
              <w:left w:type="dxa" w:w="80"/>
              <w:bottom w:type="dxa" w:w="50"/>
              <w:right w:type="dxa" w:w="80"/>
            </w:tcMar>
          </w:tcPr>
          <w:p>
            <w:pPr>
              <w:spacing w:after="0"/>
              <w:jc w:val="left"/>
            </w:pPr>
            <w:r>
              <w:rPr>
                <w:rFonts w:ascii="Arial" w:cs="Arial" w:eastAsia="Arial" w:hAnsi="Arial"/>
                <w:sz w:val="14"/>
                <w:szCs w:val="14"/>
              </w:rPr>
              <w:t xml:space="preserve">High</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~55/yr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Integrate into a single 'resilience planning' framework with one annual board approval and modular content.</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7</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Incentive compensation governance</w:t>
            </w:r>
          </w:p>
        </w:tc>
        <w:tc>
          <w:tcPr>
            <w:tcW w:type="dxa" w:w="1100"/>
            <w:tcBorders>
              <w:top w:val="single" w:color="BFBFBF" w:sz="1"/>
              <w:left w:val="single" w:color="BFBFBF" w:sz="1"/>
              <w:bottom w:val="single" w:color="BFBFBF" w:sz="1"/>
              <w:right w:val="single" w:color="BFBFBF" w:sz="1"/>
            </w:tcBorders>
            <w:shd w:fill="FCE4D6" w:val="clear"/>
            <w:tcMar>
              <w:top w:type="dxa" w:w="50"/>
              <w:left w:type="dxa" w:w="80"/>
              <w:bottom w:type="dxa" w:w="50"/>
              <w:right w:type="dxa" w:w="80"/>
            </w:tcMar>
          </w:tcPr>
          <w:p>
            <w:pPr>
              <w:spacing w:after="0"/>
              <w:jc w:val="left"/>
            </w:pPr>
            <w:r>
              <w:rPr>
                <w:rFonts w:ascii="Arial" w:cs="Arial" w:eastAsia="Arial" w:hAnsi="Arial"/>
                <w:sz w:val="14"/>
                <w:szCs w:val="14"/>
              </w:rPr>
              <w:t xml:space="preserve">High</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~40/yr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Finalize one section 956 framework that supersedes overlapping guidance, or rely on existing guidance; state that SEC comp-committee independence satisfies the prudential governance element.</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8</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Cybersecurity oversight</w:t>
            </w:r>
          </w:p>
        </w:tc>
        <w:tc>
          <w:tcPr>
            <w:tcW w:type="dxa" w:w="1100"/>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4"/>
                <w:szCs w:val="14"/>
              </w:rPr>
              <w:t xml:space="preserve">Moderate</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~35/yr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Joint SEC/banking-agency guidance that one documented board cyber-oversight framework satisfies disclosure and safety-and-soundness.</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9</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Third-party risk oversight</w:t>
            </w:r>
          </w:p>
        </w:tc>
        <w:tc>
          <w:tcPr>
            <w:tcW w:type="dxa" w:w="1100"/>
            <w:tcBorders>
              <w:top w:val="single" w:color="BFBFBF" w:sz="1"/>
              <w:left w:val="single" w:color="BFBFBF" w:sz="1"/>
              <w:bottom w:val="single" w:color="BFBFBF" w:sz="1"/>
              <w:right w:val="single" w:color="BFBFBF" w:sz="1"/>
            </w:tcBorders>
            <w:shd w:fill="FCE4D6" w:val="clear"/>
            <w:tcMar>
              <w:top w:type="dxa" w:w="50"/>
              <w:left w:type="dxa" w:w="80"/>
              <w:bottom w:type="dxa" w:w="50"/>
              <w:right w:type="dxa" w:w="80"/>
            </w:tcMar>
          </w:tcPr>
          <w:p>
            <w:pPr>
              <w:spacing w:after="0"/>
              <w:jc w:val="left"/>
            </w:pPr>
            <w:r>
              <w:rPr>
                <w:rFonts w:ascii="Arial" w:cs="Arial" w:eastAsia="Arial" w:hAnsi="Arial"/>
                <w:sz w:val="14"/>
                <w:szCs w:val="14"/>
              </w:rPr>
              <w:t xml:space="preserve">Moderate-High</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~45/yr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Quantitative criteria for 'critical' third parties requiring board attention; management approval with aggregate board reporting for the rest.</w:t>
            </w:r>
          </w:p>
        </w:tc>
      </w:tr>
      <w:tr>
        <w:tc>
          <w:tcPr>
            <w:tcW w:type="dxa" w:w="4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5"/>
                <w:szCs w:val="15"/>
              </w:rPr>
              <w:t xml:space="preserve">10</w:t>
            </w:r>
          </w:p>
        </w:tc>
        <w:tc>
          <w:tcPr>
            <w:tcW w:type="dxa" w:w="24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Board effectiveness &amp; self-assessment</w:t>
            </w:r>
          </w:p>
        </w:tc>
        <w:tc>
          <w:tcPr>
            <w:tcW w:type="dxa" w:w="1100"/>
            <w:tcBorders>
              <w:top w:val="single" w:color="BFBFBF" w:sz="1"/>
              <w:left w:val="single" w:color="BFBFBF" w:sz="1"/>
              <w:bottom w:val="single" w:color="BFBFBF" w:sz="1"/>
              <w:right w:val="single" w:color="BFBFBF" w:sz="1"/>
            </w:tcBorders>
            <w:shd w:fill="E2EFDA" w:val="clear"/>
            <w:tcMar>
              <w:top w:type="dxa" w:w="50"/>
              <w:left w:type="dxa" w:w="80"/>
              <w:bottom w:type="dxa" w:w="50"/>
              <w:right w:type="dxa" w:w="80"/>
            </w:tcMar>
          </w:tcPr>
          <w:p>
            <w:pPr>
              <w:spacing w:after="0"/>
              <w:jc w:val="left"/>
            </w:pPr>
            <w:r>
              <w:rPr>
                <w:rFonts w:ascii="Arial" w:cs="Arial" w:eastAsia="Arial" w:hAnsi="Arial"/>
                <w:sz w:val="14"/>
                <w:szCs w:val="14"/>
              </w:rPr>
              <w:t xml:space="preserve">Moderate</w:t>
            </w:r>
          </w:p>
        </w:tc>
        <w:tc>
          <w:tcPr>
            <w:tcW w:type="dxa" w:w="13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~25/yr</w:t>
            </w:r>
          </w:p>
        </w:tc>
        <w:tc>
          <w:tcPr>
            <w:tcW w:type="dxa" w:w="414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Single interagency board-effectiveness assessment framework administered through the consolidated supervisor.</w:t>
            </w:r>
          </w:p>
        </w:tc>
      </w:tr>
    </w:tbl>
    <w:p>
      <w:r>
        <w:br w:type="page"/>
      </w:r>
    </w:p>
    <w:p>
      <w:pPr>
        <w:pStyle w:val="Heading1"/>
      </w:pPr>
      <w:r>
        <w:t xml:space="preserve">8. External corroboration of the duplication critique</w:t>
      </w:r>
    </w:p>
    <w:p>
      <w:pPr>
        <w:spacing w:after="120" w:before="0"/>
      </w:pPr>
      <w:r>
        <w:rPr>
          <w:rFonts w:ascii="Arial" w:cs="Arial" w:eastAsia="Arial" w:hAnsi="Arial"/>
          <w:sz w:val="22"/>
          <w:szCs w:val="22"/>
        </w:rPr>
        <w:t xml:space="preserve">American Bankers Association — letter to the OCC — Industry argues the OCC Heightened Standards duplicate the Federal Reserve's Regulation YY requirements and should be removed or adjusted to avoid duplication.</w:t>
      </w:r>
    </w:p>
    <w:p>
      <w:pPr>
        <w:spacing w:after="120" w:before="0"/>
      </w:pPr>
      <w:r>
        <w:rPr>
          <w:rFonts w:ascii="Arial" w:cs="Arial" w:eastAsia="Arial" w:hAnsi="Arial"/>
          <w:sz w:val="22"/>
          <w:szCs w:val="22"/>
        </w:rPr>
        <w:t xml:space="preserve">OCC — Heightened Standards NPRM (Bulletin 2025-51) — The OCC acknowledges the duplication concern and proposes raising the covered-bank threshold from $50B to $700B (GSIB lead banks remain covered), lending independent regulatory support to the duplication critique.</w:t>
      </w:r>
    </w:p>
    <w:p>
      <w:pPr>
        <w:spacing w:after="120" w:before="0"/>
      </w:pPr>
      <w:r>
        <w:rPr>
          <w:rFonts w:ascii="Arial" w:cs="Arial" w:eastAsia="Arial" w:hAnsi="Arial"/>
          <w:sz w:val="22"/>
          <w:szCs w:val="22"/>
        </w:rPr>
        <w:t xml:space="preserve">American Association of Bank Directors — “It is a misnomer to call them ‘Guidelines.’ They are enforceable rules” — the OCC can issue formal enforcement actions without rulemaking, making the Heightened Standards functionally regulatory.</w:t>
      </w:r>
    </w:p>
    <w:p>
      <w:pPr>
        <w:spacing w:after="120" w:before="0"/>
      </w:pPr>
      <w:r>
        <w:rPr>
          <w:rFonts w:ascii="Arial" w:cs="Arial" w:eastAsia="Arial" w:hAnsi="Arial"/>
          <w:sz w:val="22"/>
          <w:szCs w:val="22"/>
        </w:rPr>
        <w:t xml:space="preserve">Federal Reserve (Chair Powell, on BSA/AML) — “Across a range of responsibilities, we simply expect much more of boards of directors than ever before” — the agencies' own framing of the rising board burden.</w:t>
      </w:r>
    </w:p>
    <w:p>
      <w:pPr>
        <w:spacing w:after="120" w:before="0"/>
      </w:pPr>
      <w:r>
        <w:rPr>
          <w:rFonts w:ascii="Arial" w:cs="Arial" w:eastAsia="Arial" w:hAnsi="Arial"/>
          <w:sz w:val="22"/>
          <w:szCs w:val="22"/>
        </w:rPr>
        <w:t xml:space="preserve">FDIC (Directors McKernan and Hill, 2023 dissents) — Cited SR 21-3 and SR 16-11 (oversight, not outcome-guarantee) as the appropriate board standard in dissenting from the FDIC's stricter 2023 corporate-governance proposal (later withdrawn).</w:t>
      </w:r>
    </w:p>
    <w:p>
      <w:r>
        <w:br w:type="page"/>
      </w:r>
    </w:p>
    <w:p>
      <w:pPr>
        <w:pStyle w:val="Heading1"/>
      </w:pPr>
      <w:r>
        <w:t xml:space="preserve">9. Currency and transition notes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360"/>
        <w:gridCol w:w="2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Date</w:t>
            </w:r>
          </w:p>
        </w:tc>
        <w:tc>
          <w:tcPr>
            <w:tcW w:type="dxa" w:w="26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Development</w:t>
            </w:r>
          </w:p>
        </w:tc>
        <w:tc>
          <w:tcPr>
            <w:tcW w:type="dxa" w:w="336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Detail</w:t>
            </w:r>
          </w:p>
        </w:tc>
        <w:tc>
          <w:tcPr>
            <w:tcW w:type="dxa" w:w="22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pPr>
              <w:spacing w:after="0"/>
              <w:jc w:val="center"/>
            </w:pPr>
            <w:r>
              <w:rPr>
                <w:rFonts w:ascii="Arial" w:cs="Arial" w:eastAsia="Arial" w:hAnsi="Arial"/>
                <w:b/>
                <w:bCs/>
                <w:color w:val="FFFFFF"/>
                <w:sz w:val="16"/>
                <w:szCs w:val="16"/>
              </w:rPr>
              <w:t xml:space="preserve">Effect</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2025-03</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FDIC 2023 corporate-governance proposal withdrawn</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The FDIC withdrew its proposed Part 364 corporate-governance/risk-management guidelines (board duty to 'confirm' compliance; majority-independent board). McKernan/Hill had dissented.</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No new binding IDI board obligation; do not treat the proposal as latent law.</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bCs/>
                <w:sz w:val="14"/>
                <w:szCs w:val="14"/>
              </w:rPr>
              <w:t xml:space="preserve">2025-08</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FFIEC Cybersecurity Assessment Tool sunset</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CAT retired Aug. 31, 2025; institutions pointed to NIST CSF 2.0 and others.</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Board expectations built on the CAT are untethered; underlying info-security obligation (CYB-01/02) unchanged.</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2026-04-17</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Model Risk Management guidance replaced</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SR 26-2 / OCC Bulletin 2026-13 superseded SR 11-7 and dropped the explicit board model-risk duty.</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No binding board model-risk obligation; the prior board-approval-and-annual-review duty is gone.</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bCs/>
                <w:sz w:val="14"/>
                <w:szCs w:val="14"/>
              </w:rPr>
              <w:t xml:space="preserve">2026-04-10</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Reputation-risk supervisory-use prohibition (rule)</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Interagency rule bars examiners from using reputation risk and strikes reputational-risk references from the safety-and-soundness and information-security guidelines.</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Narrows the surface area of board oversight.</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2026-05-01</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OCC recovery-planning guidelines (App. E) rescinded</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Final rule (91 FR doc. 2026-06281; OCC Bulletin 2026-10) removes the IDI board recovery-plan approval duty.</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Eliminates a binding IDI board obligation (RES-03); only the SR 14-8 holding-company oversight expectation remains.</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bCs/>
                <w:sz w:val="14"/>
                <w:szCs w:val="14"/>
              </w:rPr>
              <w:t xml:space="preserve">ongoing</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Dodd-Frank section 956 incentive-comp — unimplemented</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Three proposals (2011, 2016, 2024); 12 CFR part 236 reserved; FRB and SEC declined to join the 2024 reproposal.</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No binding board incentive-comp obligation; only the 2010 guidance is operative (in the expectations inventory).</w:t>
            </w:r>
          </w:p>
        </w:tc>
      </w:tr>
      <w:tr>
        <w:tc>
          <w:tcPr>
            <w:tcW w:type="dxa" w:w="1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b/>
                <w:bCs/>
                <w:sz w:val="14"/>
                <w:szCs w:val="14"/>
              </w:rPr>
              <w:t xml:space="preserve">ongoing</w:t>
            </w:r>
          </w:p>
        </w:tc>
        <w:tc>
          <w:tcPr>
            <w:tcW w:type="dxa" w:w="26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4"/>
                <w:szCs w:val="14"/>
              </w:rPr>
              <w:t xml:space="preserve">Dodd-Frank section 165(m) early remediation — unimplemented</w:t>
            </w:r>
          </w:p>
        </w:tc>
        <w:tc>
          <w:tcPr>
            <w:tcW w:type="dxa" w:w="336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Section 165(m) directs the Fed to establish early-remediation requirements; no dedicated rule has been issued.</w:t>
            </w:r>
          </w:p>
        </w:tc>
        <w:tc>
          <w:tcPr>
            <w:tcW w:type="dxa" w:w="22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spacing w:after="0"/>
              <w:jc w:val="left"/>
            </w:pPr>
            <w:r>
              <w:rPr>
                <w:rFonts w:ascii="Arial" w:cs="Arial" w:eastAsia="Arial" w:hAnsi="Arial"/>
                <w:sz w:val="13"/>
                <w:szCs w:val="13"/>
              </w:rPr>
              <w:t xml:space="preserve">No discrete binding board early-remediation obligation in force.</w:t>
            </w:r>
          </w:p>
        </w:tc>
      </w:tr>
      <w:tr>
        <w:tc>
          <w:tcPr>
            <w:tcW w:type="dxa" w:w="1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b/>
                <w:bCs/>
                <w:sz w:val="14"/>
                <w:szCs w:val="14"/>
              </w:rPr>
              <w:t xml:space="preserve">2025-12</w:t>
            </w:r>
          </w:p>
        </w:tc>
        <w:tc>
          <w:tcPr>
            <w:tcW w:type="dxa" w:w="26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4"/>
                <w:szCs w:val="14"/>
              </w:rPr>
              <w:t xml:space="preserve">OCC Heightened Standards threshold NPRM</w:t>
            </w:r>
          </w:p>
        </w:tc>
        <w:tc>
          <w:tcPr>
            <w:tcW w:type="dxa" w:w="336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OCC Bulletin 2025-51 proposes raising the covered-bank threshold from $50B to $700B.</w:t>
            </w:r>
          </w:p>
        </w:tc>
        <w:tc>
          <w:tcPr>
            <w:tcW w:type="dxa" w:w="220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spacing w:after="0"/>
              <w:jc w:val="left"/>
            </w:pPr>
            <w:r>
              <w:rPr>
                <w:rFonts w:ascii="Arial" w:cs="Arial" w:eastAsia="Arial" w:hAnsi="Arial"/>
                <w:sz w:val="13"/>
                <w:szCs w:val="13"/>
              </w:rPr>
              <w:t xml:space="preserve">GSIB lead IDIs remain covered; signals possible softening of App. D board standards.</w:t>
            </w:r>
          </w:p>
        </w:tc>
      </w:tr>
    </w:tbl>
    <w:p>
      <w:r>
        <w:br w:type="page"/>
      </w:r>
    </w:p>
    <w:p>
      <w:pPr>
        <w:pStyle w:val="Heading1"/>
      </w:pPr>
      <w:r>
        <w:t xml:space="preserve">10. Reform recommendations, by actor</w:t>
      </w:r>
    </w:p>
    <w:p>
      <w:pPr>
        <w:pStyle w:val="Heading2"/>
      </w:pPr>
      <w:r>
        <w:t xml:space="preserve">Interagency</w:t>
      </w:r>
    </w:p>
    <w:p>
      <w:pPr>
        <w:pStyle w:val="ListParagraph"/>
        <w:numPr>
          <w:ilvl w:val="0"/>
          <w:numId w:val="2"/>
        </w:numPr>
        <w:spacing w:after="70"/>
      </w:pPr>
      <w:r>
        <w:rPr>
          <w:rFonts w:ascii="Arial" w:cs="Arial" w:eastAsia="Arial" w:hAnsi="Arial"/>
          <w:sz w:val="22"/>
          <w:szCs w:val="22"/>
        </w:rPr>
        <w:t xml:space="preserve">Harmonize risk-committee requirements (single standard at the consolidated level).</w:t>
      </w:r>
    </w:p>
    <w:p>
      <w:pPr>
        <w:pStyle w:val="ListParagraph"/>
        <w:numPr>
          <w:ilvl w:val="0"/>
          <w:numId w:val="2"/>
        </w:numPr>
        <w:spacing w:after="70"/>
      </w:pPr>
      <w:r>
        <w:rPr>
          <w:rFonts w:ascii="Arial" w:cs="Arial" w:eastAsia="Arial" w:hAnsi="Arial"/>
          <w:sz w:val="22"/>
          <w:szCs w:val="22"/>
        </w:rPr>
        <w:t xml:space="preserve">Adopt one interagency risk-appetite template with a safe harbor.</w:t>
      </w:r>
    </w:p>
    <w:p>
      <w:pPr>
        <w:pStyle w:val="ListParagraph"/>
        <w:numPr>
          <w:ilvl w:val="0"/>
          <w:numId w:val="2"/>
        </w:numPr>
        <w:spacing w:after="70"/>
      </w:pPr>
      <w:r>
        <w:rPr>
          <w:rFonts w:ascii="Arial" w:cs="Arial" w:eastAsia="Arial" w:hAnsi="Arial"/>
          <w:sz w:val="22"/>
          <w:szCs w:val="22"/>
        </w:rPr>
        <w:t xml:space="preserve">Single 'independent director' definition for banking organizations.</w:t>
      </w:r>
    </w:p>
    <w:p>
      <w:pPr>
        <w:pStyle w:val="ListParagraph"/>
        <w:numPr>
          <w:ilvl w:val="0"/>
          <w:numId w:val="2"/>
        </w:numPr>
        <w:spacing w:after="70"/>
      </w:pPr>
      <w:r>
        <w:rPr>
          <w:rFonts w:ascii="Arial" w:cs="Arial" w:eastAsia="Arial" w:hAnsi="Arial"/>
          <w:sz w:val="22"/>
          <w:szCs w:val="22"/>
        </w:rPr>
        <w:t xml:space="preserve">Permit SOX 404(b) to satisfy FDICIA ICFR by cross-reference.</w:t>
      </w:r>
    </w:p>
    <w:p>
      <w:pPr>
        <w:pStyle w:val="ListParagraph"/>
        <w:numPr>
          <w:ilvl w:val="0"/>
          <w:numId w:val="2"/>
        </w:numPr>
        <w:spacing w:after="70"/>
      </w:pPr>
      <w:r>
        <w:rPr>
          <w:rFonts w:ascii="Arial" w:cs="Arial" w:eastAsia="Arial" w:hAnsi="Arial"/>
          <w:sz w:val="22"/>
          <w:szCs w:val="22"/>
        </w:rPr>
        <w:t xml:space="preserve">Integrate recovery, contingency funding, and resolution into one 'resilience planning' framework.</w:t>
      </w:r>
    </w:p>
    <w:p>
      <w:pPr>
        <w:pStyle w:val="Heading2"/>
      </w:pPr>
      <w:r>
        <w:t xml:space="preserve">Federal Reserve</w:t>
      </w:r>
    </w:p>
    <w:p>
      <w:pPr>
        <w:pStyle w:val="ListParagraph"/>
        <w:numPr>
          <w:ilvl w:val="0"/>
          <w:numId w:val="2"/>
        </w:numPr>
        <w:spacing w:after="70"/>
      </w:pPr>
      <w:r>
        <w:rPr>
          <w:rFonts w:ascii="Arial" w:cs="Arial" w:eastAsia="Arial" w:hAnsi="Arial"/>
          <w:sz w:val="22"/>
          <w:szCs w:val="22"/>
        </w:rPr>
        <w:t xml:space="preserve">Codify SR 12-17 governance content into Reg YY and retire the letter (clarify mandatory vs. guidance).</w:t>
      </w:r>
    </w:p>
    <w:p>
      <w:pPr>
        <w:pStyle w:val="ListParagraph"/>
        <w:numPr>
          <w:ilvl w:val="0"/>
          <w:numId w:val="2"/>
        </w:numPr>
        <w:spacing w:after="70"/>
      </w:pPr>
      <w:r>
        <w:rPr>
          <w:rFonts w:ascii="Arial" w:cs="Arial" w:eastAsia="Arial" w:hAnsi="Arial"/>
          <w:sz w:val="22"/>
          <w:szCs w:val="22"/>
        </w:rPr>
        <w:t xml:space="preserve">Consolidate CRO requirements across Reg YY and SR 15-18.</w:t>
      </w:r>
    </w:p>
    <w:p>
      <w:pPr>
        <w:pStyle w:val="ListParagraph"/>
        <w:numPr>
          <w:ilvl w:val="0"/>
          <w:numId w:val="2"/>
        </w:numPr>
        <w:spacing w:after="70"/>
      </w:pPr>
      <w:r>
        <w:rPr>
          <w:rFonts w:ascii="Arial" w:cs="Arial" w:eastAsia="Arial" w:hAnsi="Arial"/>
          <w:sz w:val="22"/>
          <w:szCs w:val="22"/>
        </w:rPr>
        <w:t xml:space="preserve">State that OCC App. D compliance at the bank level satisfies corresponding Reg YY duties where the bank is ~95%+ of consolidated assets.</w:t>
      </w:r>
    </w:p>
    <w:p>
      <w:pPr>
        <w:pStyle w:val="Heading2"/>
      </w:pPr>
      <w:r>
        <w:t xml:space="preserve">OCC</w:t>
      </w:r>
    </w:p>
    <w:p>
      <w:pPr>
        <w:pStyle w:val="ListParagraph"/>
        <w:numPr>
          <w:ilvl w:val="0"/>
          <w:numId w:val="2"/>
        </w:numPr>
        <w:spacing w:after="70"/>
      </w:pPr>
      <w:r>
        <w:rPr>
          <w:rFonts w:ascii="Arial" w:cs="Arial" w:eastAsia="Arial" w:hAnsi="Arial"/>
          <w:sz w:val="22"/>
          <w:szCs w:val="22"/>
        </w:rPr>
        <w:t xml:space="preserve">Amend Heightened Standards to incorporate Reg YY compliance by reference for Fed-supervised BHC subsidiaries.</w:t>
      </w:r>
    </w:p>
    <w:p>
      <w:pPr>
        <w:pStyle w:val="ListParagraph"/>
        <w:numPr>
          <w:ilvl w:val="0"/>
          <w:numId w:val="2"/>
        </w:numPr>
        <w:spacing w:after="70"/>
      </w:pPr>
      <w:r>
        <w:rPr>
          <w:rFonts w:ascii="Arial" w:cs="Arial" w:eastAsia="Arial" w:hAnsi="Arial"/>
          <w:sz w:val="22"/>
          <w:szCs w:val="22"/>
        </w:rPr>
        <w:t xml:space="preserve">Finalize the $50B-&gt;$700B threshold (or a tailored tier).</w:t>
      </w:r>
    </w:p>
    <w:p>
      <w:pPr>
        <w:pStyle w:val="ListParagraph"/>
        <w:numPr>
          <w:ilvl w:val="0"/>
          <w:numId w:val="2"/>
        </w:numPr>
        <w:spacing w:after="70"/>
      </w:pPr>
      <w:r>
        <w:rPr>
          <w:rFonts w:ascii="Arial" w:cs="Arial" w:eastAsia="Arial" w:hAnsi="Arial"/>
          <w:sz w:val="22"/>
          <w:szCs w:val="22"/>
        </w:rPr>
        <w:t xml:space="preserve">Merge the Director's Book with the Heightened Standards into one document.</w:t>
      </w:r>
    </w:p>
    <w:p>
      <w:pPr>
        <w:pStyle w:val="Heading2"/>
      </w:pPr>
      <w:r>
        <w:t xml:space="preserve">SEC</w:t>
      </w:r>
    </w:p>
    <w:p>
      <w:pPr>
        <w:pStyle w:val="ListParagraph"/>
        <w:numPr>
          <w:ilvl w:val="0"/>
          <w:numId w:val="2"/>
        </w:numPr>
        <w:spacing w:after="70"/>
      </w:pPr>
      <w:r>
        <w:rPr>
          <w:rFonts w:ascii="Arial" w:cs="Arial" w:eastAsia="Arial" w:hAnsi="Arial"/>
          <w:sz w:val="22"/>
          <w:szCs w:val="22"/>
        </w:rPr>
        <w:t xml:space="preserve">Coordinate cybersecurity disclosure with FFIEC via a joint statement.</w:t>
      </w:r>
    </w:p>
    <w:p>
      <w:pPr>
        <w:pStyle w:val="ListParagraph"/>
        <w:numPr>
          <w:ilvl w:val="0"/>
          <w:numId w:val="2"/>
        </w:numPr>
        <w:spacing w:after="70"/>
      </w:pPr>
      <w:r>
        <w:rPr>
          <w:rFonts w:ascii="Arial" w:cs="Arial" w:eastAsia="Arial" w:hAnsi="Arial"/>
          <w:sz w:val="22"/>
          <w:szCs w:val="22"/>
        </w:rPr>
        <w:t xml:space="preserve">Permit compensation-committee independence compliance to satisfy prudential committee-independence expectations.</w:t>
      </w:r>
    </w:p>
    <w:p>
      <w:pPr>
        <w:pStyle w:val="Heading2"/>
      </w:pPr>
      <w:r>
        <w:t xml:space="preserve">Congress</w:t>
      </w:r>
    </w:p>
    <w:p>
      <w:pPr>
        <w:pStyle w:val="ListParagraph"/>
        <w:numPr>
          <w:ilvl w:val="0"/>
          <w:numId w:val="2"/>
        </w:numPr>
        <w:spacing w:after="70"/>
      </w:pPr>
      <w:r>
        <w:rPr>
          <w:rFonts w:ascii="Arial" w:cs="Arial" w:eastAsia="Arial" w:hAnsi="Arial"/>
          <w:sz w:val="22"/>
          <w:szCs w:val="22"/>
        </w:rPr>
        <w:t xml:space="preserve">Either finalize Dodd-Frank section 956 with a single framework or repeal the mandate to end the 15-year limbo.</w:t>
      </w:r>
    </w:p>
    <w:p>
      <w:pPr>
        <w:pStyle w:val="ListParagraph"/>
        <w:numPr>
          <w:ilvl w:val="0"/>
          <w:numId w:val="2"/>
        </w:numPr>
        <w:spacing w:after="70"/>
      </w:pPr>
      <w:r>
        <w:rPr>
          <w:rFonts w:ascii="Arial" w:cs="Arial" w:eastAsia="Arial" w:hAnsi="Arial"/>
          <w:sz w:val="22"/>
          <w:szCs w:val="22"/>
        </w:rPr>
        <w:t xml:space="preserve">Clarify the interaction of source-of-strength (1831o-1) and the OCC sanctity-of-charter principle for overlapping directors.</w:t>
      </w:r>
    </w:p>
    <w:p>
      <w:pPr>
        <w:spacing w:after="120" w:before="160"/>
      </w:pPr>
      <w:r>
        <w:rPr>
          <w:rFonts w:ascii="Arial" w:cs="Arial" w:eastAsia="Arial" w:hAnsi="Arial"/>
          <w:i/>
          <w:iCs/>
          <w:color w:val="808080"/>
          <w:sz w:val="18"/>
          <w:szCs w:val="18"/>
        </w:rPr>
        <w:t xml:space="preserve">This document was synthesized from four independent analyses and is offered as a working policy-reform reference; it summarizes binding obligations and is not legal advice. Confirm each citation and its current status against the issuing authority before reliance.</w:t>
      </w:r>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Binding Board Obligations — Category I U.S. GSIBs — as of June 5,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Binding Board Obligations — Category I U.S. GSIBs — as of June 5,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Binding Board Obligations — Category I U.S. GSIBs — as of June 5, 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1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2026-06-05T14:54:47.051Z</dcterms:created>
  <dcterms:modified xsi:type="dcterms:W3CDTF">2026-06-05T14:54:47.051Z</dcterms:modified>
</cp:coreProperties>
</file>

<file path=docProps/custom.xml><?xml version="1.0" encoding="utf-8"?>
<Properties xmlns="http://schemas.openxmlformats.org/officeDocument/2006/custom-properties" xmlns:vt="http://schemas.openxmlformats.org/officeDocument/2006/docPropsVTypes"/>
</file>