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Arial" w:cs="Arial" w:eastAsia="Arial" w:hAnsi="Arial"/>
          <w:b/>
          <w:bCs/>
          <w:color w:val="1F3864"/>
          <w:sz w:val="48"/>
          <w:szCs w:val="48"/>
        </w:rPr>
        <w:t xml:space="preserve">Inventory of Supervisory Expectations</w:t>
      </w:r>
    </w:p>
    <w:p>
      <w:pPr>
        <w:spacing w:after="80"/>
        <w:jc w:val="center"/>
      </w:pPr>
      <w:r>
        <w:rPr>
          <w:rFonts w:ascii="Arial" w:cs="Arial" w:eastAsia="Arial" w:hAnsi="Arial"/>
          <w:b/>
          <w:bCs/>
          <w:color w:val="2E5496"/>
          <w:sz w:val="36"/>
          <w:szCs w:val="36"/>
        </w:rPr>
        <w:t xml:space="preserve">of the Boards of Directors of Category I U.S. GSIBs</w:t>
      </w:r>
    </w:p>
    <w:p>
      <w:pPr>
        <w:spacing w:after="300"/>
        <w:jc w:val="center"/>
      </w:pPr>
      <w:r>
        <w:rPr>
          <w:rFonts w:ascii="Arial" w:cs="Arial" w:eastAsia="Arial" w:hAnsi="Arial"/>
          <w:i/>
          <w:iCs/>
          <w:color w:val="2E5496"/>
          <w:sz w:val="26"/>
          <w:szCs w:val="26"/>
        </w:rPr>
        <w:t xml:space="preserve">and their insured depository institution subsidiaries</w:t>
      </w:r>
    </w:p>
    <w:p>
      <w:pPr>
        <w:spacing w:after="60"/>
        <w:jc w:val="center"/>
      </w:pPr>
      <w:r>
        <w:rPr>
          <w:rFonts w:ascii="Arial" w:cs="Arial" w:eastAsia="Arial" w:hAnsi="Arial"/>
          <w:sz w:val="22"/>
          <w:szCs w:val="22"/>
        </w:rPr>
        <w:t xml:space="preserve">A citation-level working document for board-level supervisory-expectation reform</w:t>
      </w:r>
    </w:p>
    <w:p>
      <w:pPr>
        <w:spacing w:after="120"/>
        <w:jc w:val="center"/>
      </w:pPr>
      <w:r>
        <w:rPr>
          <w:rFonts w:ascii="Arial" w:cs="Arial" w:eastAsia="Arial" w:hAnsi="Arial"/>
          <w:b/>
          <w:bCs/>
          <w:sz w:val="22"/>
          <w:szCs w:val="22"/>
        </w:rPr>
        <w:t xml:space="preserve">As of June 4, 2026</w:t>
      </w:r>
    </w:p>
    <w:p>
      <w:pPr>
        <w:spacing w:after="600"/>
        <w:jc w:val="center"/>
      </w:pPr>
      <w:r>
        <w:rPr>
          <w:rFonts w:ascii="Arial" w:cs="Arial" w:eastAsia="Arial" w:hAnsi="Arial"/>
          <w:i/>
          <w:iCs/>
          <w:color w:val="808080"/>
          <w:sz w:val="20"/>
          <w:szCs w:val="20"/>
        </w:rPr>
        <w:t xml:space="preserve">Version 3.0 — source-verified, expanded, with conflict analysis</w:t>
      </w:r>
    </w:p>
    <w:p>
      <w:pPr>
        <w:spacing w:after="120"/>
        <w:jc w:val="center"/>
      </w:pPr>
      <w:r>
        <w:rPr>
          <w:rFonts w:ascii="Arial" w:cs="Arial" w:eastAsia="Arial" w:hAnsi="Arial"/>
          <w:i/>
          <w:iCs/>
          <w:color w:val="808080"/>
          <w:sz w:val="20"/>
          <w:szCs w:val="20"/>
        </w:rPr>
        <w:t xml:space="preserve">Covered firms: JPMorgan Chase · Bank of America · Citigroup · Wells Fargo · Goldman Sachs · Morgan Stanley · BNY · State Street</w:t>
      </w:r>
    </w:p>
    <w:p>
      <w:r>
        <w:br w:type="page"/>
      </w:r>
    </w:p>
    <w:p>
      <w:pPr>
        <w:spacing w:after="160" w:before="0"/>
      </w:pPr>
      <w:r>
        <w:rPr>
          <w:rFonts w:ascii="Arial" w:cs="Arial" w:eastAsia="Arial" w:hAnsi="Arial"/>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0"/>
      </w:pPr>
      <w:r>
        <w:rPr>
          <w:rFonts w:ascii="Arial" w:cs="Arial" w:eastAsia="Arial" w:hAnsi="Arial"/>
          <w:sz w:val="22"/>
          <w:szCs w:val="22"/>
        </w:rPr>
        <w:t xml:space="preserve">This inventory catalogues, at citation level, the supervisory expectations that current federal banking and consumer-protection guidance places on the boards of directors of the eight Category I U.S. global systemically important bank holding companies (GSIBs) and their insured depository institution (IDI) subsidiaries. It is confined to supervisory expectations — the expectations articulated through supervision-and-regulation (SR) and consumer-affairs (CA) letters, OCC bulletins and Comptroller's Handbook booklets, FDIC financial-institution letters and manuals, FFIEC examination manuals, the CFPB supervision manual, and interagency guidance and enforceable guidelines. A companion analysis addresses the distinct universe of statutory and regulatory legal obligations; rule provisions appear here only where a supervisory expectation is inseparable from the rule that creates it.</w:t>
      </w:r>
    </w:p>
    <w:p>
      <w:pPr>
        <w:spacing w:after="120" w:before="0"/>
      </w:pPr>
      <w:r>
        <w:rPr>
          <w:rFonts w:ascii="Arial" w:cs="Arial" w:eastAsia="Arial" w:hAnsi="Arial"/>
          <w:sz w:val="22"/>
          <w:szCs w:val="22"/>
        </w:rPr>
        <w:t xml:space="preserve">The inventory contains 149 discrete board-level entries across thirteen supervisory domains: cross-cutting corporate governance and safety-and-soundness; board structure and committee governance; capital planning and stress testing; liquidity risk management; resolution planning; recovery planning; operational resilience; model risk governance; third-party risk management; incentive compensation; cybersecurity governance; BSA/AML program oversight; and consumer compliance oversight. Each entry records the precise source and citation, the nature of the board responsibility, whether the expectation falls on the full board or a specific committee, any distinction it draws between inside and outside or independent and non-independent directors, and its current status.</w:t>
      </w:r>
    </w:p>
    <w:p>
      <w:pPr>
        <w:spacing w:after="120" w:before="0"/>
      </w:pPr>
      <w:r>
        <w:rPr>
          <w:rFonts w:ascii="Arial" w:cs="Arial" w:eastAsia="Arial" w:hAnsi="Arial"/>
          <w:sz w:val="22"/>
          <w:szCs w:val="22"/>
        </w:rPr>
        <w:t xml:space="preserve">This is Version 3.0. Version 2.0 reconciled the inventory against an independent, source-backed catalog and added: the Federal Reserve stress-testing framework guidance (SR 12-7); the internal-audit supplemental policy statement (SR 13-1); the full committee-by-committee breakdown from the OCC Corporate and Risk Governance handbook (executive, audit, credit, asset-liability, risk, fiduciary, compensation, and governance/nominating committees); the OCC Internal and External Audits handbook (audit-committee composition under 12 CFR part 363); the OCC Liquidity handbook; the fuller FDIC Risk Management Manual of Examination Policies; and the holding-company versus insured-depository-institution subsidiary board tension. Version 3.0 adds a legal-conflict layer (Section 7): the intra-agency 'ensure' versus 'oversee' tension between SR 12-17 and SR 21-3; the status of the Federal Reserve examination manuals (disclaimed by SR 21-4 but not withdrawn); the director-independence threshold divergence across agencies; the FDIC's withdrawn 2023 corporate-governance guidelines; the source-of-strength versus 'sanctity of the charter' tension; and proportionality as the organizing reform principle.</w:t>
      </w:r>
    </w:p>
    <w:p>
      <w:pPr>
        <w:spacing w:after="120" w:before="0"/>
      </w:pPr>
      <w:r>
        <w:rPr>
          <w:rFonts w:ascii="Arial" w:cs="Arial" w:eastAsia="Arial" w:hAnsi="Arial"/>
          <w:sz w:val="22"/>
          <w:szCs w:val="22"/>
        </w:rPr>
        <w:t xml:space="preserve">Three structural findings stand out for reform purposes. First, a small number of board acts — approving a risk-appetite statement, approving a written program or policy, receiving periodic management reporting, and overseeing an independent control function — recur across nearly every domain and nearly every agency, producing substantial duplication of the same underlying board behavior under many separately citable sources. Second, the allocation of a given duty between the full board and a committee, and the choice of which committee, is inconsistent across guidance: the same conceptual duty is variously assigned to the full board, to ‘the board or a designated committee,’ to the risk committee, or to the audit committee. Third, director-independence expectations are scattered and non-uniform — the OCC Heightened Standards require at least two independent directors, Regulation YY requires an independent director on the risk committee, and SR 21-3 calls for an empowered lead independent director — with no single consolidated standard.</w:t>
      </w:r>
    </w:p>
    <w:p>
      <w:pPr>
        <w:spacing w:after="120" w:before="0"/>
      </w:pPr>
      <w:r>
        <w:rPr>
          <w:rFonts w:ascii="Arial" w:cs="Arial" w:eastAsia="Arial" w:hAnsi="Arial"/>
          <w:sz w:val="22"/>
          <w:szCs w:val="22"/>
        </w:rPr>
        <w:t xml:space="preserve">A fourth finding is temporal. The 2025–2026 period brought significant deregulatory change that thins or reweights several of these expectations: the Federal Reserve recalibrated the Large Financial Institution rating framework so that a governance deficiency alone no longer renders a firm ‘not well managed’ (November 5, 2025); the interagency model-risk guidance (SR 11-7) was replaced by a principles-based standard that no longer states explicit board duties (April 17, 2026); the OCC rescinded its recovery-planning guidelines and the board’s duty to approve the IDI recovery plan (effective May 1, 2026); the FFIEC Cybersecurity Assessment Tool was retired (August 31, 2025); and the CFPB moved to a sharply curtailed ‘humility’ supervision posture (announced November 21, 2025). The Currency Log section and the per-entry status fields track each of these.</w:t>
      </w:r>
    </w:p>
    <w:p>
      <w:pPr>
        <w:pStyle w:val="Heading1"/>
      </w:pPr>
      <w:r>
        <w:t xml:space="preserve">2. Scope, method, and how to read this inventory</w:t>
      </w:r>
    </w:p>
    <w:p>
      <w:pPr>
        <w:spacing w:after="120" w:before="0"/>
      </w:pPr>
      <w:r>
        <w:rPr>
          <w:rFonts w:ascii="Arial" w:cs="Arial" w:eastAsia="Arial" w:hAnsi="Arial"/>
          <w:sz w:val="22"/>
          <w:szCs w:val="22"/>
        </w:rPr>
        <w:t xml:space="preserve">Scope. Supervisory expectations (guidance: SR/CA letters, OCC Bulletins/Handbooks, FDIC FILs/manuals, FFIEC manuals, CFPB exam manual, interagency guidance and enforceable guidelines) applicable to the boards of directors of the eight Category I U.S. GSIBs (JPMorgan Chase, Bank of America, Citigroup, Wells Fargo, Goldman Sachs, Morgan Stanley, BNY, State Street) and their insured depository institution subsidiaries. A separate analysis addresses statutory/regulatory legal obligations; certain rule provisions are cited here only where the supervisory expectation is inseparable from them.</w:t>
      </w:r>
    </w:p>
    <w:p>
      <w:pPr>
        <w:spacing w:after="120" w:before="0"/>
      </w:pPr>
      <w:r>
        <w:rPr>
          <w:rFonts w:ascii="Arial" w:cs="Arial" w:eastAsia="Arial" w:hAnsi="Arial"/>
          <w:sz w:val="22"/>
          <w:szCs w:val="22"/>
        </w:rPr>
        <w:t xml:space="preserve">Method. The inventory was assembled from primary agency sources and the status of each cited document was verified against the issuing agency as of June 2026. Because guidance in this area changed rapidly in 2025–2026, fast-moving items should be re-verified against the agency source before reliance.</w:t>
      </w:r>
    </w:p>
    <w:p>
      <w:pPr>
        <w:spacing w:after="120" w:before="0"/>
      </w:pPr>
      <w:r>
        <w:rPr>
          <w:rFonts w:ascii="Arial" w:cs="Arial" w:eastAsia="Arial" w:hAnsi="Arial"/>
          <w:sz w:val="22"/>
          <w:szCs w:val="22"/>
        </w:rPr>
        <w:t xml:space="preserve">Guidance versus law. Under the Interagency Statement Clarifying the Role of Supervisory Guidance, guidance does not carry the force and effect of law, and a failure to comply with guidance will not, by itself, be a basis for supervisory criticism. Several items below are exceptions because they are enforceable regulations or guidelines rather than guidance — notably the Interagency Guidelines Establishing Information Security Standards (12 CFR part 30 Appendix B), the OCC Heightened Standards (12 CFR part 30 Appendix D), the Regulation YY enhanced prudential standards, and the capital plan rule (12 CFR 225.8). These are flagged in the entry notes.</w:t>
      </w:r>
    </w:p>
    <w:p>
      <w:pPr>
        <w:spacing w:after="120" w:before="0"/>
      </w:pPr>
      <w:r>
        <w:rPr>
          <w:rFonts w:ascii="Arial" w:cs="Arial" w:eastAsia="Arial" w:hAnsi="Arial"/>
          <w:sz w:val="22"/>
          <w:szCs w:val="22"/>
        </w:rPr>
        <w:t xml:space="preserve">How to read the entries. The detailed inventory (Section 4) is organized by domain. Within each domain, every entry carries a stable identifier (e.g., GOV-01, CAP-02) that matches the accompanying Excel workbook. The bold line gives the identifier and the board level on which the expectation falls; the body states the expectation; the italic line gives the source, citation, issuing agency, any inside/outside or independent-director distinction, and current status.</w:t>
      </w:r>
    </w:p>
    <w:p>
      <w:pPr>
        <w:spacing w:after="120" w:before="0"/>
      </w:pPr>
      <w:r>
        <w:rPr>
          <w:rFonts w:ascii="Arial" w:cs="Arial" w:eastAsia="Arial" w:hAnsi="Arial"/>
          <w:sz w:val="22"/>
          <w:szCs w:val="22"/>
        </w:rPr>
        <w:t xml:space="preserve">The matrix. Section 3 presents the domain × board-level matrix — the primary reform lens — mapping which board levels carry expectations in each domain so that duplication and overlap are visible at a glance. The companion Excel workbook contains the same matrix with the specific entry identifiers populated in each cell.</w:t>
      </w:r>
    </w:p>
    <w:p>
      <w:pPr>
        <w:sectPr>
          <w:footerReference w:type="default" r:id="rId7"/>
          <w:pgSz w:w="12240" w:h="15840" w:orient="portrait"/>
          <w:pgMar w:top="1440" w:right="1440" w:bottom="1440" w:left="1440" w:header="708" w:footer="708" w:gutter="0"/>
          <w:pgNumType/>
          <w:docGrid w:linePitch="360"/>
        </w:sectPr>
      </w:pPr>
    </w:p>
    <w:p>
      <w:pPr>
        <w:pStyle w:val="Heading1"/>
      </w:pPr>
      <w:r>
        <w:t xml:space="preserve">3. The reform matrix — supervisory domain × board level</w:t>
      </w:r>
    </w:p>
    <w:p>
      <w:pPr>
        <w:spacing w:after="120" w:before="0"/>
      </w:pPr>
      <w:r>
        <w:rPr>
          <w:rFonts w:ascii="Arial" w:cs="Arial" w:eastAsia="Arial" w:hAnsi="Arial"/>
          <w:i/>
          <w:iCs/>
          <w:color w:val="595959"/>
          <w:sz w:val="20"/>
          <w:szCs w:val="20"/>
        </w:rPr>
        <w:t xml:space="preserve">Each cell lists the entry identifiers whose expectations fall on that board level within that domain. An entry appears in more than one column when the source assigns the duty to multiple levels (e.g., ‘the board or a designated committee’). Symbols: * = superseded, rescinded, or retired (shown for historical completeness, not current); ~ = proposed and not yet final; ! = nominally in force but lightly enforced.</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1522"/>
        <w:gridCol w:w="1522"/>
        <w:gridCol w:w="1522"/>
        <w:gridCol w:w="1522"/>
        <w:gridCol w:w="1522"/>
        <w:gridCol w:w="1522"/>
        <w:gridCol w:w="1522"/>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Supervisory domain</w:t>
            </w:r>
          </w:p>
        </w:tc>
        <w:tc>
          <w:tcPr>
            <w:tcW w:type="dxa" w:w="1522"/>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Full board</w:t>
            </w:r>
          </w:p>
        </w:tc>
        <w:tc>
          <w:tcPr>
            <w:tcW w:type="dxa" w:w="1522"/>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Audit cmte.</w:t>
            </w:r>
          </w:p>
        </w:tc>
        <w:tc>
          <w:tcPr>
            <w:tcW w:type="dxa" w:w="1522"/>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Risk cmte.</w:t>
            </w:r>
          </w:p>
        </w:tc>
        <w:tc>
          <w:tcPr>
            <w:tcW w:type="dxa" w:w="1522"/>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Comp. cmte.</w:t>
            </w:r>
          </w:p>
        </w:tc>
        <w:tc>
          <w:tcPr>
            <w:tcW w:type="dxa" w:w="1522"/>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Nom./Gov. cmte.</w:t>
            </w:r>
          </w:p>
        </w:tc>
        <w:tc>
          <w:tcPr>
            <w:tcW w:type="dxa" w:w="1522"/>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Other/spec. cmte.</w:t>
            </w:r>
          </w:p>
        </w:tc>
        <w:tc>
          <w:tcPr>
            <w:tcW w:type="dxa" w:w="1522"/>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Director-type distinction</w:t>
            </w:r>
          </w:p>
        </w:tc>
      </w:tr>
      <w:tr>
        <w:tc>
          <w:tcPr>
            <w:tcW w:type="dxa" w:w="2300"/>
            <w:tcBorders>
              <w:top w:val="single" w:color="BFBFBF" w:sz="1"/>
              <w:left w:val="single" w:color="BFBFBF" w:sz="1"/>
              <w:bottom w:val="single" w:color="BFBFBF" w:sz="1"/>
              <w:right w:val="single" w:color="BFBFBF" w:sz="1"/>
            </w:tcBorders>
            <w:shd w:fill="D6E0F0" w:val="clear"/>
            <w:tcMar>
              <w:top w:type="dxa" w:w="60"/>
              <w:left w:type="dxa" w:w="90"/>
              <w:bottom w:type="dxa" w:w="60"/>
              <w:right w:type="dxa" w:w="90"/>
            </w:tcMar>
          </w:tcPr>
          <w:p>
            <w:pPr>
              <w:spacing w:after="0"/>
              <w:jc w:val="left"/>
            </w:pPr>
            <w:r>
              <w:rPr>
                <w:rFonts w:ascii="Arial" w:cs="Arial" w:eastAsia="Arial" w:hAnsi="Arial"/>
                <w:b/>
                <w:bCs/>
                <w:color w:val="1F3864"/>
                <w:sz w:val="15"/>
                <w:szCs w:val="15"/>
              </w:rPr>
              <w:t xml:space="preserve">Cross-cutting governance &amp; safety-and-soundness</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GOV-01, GOV-02, GOV-03, GOV-04, GOV-05, GOV-06, GOV-07, GOV-08, GOV-09, GOV-14, GOV-15, GOV-16, GOV-17, GOV-18, GOV-19, GOV-20, GOV-21, GOV-22, GOV-23, GOV-24, GOV-25, GOV-26, GOV-27, GOV-28, GOV-29, GOV-30, GOV-31, GOV-32, GOV-33, FDR-01, FDR-02, FDR-03, FDR-04, FDR-05</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GOV-10, GOV-12, GOV-28, GOV-30, GOV-31, IAU-01, IAU-02, IAU-03</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GOV-10, GOV-11, GOV-21, GOV-27, GOV-28</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GOV-08, GOV-33</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GOV-13</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GOV-17</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GOV-05, GOV-07, GOV-23, GOV-24, GOV-25, GOV-30, GOV-33, FDR-04, SUB-01</w:t>
            </w:r>
          </w:p>
        </w:tc>
      </w:tr>
      <w:tr>
        <w:tc>
          <w:tcPr>
            <w:tcW w:type="dxa" w:w="2300"/>
            <w:tcBorders>
              <w:top w:val="single" w:color="BFBFBF" w:sz="1"/>
              <w:left w:val="single" w:color="BFBFBF" w:sz="1"/>
              <w:bottom w:val="single" w:color="BFBFBF" w:sz="1"/>
              <w:right w:val="single" w:color="BFBFBF" w:sz="1"/>
            </w:tcBorders>
            <w:shd w:fill="D6E0F0" w:val="clear"/>
            <w:tcMar>
              <w:top w:type="dxa" w:w="60"/>
              <w:left w:type="dxa" w:w="90"/>
              <w:bottom w:type="dxa" w:w="60"/>
              <w:right w:type="dxa" w:w="90"/>
            </w:tcMar>
          </w:tcPr>
          <w:p>
            <w:pPr>
              <w:spacing w:after="0"/>
              <w:jc w:val="left"/>
            </w:pPr>
            <w:r>
              <w:rPr>
                <w:rFonts w:ascii="Arial" w:cs="Arial" w:eastAsia="Arial" w:hAnsi="Arial"/>
                <w:b/>
                <w:bCs/>
                <w:color w:val="1F3864"/>
                <w:sz w:val="15"/>
                <w:szCs w:val="15"/>
              </w:rPr>
              <w:t xml:space="preserve">Board structure &amp; committee governance</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BCG-01, BCG-04, BCG-09, BCG-10, BCG-11, BCG-12, BCG-13, BCG-14</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BCG-02, BCG-06, BCG-14</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BCG-05</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BCG-07</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BCG-08, BCG-10</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BCG-01, BCG-03, BCG-11, BCG-12, BCG-13</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BCG-01, BCG-02, BCG-05, BCG-06, BCG-08, BCG-09, BCG-10, BCG-13, BCG-14</w:t>
            </w:r>
          </w:p>
        </w:tc>
      </w:tr>
      <w:tr>
        <w:tc>
          <w:tcPr>
            <w:tcW w:type="dxa" w:w="2300"/>
            <w:tcBorders>
              <w:top w:val="single" w:color="BFBFBF" w:sz="1"/>
              <w:left w:val="single" w:color="BFBFBF" w:sz="1"/>
              <w:bottom w:val="single" w:color="BFBFBF" w:sz="1"/>
              <w:right w:val="single" w:color="BFBFBF" w:sz="1"/>
            </w:tcBorders>
            <w:shd w:fill="D6E0F0" w:val="clear"/>
            <w:tcMar>
              <w:top w:type="dxa" w:w="60"/>
              <w:left w:type="dxa" w:w="90"/>
              <w:bottom w:type="dxa" w:w="60"/>
              <w:right w:type="dxa" w:w="90"/>
            </w:tcMar>
          </w:tcPr>
          <w:p>
            <w:pPr>
              <w:spacing w:after="0"/>
              <w:jc w:val="left"/>
            </w:pPr>
            <w:r>
              <w:rPr>
                <w:rFonts w:ascii="Arial" w:cs="Arial" w:eastAsia="Arial" w:hAnsi="Arial"/>
                <w:b/>
                <w:bCs/>
                <w:color w:val="1F3864"/>
                <w:sz w:val="15"/>
                <w:szCs w:val="15"/>
              </w:rPr>
              <w:t xml:space="preserve">Capital planning &amp; stress testing</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CAP-01, CAP-02, CAP-03, CAP-04, CAP-05, CAP-06, CAP-07, CAP-08, CAP-09, CAP-10, CAP-11*, STR-01, STR-02, STR-03, STR-04</w:t>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CAP-05, CAP-08, CAP-09, STR-03</w:t>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r>
      <w:tr>
        <w:tc>
          <w:tcPr>
            <w:tcW w:type="dxa" w:w="2300"/>
            <w:tcBorders>
              <w:top w:val="single" w:color="BFBFBF" w:sz="1"/>
              <w:left w:val="single" w:color="BFBFBF" w:sz="1"/>
              <w:bottom w:val="single" w:color="BFBFBF" w:sz="1"/>
              <w:right w:val="single" w:color="BFBFBF" w:sz="1"/>
            </w:tcBorders>
            <w:shd w:fill="D6E0F0" w:val="clear"/>
            <w:tcMar>
              <w:top w:type="dxa" w:w="60"/>
              <w:left w:type="dxa" w:w="90"/>
              <w:bottom w:type="dxa" w:w="60"/>
              <w:right w:type="dxa" w:w="90"/>
            </w:tcMar>
          </w:tcPr>
          <w:p>
            <w:pPr>
              <w:spacing w:after="0"/>
              <w:jc w:val="left"/>
            </w:pPr>
            <w:r>
              <w:rPr>
                <w:rFonts w:ascii="Arial" w:cs="Arial" w:eastAsia="Arial" w:hAnsi="Arial"/>
                <w:b/>
                <w:bCs/>
                <w:color w:val="1F3864"/>
                <w:sz w:val="15"/>
                <w:szCs w:val="15"/>
              </w:rPr>
              <w:t xml:space="preserve">Liquidity risk management</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LIQ-01, LIQ-02, LIQ-03, LIQ-05, LIQ-06, LIQ-07, LIQ-08, LIQ-09, LIQ-10, LIQ-11, LIQ-12, LIQ-13, OLQ-01, OLQ-02, OLQ-03</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OLQ-03</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LIQ-04, LIQ-05, LIQ-06, LIQ-07, LIQ-13</w:t>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LIQ-04, LIQ-09</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LIQ-06, LIQ-07</w:t>
            </w:r>
          </w:p>
        </w:tc>
      </w:tr>
      <w:tr>
        <w:tc>
          <w:tcPr>
            <w:tcW w:type="dxa" w:w="2300"/>
            <w:tcBorders>
              <w:top w:val="single" w:color="BFBFBF" w:sz="1"/>
              <w:left w:val="single" w:color="BFBFBF" w:sz="1"/>
              <w:bottom w:val="single" w:color="BFBFBF" w:sz="1"/>
              <w:right w:val="single" w:color="BFBFBF" w:sz="1"/>
            </w:tcBorders>
            <w:shd w:fill="D6E0F0" w:val="clear"/>
            <w:tcMar>
              <w:top w:type="dxa" w:w="60"/>
              <w:left w:type="dxa" w:w="90"/>
              <w:bottom w:type="dxa" w:w="60"/>
              <w:right w:type="dxa" w:w="90"/>
            </w:tcMar>
          </w:tcPr>
          <w:p>
            <w:pPr>
              <w:spacing w:after="0"/>
              <w:jc w:val="left"/>
            </w:pPr>
            <w:r>
              <w:rPr>
                <w:rFonts w:ascii="Arial" w:cs="Arial" w:eastAsia="Arial" w:hAnsi="Arial"/>
                <w:b/>
                <w:bCs/>
                <w:color w:val="1F3864"/>
                <w:sz w:val="15"/>
                <w:szCs w:val="15"/>
              </w:rPr>
              <w:t xml:space="preserve">Resolution planning</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RES-01, RES-02, RES-03, RES-04, RES-05</w:t>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RES-05</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RES-02</w:t>
            </w:r>
          </w:p>
        </w:tc>
      </w:tr>
      <w:tr>
        <w:tc>
          <w:tcPr>
            <w:tcW w:type="dxa" w:w="2300"/>
            <w:tcBorders>
              <w:top w:val="single" w:color="BFBFBF" w:sz="1"/>
              <w:left w:val="single" w:color="BFBFBF" w:sz="1"/>
              <w:bottom w:val="single" w:color="BFBFBF" w:sz="1"/>
              <w:right w:val="single" w:color="BFBFBF" w:sz="1"/>
            </w:tcBorders>
            <w:shd w:fill="D6E0F0" w:val="clear"/>
            <w:tcMar>
              <w:top w:type="dxa" w:w="60"/>
              <w:left w:type="dxa" w:w="90"/>
              <w:bottom w:type="dxa" w:w="60"/>
              <w:right w:type="dxa" w:w="90"/>
            </w:tcMar>
          </w:tcPr>
          <w:p>
            <w:pPr>
              <w:spacing w:after="0"/>
              <w:jc w:val="left"/>
            </w:pPr>
            <w:r>
              <w:rPr>
                <w:rFonts w:ascii="Arial" w:cs="Arial" w:eastAsia="Arial" w:hAnsi="Arial"/>
                <w:b/>
                <w:bCs/>
                <w:color w:val="1F3864"/>
                <w:sz w:val="15"/>
                <w:szCs w:val="15"/>
              </w:rPr>
              <w:t xml:space="preserve">Recovery planning</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REC-01, REC-02, REC-03, REC-04*</w:t>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REC-02</w:t>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r>
      <w:tr>
        <w:tc>
          <w:tcPr>
            <w:tcW w:type="dxa" w:w="2300"/>
            <w:tcBorders>
              <w:top w:val="single" w:color="BFBFBF" w:sz="1"/>
              <w:left w:val="single" w:color="BFBFBF" w:sz="1"/>
              <w:bottom w:val="single" w:color="BFBFBF" w:sz="1"/>
              <w:right w:val="single" w:color="BFBFBF" w:sz="1"/>
            </w:tcBorders>
            <w:shd w:fill="D6E0F0" w:val="clear"/>
            <w:tcMar>
              <w:top w:type="dxa" w:w="60"/>
              <w:left w:type="dxa" w:w="90"/>
              <w:bottom w:type="dxa" w:w="60"/>
              <w:right w:type="dxa" w:w="90"/>
            </w:tcMar>
          </w:tcPr>
          <w:p>
            <w:pPr>
              <w:spacing w:after="0"/>
              <w:jc w:val="left"/>
            </w:pPr>
            <w:r>
              <w:rPr>
                <w:rFonts w:ascii="Arial" w:cs="Arial" w:eastAsia="Arial" w:hAnsi="Arial"/>
                <w:b/>
                <w:bCs/>
                <w:color w:val="1F3864"/>
                <w:sz w:val="15"/>
                <w:szCs w:val="15"/>
              </w:rPr>
              <w:t xml:space="preserve">Operational resilience</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OPR-01, OPR-02, OPR-03, OPR-04, OPR-05</w:t>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OPR-05</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OPR-03</w:t>
            </w:r>
          </w:p>
        </w:tc>
      </w:tr>
      <w:tr>
        <w:tc>
          <w:tcPr>
            <w:tcW w:type="dxa" w:w="2300"/>
            <w:tcBorders>
              <w:top w:val="single" w:color="BFBFBF" w:sz="1"/>
              <w:left w:val="single" w:color="BFBFBF" w:sz="1"/>
              <w:bottom w:val="single" w:color="BFBFBF" w:sz="1"/>
              <w:right w:val="single" w:color="BFBFBF" w:sz="1"/>
            </w:tcBorders>
            <w:shd w:fill="D6E0F0" w:val="clear"/>
            <w:tcMar>
              <w:top w:type="dxa" w:w="60"/>
              <w:left w:type="dxa" w:w="90"/>
              <w:bottom w:type="dxa" w:w="60"/>
              <w:right w:type="dxa" w:w="90"/>
            </w:tcMar>
          </w:tcPr>
          <w:p>
            <w:pPr>
              <w:spacing w:after="0"/>
              <w:jc w:val="left"/>
            </w:pPr>
            <w:r>
              <w:rPr>
                <w:rFonts w:ascii="Arial" w:cs="Arial" w:eastAsia="Arial" w:hAnsi="Arial"/>
                <w:b/>
                <w:bCs/>
                <w:color w:val="1F3864"/>
                <w:sz w:val="15"/>
                <w:szCs w:val="15"/>
              </w:rPr>
              <w:t xml:space="preserve">Model risk governance</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MOD-02*</w:t>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MOD-01</w:t>
            </w:r>
          </w:p>
        </w:tc>
      </w:tr>
      <w:tr>
        <w:tc>
          <w:tcPr>
            <w:tcW w:type="dxa" w:w="2300"/>
            <w:tcBorders>
              <w:top w:val="single" w:color="BFBFBF" w:sz="1"/>
              <w:left w:val="single" w:color="BFBFBF" w:sz="1"/>
              <w:bottom w:val="single" w:color="BFBFBF" w:sz="1"/>
              <w:right w:val="single" w:color="BFBFBF" w:sz="1"/>
            </w:tcBorders>
            <w:shd w:fill="D6E0F0" w:val="clear"/>
            <w:tcMar>
              <w:top w:type="dxa" w:w="60"/>
              <w:left w:type="dxa" w:w="90"/>
              <w:bottom w:type="dxa" w:w="60"/>
              <w:right w:type="dxa" w:w="90"/>
            </w:tcMar>
          </w:tcPr>
          <w:p>
            <w:pPr>
              <w:spacing w:after="0"/>
              <w:jc w:val="left"/>
            </w:pPr>
            <w:r>
              <w:rPr>
                <w:rFonts w:ascii="Arial" w:cs="Arial" w:eastAsia="Arial" w:hAnsi="Arial"/>
                <w:b/>
                <w:bCs/>
                <w:color w:val="1F3864"/>
                <w:sz w:val="15"/>
                <w:szCs w:val="15"/>
              </w:rPr>
              <w:t xml:space="preserve">Third-party risk management</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TPR-01, TPR-02, TPR-03, TPR-04, TPR-05, TPR-06, TPR-07!</w:t>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TPR-01, TPR-02, TPR-04, TPR-06</w:t>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r>
      <w:tr>
        <w:tc>
          <w:tcPr>
            <w:tcW w:type="dxa" w:w="2300"/>
            <w:tcBorders>
              <w:top w:val="single" w:color="BFBFBF" w:sz="1"/>
              <w:left w:val="single" w:color="BFBFBF" w:sz="1"/>
              <w:bottom w:val="single" w:color="BFBFBF" w:sz="1"/>
              <w:right w:val="single" w:color="BFBFBF" w:sz="1"/>
            </w:tcBorders>
            <w:shd w:fill="D6E0F0" w:val="clear"/>
            <w:tcMar>
              <w:top w:type="dxa" w:w="60"/>
              <w:left w:type="dxa" w:w="90"/>
              <w:bottom w:type="dxa" w:w="60"/>
              <w:right w:type="dxa" w:w="90"/>
            </w:tcMar>
          </w:tcPr>
          <w:p>
            <w:pPr>
              <w:spacing w:after="0"/>
              <w:jc w:val="left"/>
            </w:pPr>
            <w:r>
              <w:rPr>
                <w:rFonts w:ascii="Arial" w:cs="Arial" w:eastAsia="Arial" w:hAnsi="Arial"/>
                <w:b/>
                <w:bCs/>
                <w:color w:val="1F3864"/>
                <w:sz w:val="15"/>
                <w:szCs w:val="15"/>
              </w:rPr>
              <w:t xml:space="preserve">Incentive compensation</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INC-01, INC-02, INC-03, INC-04~, INC-05</w:t>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INC-01, INC-02, INC-03</w:t>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INC-05</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INC-03, INC-05</w:t>
            </w:r>
          </w:p>
        </w:tc>
      </w:tr>
      <w:tr>
        <w:tc>
          <w:tcPr>
            <w:tcW w:type="dxa" w:w="2300"/>
            <w:tcBorders>
              <w:top w:val="single" w:color="BFBFBF" w:sz="1"/>
              <w:left w:val="single" w:color="BFBFBF" w:sz="1"/>
              <w:bottom w:val="single" w:color="BFBFBF" w:sz="1"/>
              <w:right w:val="single" w:color="BFBFBF" w:sz="1"/>
            </w:tcBorders>
            <w:shd w:fill="D6E0F0" w:val="clear"/>
            <w:tcMar>
              <w:top w:type="dxa" w:w="60"/>
              <w:left w:type="dxa" w:w="90"/>
              <w:bottom w:type="dxa" w:w="60"/>
              <w:right w:type="dxa" w:w="90"/>
            </w:tcMar>
          </w:tcPr>
          <w:p>
            <w:pPr>
              <w:spacing w:after="0"/>
              <w:jc w:val="left"/>
            </w:pPr>
            <w:r>
              <w:rPr>
                <w:rFonts w:ascii="Arial" w:cs="Arial" w:eastAsia="Arial" w:hAnsi="Arial"/>
                <w:b/>
                <w:bCs/>
                <w:color w:val="1F3864"/>
                <w:sz w:val="15"/>
                <w:szCs w:val="15"/>
              </w:rPr>
              <w:t xml:space="preserve">Cybersecurity governance</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CYB-01, CYB-02, CYB-03, CYB-04, CYB-05, CYB-06, CYB-07*, CYB-08</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CYB-01</w:t>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CYB-03, CYB-04, CYB-05</w:t>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r>
      <w:tr>
        <w:tc>
          <w:tcPr>
            <w:tcW w:type="dxa" w:w="2300"/>
            <w:tcBorders>
              <w:top w:val="single" w:color="BFBFBF" w:sz="1"/>
              <w:left w:val="single" w:color="BFBFBF" w:sz="1"/>
              <w:bottom w:val="single" w:color="BFBFBF" w:sz="1"/>
              <w:right w:val="single" w:color="BFBFBF" w:sz="1"/>
            </w:tcBorders>
            <w:shd w:fill="D6E0F0" w:val="clear"/>
            <w:tcMar>
              <w:top w:type="dxa" w:w="60"/>
              <w:left w:type="dxa" w:w="90"/>
              <w:bottom w:type="dxa" w:w="60"/>
              <w:right w:type="dxa" w:w="90"/>
            </w:tcMar>
          </w:tcPr>
          <w:p>
            <w:pPr>
              <w:spacing w:after="0"/>
              <w:jc w:val="left"/>
            </w:pPr>
            <w:r>
              <w:rPr>
                <w:rFonts w:ascii="Arial" w:cs="Arial" w:eastAsia="Arial" w:hAnsi="Arial"/>
                <w:b/>
                <w:bCs/>
                <w:color w:val="1F3864"/>
                <w:sz w:val="15"/>
                <w:szCs w:val="15"/>
              </w:rPr>
              <w:t xml:space="preserve">BSA/AML program oversight</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BSA-01, BSA-02, BSA-03, BSA-04, BSA-05, BSA-06, BSA-07, BSA-08, BSA-09~, BSA-10~, BSA-11, BSA-12, BSA-13</w:t>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BSA-03, BSA-06, BSA-09~, BSA-12</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BSA-12</w:t>
            </w:r>
          </w:p>
        </w:tc>
      </w:tr>
      <w:tr>
        <w:tc>
          <w:tcPr>
            <w:tcW w:type="dxa" w:w="2300"/>
            <w:tcBorders>
              <w:top w:val="single" w:color="BFBFBF" w:sz="1"/>
              <w:left w:val="single" w:color="BFBFBF" w:sz="1"/>
              <w:bottom w:val="single" w:color="BFBFBF" w:sz="1"/>
              <w:right w:val="single" w:color="BFBFBF" w:sz="1"/>
            </w:tcBorders>
            <w:shd w:fill="D6E0F0" w:val="clear"/>
            <w:tcMar>
              <w:top w:type="dxa" w:w="60"/>
              <w:left w:type="dxa" w:w="90"/>
              <w:bottom w:type="dxa" w:w="60"/>
              <w:right w:type="dxa" w:w="90"/>
            </w:tcMar>
          </w:tcPr>
          <w:p>
            <w:pPr>
              <w:spacing w:after="0"/>
              <w:jc w:val="left"/>
            </w:pPr>
            <w:r>
              <w:rPr>
                <w:rFonts w:ascii="Arial" w:cs="Arial" w:eastAsia="Arial" w:hAnsi="Arial"/>
                <w:b/>
                <w:bCs/>
                <w:color w:val="1F3864"/>
                <w:sz w:val="15"/>
                <w:szCs w:val="15"/>
              </w:rPr>
              <w:t xml:space="preserve">Consumer compliance oversight</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CON-01, CON-02, CON-03, CON-04, CON-05, CON-06, CON-07, CON-08!, CON-09, CON-10!, CON-11!, CON-12!, CON-13</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CON-11!</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CON-06, CON-09, CON-11!</w:t>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3"/>
                <w:szCs w:val="13"/>
              </w:rPr>
              <w:t xml:space="preserve"/>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CON-02, CON-07, CON-12!</w:t>
            </w:r>
          </w:p>
        </w:tc>
        <w:tc>
          <w:tcPr>
            <w:tcW w:type="dxa" w:w="1522"/>
            <w:tcBorders>
              <w:top w:val="single" w:color="BFBFBF" w:sz="1"/>
              <w:left w:val="single" w:color="BFBFBF" w:sz="1"/>
              <w:bottom w:val="single" w:color="BFBFBF" w:sz="1"/>
              <w:right w:val="single" w:color="BFBFBF" w:sz="1"/>
            </w:tcBorders>
            <w:shd w:fill="E2EFDA" w:val="clear"/>
            <w:tcMar>
              <w:top w:type="dxa" w:w="60"/>
              <w:left w:type="dxa" w:w="90"/>
              <w:bottom w:type="dxa" w:w="60"/>
              <w:right w:type="dxa" w:w="90"/>
            </w:tcMar>
          </w:tcPr>
          <w:p>
            <w:pPr>
              <w:spacing w:after="0"/>
              <w:jc w:val="left"/>
            </w:pPr>
            <w:r>
              <w:rPr>
                <w:rFonts w:ascii="Arial" w:cs="Arial" w:eastAsia="Arial" w:hAnsi="Arial"/>
                <w:sz w:val="13"/>
                <w:szCs w:val="13"/>
              </w:rPr>
              <w:t xml:space="preserve">CON-03, CON-07</w:t>
            </w:r>
          </w:p>
        </w:tc>
      </w:tr>
      <w:tr>
        <w:tc>
          <w:tcPr>
            <w:tcW w:type="dxa" w:w="2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Total entries at level</w:t>
            </w:r>
          </w:p>
        </w:tc>
        <w:tc>
          <w:tcPr>
            <w:tcW w:type="dxa" w:w="1522"/>
            <w:tcBorders>
              <w:top w:val="single" w:color="BFBFBF" w:sz="1"/>
              <w:left w:val="single" w:color="BFBFBF" w:sz="1"/>
              <w:bottom w:val="single" w:color="BFBFBF" w:sz="1"/>
              <w:right w:val="single" w:color="BFBFBF" w:sz="1"/>
            </w:tcBorders>
            <w:shd w:fill="DDEBF7" w:val="clear"/>
            <w:tcMar>
              <w:top w:type="dxa" w:w="60"/>
              <w:left w:type="dxa" w:w="90"/>
              <w:bottom w:type="dxa" w:w="60"/>
              <w:right w:type="dxa" w:w="90"/>
            </w:tcMar>
          </w:tcPr>
          <w:p>
            <w:pPr>
              <w:spacing w:after="0"/>
              <w:jc w:val="left"/>
            </w:pPr>
            <w:r>
              <w:rPr>
                <w:rFonts w:ascii="Arial" w:cs="Arial" w:eastAsia="Arial" w:hAnsi="Arial"/>
                <w:b/>
                <w:bCs/>
                <w:sz w:val="16"/>
                <w:szCs w:val="16"/>
              </w:rPr>
              <w:t xml:space="preserve">133</w:t>
            </w:r>
          </w:p>
        </w:tc>
        <w:tc>
          <w:tcPr>
            <w:tcW w:type="dxa" w:w="1522"/>
            <w:tcBorders>
              <w:top w:val="single" w:color="BFBFBF" w:sz="1"/>
              <w:left w:val="single" w:color="BFBFBF" w:sz="1"/>
              <w:bottom w:val="single" w:color="BFBFBF" w:sz="1"/>
              <w:right w:val="single" w:color="BFBFBF" w:sz="1"/>
            </w:tcBorders>
            <w:shd w:fill="DDEBF7" w:val="clear"/>
            <w:tcMar>
              <w:top w:type="dxa" w:w="60"/>
              <w:left w:type="dxa" w:w="90"/>
              <w:bottom w:type="dxa" w:w="60"/>
              <w:right w:type="dxa" w:w="90"/>
            </w:tcMar>
          </w:tcPr>
          <w:p>
            <w:pPr>
              <w:spacing w:after="0"/>
              <w:jc w:val="left"/>
            </w:pPr>
            <w:r>
              <w:rPr>
                <w:rFonts w:ascii="Arial" w:cs="Arial" w:eastAsia="Arial" w:hAnsi="Arial"/>
                <w:b/>
                <w:bCs/>
                <w:sz w:val="16"/>
                <w:szCs w:val="16"/>
              </w:rPr>
              <w:t xml:space="preserve">14</w:t>
            </w:r>
          </w:p>
        </w:tc>
        <w:tc>
          <w:tcPr>
            <w:tcW w:type="dxa" w:w="1522"/>
            <w:tcBorders>
              <w:top w:val="single" w:color="BFBFBF" w:sz="1"/>
              <w:left w:val="single" w:color="BFBFBF" w:sz="1"/>
              <w:bottom w:val="single" w:color="BFBFBF" w:sz="1"/>
              <w:right w:val="single" w:color="BFBFBF" w:sz="1"/>
            </w:tcBorders>
            <w:shd w:fill="DDEBF7" w:val="clear"/>
            <w:tcMar>
              <w:top w:type="dxa" w:w="60"/>
              <w:left w:type="dxa" w:w="90"/>
              <w:bottom w:type="dxa" w:w="60"/>
              <w:right w:type="dxa" w:w="90"/>
            </w:tcMar>
          </w:tcPr>
          <w:p>
            <w:pPr>
              <w:spacing w:after="0"/>
              <w:jc w:val="left"/>
            </w:pPr>
            <w:r>
              <w:rPr>
                <w:rFonts w:ascii="Arial" w:cs="Arial" w:eastAsia="Arial" w:hAnsi="Arial"/>
                <w:b/>
                <w:bCs/>
                <w:sz w:val="16"/>
                <w:szCs w:val="16"/>
              </w:rPr>
              <w:t xml:space="preserve">14</w:t>
            </w:r>
          </w:p>
        </w:tc>
        <w:tc>
          <w:tcPr>
            <w:tcW w:type="dxa" w:w="1522"/>
            <w:tcBorders>
              <w:top w:val="single" w:color="BFBFBF" w:sz="1"/>
              <w:left w:val="single" w:color="BFBFBF" w:sz="1"/>
              <w:bottom w:val="single" w:color="BFBFBF" w:sz="1"/>
              <w:right w:val="single" w:color="BFBFBF" w:sz="1"/>
            </w:tcBorders>
            <w:shd w:fill="DDEBF7" w:val="clear"/>
            <w:tcMar>
              <w:top w:type="dxa" w:w="60"/>
              <w:left w:type="dxa" w:w="90"/>
              <w:bottom w:type="dxa" w:w="60"/>
              <w:right w:type="dxa" w:w="90"/>
            </w:tcMar>
          </w:tcPr>
          <w:p>
            <w:pPr>
              <w:spacing w:after="0"/>
              <w:jc w:val="left"/>
            </w:pPr>
            <w:r>
              <w:rPr>
                <w:rFonts w:ascii="Arial" w:cs="Arial" w:eastAsia="Arial" w:hAnsi="Arial"/>
                <w:b/>
                <w:bCs/>
                <w:sz w:val="16"/>
                <w:szCs w:val="16"/>
              </w:rPr>
              <w:t xml:space="preserve">6</w:t>
            </w:r>
          </w:p>
        </w:tc>
        <w:tc>
          <w:tcPr>
            <w:tcW w:type="dxa" w:w="1522"/>
            <w:tcBorders>
              <w:top w:val="single" w:color="BFBFBF" w:sz="1"/>
              <w:left w:val="single" w:color="BFBFBF" w:sz="1"/>
              <w:bottom w:val="single" w:color="BFBFBF" w:sz="1"/>
              <w:right w:val="single" w:color="BFBFBF" w:sz="1"/>
            </w:tcBorders>
            <w:shd w:fill="DDEBF7" w:val="clear"/>
            <w:tcMar>
              <w:top w:type="dxa" w:w="60"/>
              <w:left w:type="dxa" w:w="90"/>
              <w:bottom w:type="dxa" w:w="60"/>
              <w:right w:type="dxa" w:w="90"/>
            </w:tcMar>
          </w:tcPr>
          <w:p>
            <w:pPr>
              <w:spacing w:after="0"/>
              <w:jc w:val="left"/>
            </w:pPr>
            <w:r>
              <w:rPr>
                <w:rFonts w:ascii="Arial" w:cs="Arial" w:eastAsia="Arial" w:hAnsi="Arial"/>
                <w:b/>
                <w:bCs/>
                <w:sz w:val="16"/>
                <w:szCs w:val="16"/>
              </w:rPr>
              <w:t xml:space="preserve">3</w:t>
            </w:r>
          </w:p>
        </w:tc>
        <w:tc>
          <w:tcPr>
            <w:tcW w:type="dxa" w:w="1522"/>
            <w:tcBorders>
              <w:top w:val="single" w:color="BFBFBF" w:sz="1"/>
              <w:left w:val="single" w:color="BFBFBF" w:sz="1"/>
              <w:bottom w:val="single" w:color="BFBFBF" w:sz="1"/>
              <w:right w:val="single" w:color="BFBFBF" w:sz="1"/>
            </w:tcBorders>
            <w:shd w:fill="DDEBF7" w:val="clear"/>
            <w:tcMar>
              <w:top w:type="dxa" w:w="60"/>
              <w:left w:type="dxa" w:w="90"/>
              <w:bottom w:type="dxa" w:w="60"/>
              <w:right w:type="dxa" w:w="90"/>
            </w:tcMar>
          </w:tcPr>
          <w:p>
            <w:pPr>
              <w:spacing w:after="0"/>
              <w:jc w:val="left"/>
            </w:pPr>
            <w:r>
              <w:rPr>
                <w:rFonts w:ascii="Arial" w:cs="Arial" w:eastAsia="Arial" w:hAnsi="Arial"/>
                <w:b/>
                <w:bCs/>
                <w:sz w:val="16"/>
                <w:szCs w:val="16"/>
              </w:rPr>
              <w:t xml:space="preserve">30</w:t>
            </w:r>
          </w:p>
        </w:tc>
        <w:tc>
          <w:tcPr>
            <w:tcW w:type="dxa" w:w="1522"/>
            <w:tcBorders>
              <w:top w:val="single" w:color="BFBFBF" w:sz="1"/>
              <w:left w:val="single" w:color="BFBFBF" w:sz="1"/>
              <w:bottom w:val="single" w:color="BFBFBF" w:sz="1"/>
              <w:right w:val="single" w:color="BFBFBF" w:sz="1"/>
            </w:tcBorders>
            <w:shd w:fill="DDEBF7" w:val="clear"/>
            <w:tcMar>
              <w:top w:type="dxa" w:w="60"/>
              <w:left w:type="dxa" w:w="90"/>
              <w:bottom w:type="dxa" w:w="60"/>
              <w:right w:type="dxa" w:w="90"/>
            </w:tcMar>
          </w:tcPr>
          <w:p>
            <w:pPr>
              <w:spacing w:after="0"/>
              <w:jc w:val="left"/>
            </w:pPr>
            <w:r>
              <w:rPr>
                <w:rFonts w:ascii="Arial" w:cs="Arial" w:eastAsia="Arial" w:hAnsi="Arial"/>
                <w:b/>
                <w:bCs/>
                <w:sz w:val="16"/>
                <w:szCs w:val="16"/>
              </w:rPr>
              <w:t xml:space="preserve">28</w:t>
            </w:r>
          </w:p>
        </w:tc>
      </w:tr>
    </w:tbl>
    <w:p>
      <w:pPr>
        <w:spacing w:after="120" w:before="0"/>
      </w:pPr>
      <w:r>
        <w:rPr>
          <w:rFonts w:ascii="Arial" w:cs="Arial" w:eastAsia="Arial" w:hAnsi="Arial"/>
          <w:sz w:val="22"/>
          <w:szCs w:val="22"/>
        </w:rPr>
        <w:t xml:space="preserve"/>
      </w:r>
    </w:p>
    <w:p>
      <w:pPr>
        <w:spacing w:after="120" w:before="0"/>
      </w:pPr>
      <w:r>
        <w:rPr>
          <w:rFonts w:ascii="Arial" w:cs="Arial" w:eastAsia="Arial" w:hAnsi="Arial"/>
          <w:sz w:val="20"/>
          <w:szCs w:val="20"/>
        </w:rPr>
        <w:t xml:space="preserve">Reading the matrix for reform. The ‘Full board’ column is by far the most heavily populated, reflecting guidance’s consistent default of assigning oversight to the board as a body. The ‘Designated/other committee’ column captures the recurring ‘board or a designated committee’ formulation, which leaves the full-board-versus-committee choice to the firm and is a candidate for harmonization. The ‘Director-type distinction’ column isolates the comparatively few expectations that turn on independence or inside/outside status — concentrated in the OCC Heightened Standards, Regulation YY, and SR 21-3.</w:t>
      </w:r>
    </w:p>
    <w:p>
      <w:pPr>
        <w:sectPr>
          <w:footerReference w:type="default" r:id="rId8"/>
          <w:type w:val="nextPage"/>
          <w:pgSz w:w="15840" w:h="12240" w:orient="landscape"/>
          <w:pgMar w:top="1080" w:right="1080" w:bottom="1080" w:left="1080" w:header="708" w:footer="708" w:gutter="0"/>
          <w:pgNumType/>
          <w:docGrid w:linePitch="360"/>
        </w:sectPr>
      </w:pPr>
    </w:p>
    <w:p>
      <w:pPr>
        <w:pStyle w:val="Heading1"/>
      </w:pPr>
      <w:r>
        <w:t xml:space="preserve">4. Detailed inventory by domain</w:t>
      </w:r>
    </w:p>
    <w:p>
      <w:pPr>
        <w:pStyle w:val="Heading2"/>
      </w:pPr>
      <w:r>
        <w:t xml:space="preserve">1. Cross-cutting governance &amp; safety-and-soundness</w:t>
      </w:r>
    </w:p>
    <w:p>
      <w:pPr>
        <w:keepNext/>
        <w:spacing w:after="20" w:before="120"/>
      </w:pPr>
      <w:r>
        <w:rPr>
          <w:rFonts w:ascii="Arial" w:cs="Arial" w:eastAsia="Arial" w:hAnsi="Arial"/>
          <w:b/>
          <w:bCs/>
          <w:color w:val="1F3864"/>
          <w:sz w:val="21"/>
          <w:szCs w:val="21"/>
        </w:rPr>
        <w:t xml:space="preserve">GOV-01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oversees development of, reviews, approves, and periodically monitors the firm's strategy and risk appetite, ensuring strategy is commensurate with risk-management capacity.</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Supervisory Guidance on Board of Directors' Effectiveness (Feb. 26, 2021), Attachment, Attribute 1, pp. 2-3.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Applies to FRB-supervised firms &gt;=$100B; all eight GSIBs covered.</w:t>
      </w:r>
    </w:p>
    <w:p>
      <w:pPr>
        <w:keepNext/>
        <w:spacing w:after="20" w:before="120"/>
      </w:pPr>
      <w:r>
        <w:rPr>
          <w:rFonts w:ascii="Arial" w:cs="Arial" w:eastAsia="Arial" w:hAnsi="Arial"/>
          <w:b/>
          <w:bCs/>
          <w:color w:val="1F3864"/>
          <w:sz w:val="21"/>
          <w:szCs w:val="21"/>
        </w:rPr>
        <w:t xml:space="preserve">GOV-02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reviews and approves significant policies/programs/plans: capital plan, recovery and resolution plans, audit plan, enterprise-wide and liquidity risk-management policies, compliance risk-management program, and compensation programs.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1, p. 3, fns. 9-14.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Many of these approvals are elaborated in domain-specific guidance/rules below.</w:t>
      </w:r>
    </w:p>
    <w:p>
      <w:pPr>
        <w:keepNext/>
        <w:spacing w:after="20" w:before="120"/>
      </w:pPr>
      <w:r>
        <w:rPr>
          <w:rFonts w:ascii="Arial" w:cs="Arial" w:eastAsia="Arial" w:hAnsi="Arial"/>
          <w:b/>
          <w:bCs/>
          <w:color w:val="1F3864"/>
          <w:sz w:val="21"/>
          <w:szCs w:val="21"/>
        </w:rPr>
        <w:t xml:space="preserve">GOV-03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evaluates the increased risk of expansion into a new business or jurisdiction and reviews corresponding risk-management and control enhancements (including BSA and FCPA compliance).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1, pp. 2-3.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GOV-04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directs senior management to provide timely, accurate, well-organized information sufficient in scope and detail; evaluates sufficiency and demands improvement.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2, pp. 3-4.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GOV-05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Independent directors, particularly the lead independent director or independent board chair and committee chairs, take an active role in setting board and committee agendas.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2, p. 4. </w:t>
      </w:r>
      <w:r>
        <w:rPr>
          <w:rFonts w:ascii="Arial" w:cs="Arial" w:eastAsia="Arial" w:hAnsi="Arial"/>
          <w:i/>
          <w:iCs/>
          <w:color w:val="595959"/>
          <w:sz w:val="18"/>
          <w:szCs w:val="18"/>
        </w:rPr>
        <w:t xml:space="preserve">Agency: Federal Reserve.</w:t>
      </w:r>
      <w:r>
        <w:rPr>
          <w:rFonts w:ascii="Arial" w:cs="Arial" w:eastAsia="Arial" w:hAnsi="Arial"/>
          <w:i/>
          <w:iCs/>
          <w:color w:val="7030A0"/>
          <w:sz w:val="18"/>
          <w:szCs w:val="18"/>
        </w:rPr>
        <w:t xml:space="preserve"> Director distinction: Independent directors specifically (lead independent director / independent chair / committee chairs).</w:t>
      </w:r>
    </w:p>
    <w:p>
      <w:pPr>
        <w:keepNext/>
        <w:spacing w:after="20" w:before="120"/>
      </w:pPr>
      <w:r>
        <w:rPr>
          <w:rFonts w:ascii="Arial" w:cs="Arial" w:eastAsia="Arial" w:hAnsi="Arial"/>
          <w:b/>
          <w:bCs/>
          <w:color w:val="1F3864"/>
          <w:sz w:val="21"/>
          <w:szCs w:val="21"/>
        </w:rPr>
        <w:t xml:space="preserve">GOV-06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oversees implementation of strategy within risk appetite; challenges management; engages in robust inquiry into emerging risks, adherence to risk appetite, and material or persistent deficiencies; reviews complaint and whistleblower reports.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3, pp. 4-5.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GOV-07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has independent directors sufficiently empowered to serve as an effective check against firm executives who sit on the board (e.g., where an executive chair exists, empower a lead independent director with authority to call meetings).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3, p. 5. </w:t>
      </w:r>
      <w:r>
        <w:rPr>
          <w:rFonts w:ascii="Arial" w:cs="Arial" w:eastAsia="Arial" w:hAnsi="Arial"/>
          <w:i/>
          <w:iCs/>
          <w:color w:val="595959"/>
          <w:sz w:val="18"/>
          <w:szCs w:val="18"/>
        </w:rPr>
        <w:t xml:space="preserve">Agency: Federal Reserve.</w:t>
      </w:r>
      <w:r>
        <w:rPr>
          <w:rFonts w:ascii="Arial" w:cs="Arial" w:eastAsia="Arial" w:hAnsi="Arial"/>
          <w:i/>
          <w:iCs/>
          <w:color w:val="7030A0"/>
          <w:sz w:val="18"/>
          <w:szCs w:val="18"/>
        </w:rPr>
        <w:t xml:space="preserve"> Director distinction: Explicit inside-vs-outside distinction; empowers independent directors vis-a-vis executive (inside) directors.</w:t>
      </w:r>
    </w:p>
    <w:p>
      <w:pPr>
        <w:keepNext/>
        <w:spacing w:after="20" w:before="120"/>
      </w:pPr>
      <w:r>
        <w:rPr>
          <w:rFonts w:ascii="Arial" w:cs="Arial" w:eastAsia="Arial" w:hAnsi="Arial"/>
          <w:b/>
          <w:bCs/>
          <w:color w:val="1F3864"/>
          <w:sz w:val="21"/>
          <w:szCs w:val="21"/>
        </w:rPr>
        <w:t xml:space="preserve">GOV-08  —  Full board (compensation committee in practice)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approves financial and nonfinancial performance objectives for the CEO and business-line executives, and nonfinancial objectives for the CRO and chief audit executive; ensures compensation discourages risk-taking inconsistent with safety and soundness.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3, p. 5.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GOV-09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oversees CEO succession and, depending on the firm, succession for the CRO, CAE, and other senior officials (exceeds NYSE's CEO-only requirement).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3, p. 5, fn. 15.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GOV-10  —  Risk committee; Audit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Through its risk and audit committees, the board assesses and supports the stature and independence of independent risk management and internal audit.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4, pp. 5-6.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GOV-11  —  Risk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Risk committee communicates directly with the CRO; oversees IRM budget/staffing/controls; coordinates with compliance; provides IRM direct and unrestricted access; inquires into breaches of risk appetite/limits, remediation timeliness, and audit-plan appropriateness.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4, p. 6.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GOV-12  —  Audit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Audit committee meets directly with the CAE; supports internal-audit budget and staffing; reviews status of remediation of material/persistent deficiencies from internal/external audit and supervisory findings.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4, p. 6.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GOV-13  —  Nominating/Governance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establishes a director-nomination process with a mix of skills and experience and considers a diverse pool of potential nominees.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5, p. 7, fn. 19.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The 'diverse pool... including women and minorities' sub-clause references the 2015 Interagency Diversity Policy Statement; most exposed element given 2025-26 federal DEI rollback, though SR 21-3 not formally amended.</w:t>
      </w:r>
    </w:p>
    <w:p>
      <w:pPr>
        <w:keepNext/>
        <w:spacing w:after="20" w:before="120"/>
      </w:pPr>
      <w:r>
        <w:rPr>
          <w:rFonts w:ascii="Arial" w:cs="Arial" w:eastAsia="Arial" w:hAnsi="Arial"/>
          <w:b/>
          <w:bCs/>
          <w:color w:val="1F3864"/>
          <w:sz w:val="21"/>
          <w:szCs w:val="21"/>
        </w:rPr>
        <w:t xml:space="preserve">GOV-14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conducts an annual self-assessment of its strengths and weaknesses, including committee (risk, audit, key committees) performance, and adapts.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5, p. 7.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GOV-15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(with senior management) establishes and maintains the firm's culture, incentives, structure, and processes that promote compliance with laws, regulations, and supervisory guidance.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12-17 / CA 12-14, Consolidated Supervision Framework for Large Financial Institutions (Dec. 17, 2012; revised Oct. 1, 2025), Section A.2 (Corporate Governance), pp. 5-6.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Oct. 1, 2025 revision removed all references to 'reputational risk.' Board governance duties otherwise intact.</w:t>
      </w:r>
    </w:p>
    <w:p>
      <w:pPr>
        <w:keepNext/>
        <w:spacing w:after="20" w:before="120"/>
      </w:pPr>
      <w:r>
        <w:rPr>
          <w:rFonts w:ascii="Arial" w:cs="Arial" w:eastAsia="Arial" w:hAnsi="Arial"/>
          <w:b/>
          <w:bCs/>
          <w:color w:val="1F3864"/>
          <w:sz w:val="21"/>
          <w:szCs w:val="21"/>
        </w:rPr>
        <w:t xml:space="preserve">GOV-16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sets direction/oversight for revenue generation and control functions; ensures management capability; emphasizes compliance/consumer protection and management of legal risk; ensures independent and effective control functions; aligns incentives with risk appetite; ensures adequate MIS; and approves capital and liquidity goals.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12-17 / CA 12-14 (rev. Oct. 1, 2025), Section A.2(a)-(f); A.1(f).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Consolidates the corporate-governance expectations of A.2(a)-(f) and the capital/liquidity goal-approval of A.1(f).</w:t>
      </w:r>
    </w:p>
    <w:p>
      <w:pPr>
        <w:keepNext/>
        <w:spacing w:after="20" w:before="120"/>
      </w:pPr>
      <w:r>
        <w:rPr>
          <w:rFonts w:ascii="Arial" w:cs="Arial" w:eastAsia="Arial" w:hAnsi="Arial"/>
          <w:b/>
          <w:bCs/>
          <w:color w:val="1F3864"/>
          <w:sz w:val="21"/>
          <w:szCs w:val="21"/>
        </w:rPr>
        <w:t xml:space="preserve">GOV-17  —  Full board; committees</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Recovery and resolution planning are integrated into governance, independently validated, and supported by MIS reporting to the board and its committees.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12-17 / CA 12-14 (rev. Oct. 1, 2025), Sections A.3(f), B.3(g).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GOV-18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effectiveness is a rated supervisory element: the Governance &amp; Controls component evaluates the extent to which the board exhibits the five SR 21-3 attributes. This is the supervisory enforcement vehicle for the SR 21-3 board expectations.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19-3 / CA 19-2, Large Financial Institution (LFI) Rating System (Feb. 26, 2019; framework amended Nov. 5, 2025), Attachment, Governance &amp; Controls component, sec. C.3, p. 12.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Confirmed via FRB press release bcreg20251105 and Federal Register 90 FR 51329 (Nov. 17, 2025).</w:t>
      </w:r>
    </w:p>
    <w:p>
      <w:pPr>
        <w:keepNext/>
        <w:spacing w:after="20" w:before="120"/>
      </w:pPr>
      <w:r>
        <w:rPr>
          <w:rFonts w:ascii="Arial" w:cs="Arial" w:eastAsia="Arial" w:hAnsi="Arial"/>
          <w:b/>
          <w:bCs/>
          <w:color w:val="1F3864"/>
          <w:sz w:val="21"/>
          <w:szCs w:val="21"/>
        </w:rPr>
        <w:t xml:space="preserve">GOV-19  —  Full board (consequence framework)</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CONSEQUENCE CHANGE: 'ascetic principle' repealed — a single Deficient-1 rating in any component (including Governance &amp; Controls) no longer makes a firm 'not well managed'; the strong presumption of enforcement for a Deficient-1 was removed. Substantially lowers the supervisory stakes of board/governance findings.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19-3 LFI framework amendment (adopted Nov. 5, 2025, 6-1), Adopting release (bcreg20251105a1), pp. 6, 10-12, 24.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Not a board duty per se; a material change in how board/governance deficiencies bite. Constrained where the subsidiary IDI carries a sub-satisfactory CAMELS management/composite rating.</w:t>
      </w:r>
    </w:p>
    <w:p>
      <w:pPr>
        <w:keepNext/>
        <w:spacing w:after="20" w:before="120"/>
      </w:pPr>
      <w:r>
        <w:rPr>
          <w:rFonts w:ascii="Arial" w:cs="Arial" w:eastAsia="Arial" w:hAnsi="Arial"/>
          <w:b/>
          <w:bCs/>
          <w:color w:val="1F3864"/>
          <w:sz w:val="21"/>
          <w:szCs w:val="21"/>
        </w:rPr>
        <w:t xml:space="preserve">GOV-20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(with senior management) is responsible for active oversight of risk-management processes and internal controls.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95-51 (SUP), Rating the Adequacy of Risk Management Processes and Internal Controls (Nov. 1995), Risk-management rating definitions.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Superseded by SR 16-11 only for firms &lt;$100B; remains the operative risk-management-rating letter at &gt;=$100B (e.g., State Street Bank &amp; Trust). GSIB holding companies are rated under the LFI system.</w:t>
      </w:r>
    </w:p>
    <w:p>
      <w:pPr>
        <w:keepNext/>
        <w:spacing w:after="20" w:before="120"/>
      </w:pPr>
      <w:r>
        <w:rPr>
          <w:rFonts w:ascii="Arial" w:cs="Arial" w:eastAsia="Arial" w:hAnsi="Arial"/>
          <w:b/>
          <w:bCs/>
          <w:color w:val="1F3864"/>
          <w:sz w:val="21"/>
          <w:szCs w:val="21"/>
        </w:rPr>
        <w:t xml:space="preserve">GOV-21  —  Full board; Risk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requires management to establish and implement a risk-governance framework meeting the minimum standards; board or risk committee approves significant changes and approves the risk appetite statement at least annually, and monitors compliance.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Guidelines Establishing Heightened Standards, 12 CFR part 30, Appendix D (79 FR 54545, Sept. 11, 2014; OCC Bulletin 2014-45), App. D, sec. III.A; sec. II.A, II.G.1. </w:t>
      </w:r>
      <w:r>
        <w:rPr>
          <w:rFonts w:ascii="Arial" w:cs="Arial" w:eastAsia="Arial" w:hAnsi="Arial"/>
          <w:i/>
          <w:iCs/>
          <w:color w:val="595959"/>
          <w:sz w:val="18"/>
          <w:szCs w:val="18"/>
        </w:rPr>
        <w:t xml:space="preserve">Agency: OCC.</w:t>
      </w:r>
      <w:r>
        <w:rPr>
          <w:rFonts w:ascii="Arial" w:cs="Arial" w:eastAsia="Arial" w:hAnsi="Arial"/>
          <w:i/>
          <w:iCs/>
          <w:color w:val="595959"/>
          <w:sz w:val="18"/>
          <w:szCs w:val="18"/>
        </w:rPr>
        <w:t xml:space="preserve"> Note: Enforceable guideline for covered banks (currently IDIs &gt;=$50B). OCC Bulletin 2025-51 (Dec. 23, 2025) proposes raising threshold to $700B; all eight GSIB lead IDIs would remain covered. OCC also invites comment on reducing prescriptiveness.</w:t>
      </w:r>
    </w:p>
    <w:p>
      <w:pPr>
        <w:keepNext/>
        <w:spacing w:after="20" w:before="120"/>
      </w:pPr>
      <w:r>
        <w:rPr>
          <w:rFonts w:ascii="Arial" w:cs="Arial" w:eastAsia="Arial" w:hAnsi="Arial"/>
          <w:b/>
          <w:bCs/>
          <w:color w:val="1F3864"/>
          <w:sz w:val="21"/>
          <w:szCs w:val="21"/>
        </w:rPr>
        <w:t xml:space="preserve">GOV-22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provides active oversight of management's risk-taking and holds management accountable; may rely on IRM and internal-audit assessments to question, challenge, and when necessary oppose management decisions that could exceed risk appetite or jeopardize safety and soundness.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III.B. </w:t>
      </w:r>
      <w:r>
        <w:rPr>
          <w:rFonts w:ascii="Arial" w:cs="Arial" w:eastAsia="Arial" w:hAnsi="Arial"/>
          <w:i/>
          <w:iCs/>
          <w:color w:val="595959"/>
          <w:sz w:val="18"/>
          <w:szCs w:val="18"/>
        </w:rPr>
        <w:t xml:space="preserve">Agency: OCC.</w:t>
      </w:r>
    </w:p>
    <w:p>
      <w:pPr>
        <w:keepNext/>
        <w:spacing w:after="20" w:before="120"/>
      </w:pPr>
      <w:r>
        <w:rPr>
          <w:rFonts w:ascii="Arial" w:cs="Arial" w:eastAsia="Arial" w:hAnsi="Arial"/>
          <w:b/>
          <w:bCs/>
          <w:color w:val="1F3864"/>
          <w:sz w:val="21"/>
          <w:szCs w:val="21"/>
        </w:rPr>
        <w:t xml:space="preserve">GOV-23  —  Each director</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Each member of the board should exercise sound, independent judgment.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III.C.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Applies to each director individually.</w:t>
      </w:r>
    </w:p>
    <w:p>
      <w:pPr>
        <w:keepNext/>
        <w:spacing w:after="20" w:before="120"/>
      </w:pPr>
      <w:r>
        <w:rPr>
          <w:rFonts w:ascii="Arial" w:cs="Arial" w:eastAsia="Arial" w:hAnsi="Arial"/>
          <w:b/>
          <w:bCs/>
          <w:color w:val="1F3864"/>
          <w:sz w:val="21"/>
          <w:szCs w:val="21"/>
        </w:rPr>
        <w:t xml:space="preserve">GOV-24  —  Full board (composition)</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include at least two members who are not officers/employees of the parent or bank within the prior 3 years, not immediate family of an executive officer, and who qualify as independent under a national securities exchange's listing standards.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III.D.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Explicit independence minimum: at least two independent directors (quantified).</w:t>
      </w:r>
      <w:r>
        <w:rPr>
          <w:rFonts w:ascii="Arial" w:cs="Arial" w:eastAsia="Arial" w:hAnsi="Arial"/>
          <w:i/>
          <w:iCs/>
          <w:color w:val="595959"/>
          <w:sz w:val="18"/>
          <w:szCs w:val="18"/>
        </w:rPr>
        <w:t xml:space="preserve"> Note: Does not supersede separate FSA board-composition requirements (App. D fn. 6).</w:t>
      </w:r>
    </w:p>
    <w:p>
      <w:pPr>
        <w:keepNext/>
        <w:spacing w:after="20" w:before="120"/>
      </w:pPr>
      <w:r>
        <w:rPr>
          <w:rFonts w:ascii="Arial" w:cs="Arial" w:eastAsia="Arial" w:hAnsi="Arial"/>
          <w:b/>
          <w:bCs/>
          <w:color w:val="1F3864"/>
          <w:sz w:val="21"/>
          <w:szCs w:val="21"/>
        </w:rPr>
        <w:t xml:space="preserve">GOV-25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establishes a formal, ongoing training program for all directors covering complex products/risks, applicable laws and supervisory requirements, and other topics.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III.E.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All directors.</w:t>
      </w:r>
    </w:p>
    <w:p>
      <w:pPr>
        <w:keepNext/>
        <w:spacing w:after="20" w:before="120"/>
      </w:pPr>
      <w:r>
        <w:rPr>
          <w:rFonts w:ascii="Arial" w:cs="Arial" w:eastAsia="Arial" w:hAnsi="Arial"/>
          <w:b/>
          <w:bCs/>
          <w:color w:val="1F3864"/>
          <w:sz w:val="21"/>
          <w:szCs w:val="21"/>
        </w:rPr>
        <w:t xml:space="preserve">GOV-26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conducts an annual self-assessment of its effectiveness in meeting the Section III standards.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III.F. </w:t>
      </w:r>
      <w:r>
        <w:rPr>
          <w:rFonts w:ascii="Arial" w:cs="Arial" w:eastAsia="Arial" w:hAnsi="Arial"/>
          <w:i/>
          <w:iCs/>
          <w:color w:val="595959"/>
          <w:sz w:val="18"/>
          <w:szCs w:val="18"/>
        </w:rPr>
        <w:t xml:space="preserve">Agency: OCC.</w:t>
      </w:r>
    </w:p>
    <w:p>
      <w:pPr>
        <w:keepNext/>
        <w:spacing w:after="20" w:before="120"/>
      </w:pPr>
      <w:r>
        <w:rPr>
          <w:rFonts w:ascii="Arial" w:cs="Arial" w:eastAsia="Arial" w:hAnsi="Arial"/>
          <w:b/>
          <w:bCs/>
          <w:color w:val="1F3864"/>
          <w:sz w:val="21"/>
          <w:szCs w:val="21"/>
        </w:rPr>
        <w:t xml:space="preserve">GOV-27  —  Full board; Risk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evaluates and approves the bank's 3-year strategic plan and monitors implementation at least annually; receives IRM reporting on risk profile vs. appetite and limit compliance at least quarterly; and receives risk-limit-breach protocols and escalation.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secs. II.D, II.G.3, II.H.3. </w:t>
      </w:r>
      <w:r>
        <w:rPr>
          <w:rFonts w:ascii="Arial" w:cs="Arial" w:eastAsia="Arial" w:hAnsi="Arial"/>
          <w:i/>
          <w:iCs/>
          <w:color w:val="595959"/>
          <w:sz w:val="18"/>
          <w:szCs w:val="18"/>
        </w:rPr>
        <w:t xml:space="preserve">Agency: OCC.</w:t>
      </w:r>
    </w:p>
    <w:p>
      <w:pPr>
        <w:keepNext/>
        <w:spacing w:after="20" w:before="120"/>
      </w:pPr>
      <w:r>
        <w:rPr>
          <w:rFonts w:ascii="Arial" w:cs="Arial" w:eastAsia="Arial" w:hAnsi="Arial"/>
          <w:b/>
          <w:bCs/>
          <w:color w:val="1F3864"/>
          <w:sz w:val="21"/>
          <w:szCs w:val="21"/>
        </w:rPr>
        <w:t xml:space="preserve">GOV-28  —  Full board; Risk committee; Audit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or appropriate committee appoints the CEO and appoints/approves the CAE and CRO(s); reviews/approves the written talent-management and succession program; risk committee approves CRO appointment/removal and compensation; audit committee approves the internal-audit charter/plans and CAE appointment/removal/compensation.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II.L; definitions of 'independent risk management' and 'internal audit'. </w:t>
      </w:r>
      <w:r>
        <w:rPr>
          <w:rFonts w:ascii="Arial" w:cs="Arial" w:eastAsia="Arial" w:hAnsi="Arial"/>
          <w:i/>
          <w:iCs/>
          <w:color w:val="595959"/>
          <w:sz w:val="18"/>
          <w:szCs w:val="18"/>
        </w:rPr>
        <w:t xml:space="preserve">Agency: OCC.</w:t>
      </w:r>
    </w:p>
    <w:p>
      <w:pPr>
        <w:keepNext/>
        <w:spacing w:after="20" w:before="120"/>
      </w:pPr>
      <w:r>
        <w:rPr>
          <w:rFonts w:ascii="Arial" w:cs="Arial" w:eastAsia="Arial" w:hAnsi="Arial"/>
          <w:b/>
          <w:bCs/>
          <w:color w:val="1F3864"/>
          <w:sz w:val="21"/>
          <w:szCs w:val="21"/>
        </w:rPr>
        <w:t xml:space="preserve">GOV-29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oversees management and provides organizational leadership; establishes core corporate values; creates a corporate/risk-governance framework setting strategic direction, risk culture, and risk appetite; holds management accountable — while not managing day-to-day.</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The Director's Book: Role of Directors for National Banks and Federal Savings Associations (2020); Comptroller's Handbook, 'Corporate and Risk Governance' booklet (rev. July 2019), Director's Book (OCC Bulletin 2020-97); Corporate and Risk Governance booklet. </w:t>
      </w:r>
      <w:r>
        <w:rPr>
          <w:rFonts w:ascii="Arial" w:cs="Arial" w:eastAsia="Arial" w:hAnsi="Arial"/>
          <w:i/>
          <w:iCs/>
          <w:color w:val="595959"/>
          <w:sz w:val="18"/>
          <w:szCs w:val="18"/>
        </w:rPr>
        <w:t xml:space="preserve">Agency: OCC.</w:t>
      </w:r>
      <w:r>
        <w:rPr>
          <w:rFonts w:ascii="Arial" w:cs="Arial" w:eastAsia="Arial" w:hAnsi="Arial"/>
          <w:i/>
          <w:iCs/>
          <w:color w:val="595959"/>
          <w:sz w:val="18"/>
          <w:szCs w:val="18"/>
        </w:rPr>
        <w:t xml:space="preserve"> Note: Examiner-facing guidance for national banks/FSAs (GSIB lead IDIs).</w:t>
      </w:r>
    </w:p>
    <w:p>
      <w:pPr>
        <w:keepNext/>
        <w:spacing w:after="20" w:before="120"/>
      </w:pPr>
      <w:r>
        <w:rPr>
          <w:rFonts w:ascii="Arial" w:cs="Arial" w:eastAsia="Arial" w:hAnsi="Arial"/>
          <w:b/>
          <w:bCs/>
          <w:color w:val="1F3864"/>
          <w:sz w:val="21"/>
          <w:szCs w:val="21"/>
        </w:rPr>
        <w:t xml:space="preserve">GOV-30  —  Full board (audit committee for auditor oversight)</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Each director should: maintain independence and exercise independent judgment; keep informed (attend meetings, review materials/auditor findings/supervisory communications, pursue education); ensure qualified management; supervise management (establish written policies, monitor via reports, provide for independent third-party review, and heed supervisory reports); and avoid preferential transactions with insiders.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Pocket Guide for Directors; Statement Concerning the Responsibilities of Bank Directors and Officers (last updated Jan. 3, 2024), Five enumerated duties. </w:t>
      </w:r>
      <w:r>
        <w:rPr>
          <w:rFonts w:ascii="Arial" w:cs="Arial" w:eastAsia="Arial" w:hAnsi="Arial"/>
          <w:i/>
          <w:iCs/>
          <w:color w:val="595959"/>
          <w:sz w:val="18"/>
          <w:szCs w:val="18"/>
        </w:rPr>
        <w:t xml:space="preserve">Agency: FDIC.</w:t>
      </w:r>
      <w:r>
        <w:rPr>
          <w:rFonts w:ascii="Arial" w:cs="Arial" w:eastAsia="Arial" w:hAnsi="Arial"/>
          <w:i/>
          <w:iCs/>
          <w:color w:val="7030A0"/>
          <w:sz w:val="18"/>
          <w:szCs w:val="18"/>
        </w:rPr>
        <w:t xml:space="preserve"> Director distinction: Each director (independence emphasized); insider-transaction prohibition implicates inside directors/principal shareholders.</w:t>
      </w:r>
    </w:p>
    <w:p>
      <w:pPr>
        <w:keepNext/>
        <w:spacing w:after="20" w:before="120"/>
      </w:pPr>
      <w:r>
        <w:rPr>
          <w:rFonts w:ascii="Arial" w:cs="Arial" w:eastAsia="Arial" w:hAnsi="Arial"/>
          <w:b/>
          <w:bCs/>
          <w:color w:val="1F3864"/>
          <w:sz w:val="21"/>
          <w:szCs w:val="21"/>
        </w:rPr>
        <w:t xml:space="preserve">GOV-31  —  Full board; Audit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Institution maintains internal controls and information systems with clear lines of authority, effective risk assessment, timely/accurate reporting, asset safeguards, and legal compliance; the audit committee or board of directors reviews the effectiveness of internal audit systems.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Guidelines Establishing Standards for Safety and Soundness, 12 CFR part 30 App. A (OCC) / part 364 App. A (FDIC) (last amended 83 FR 17742, Apr. 24, 2018), App. A, secs. II.A, II.B.7. </w:t>
      </w:r>
      <w:r>
        <w:rPr>
          <w:rFonts w:ascii="Arial" w:cs="Arial" w:eastAsia="Arial" w:hAnsi="Arial"/>
          <w:i/>
          <w:iCs/>
          <w:color w:val="595959"/>
          <w:sz w:val="18"/>
          <w:szCs w:val="18"/>
        </w:rPr>
        <w:t xml:space="preserve">Agency: Interagency (OCC/FDIC/FRB).</w:t>
      </w:r>
      <w:r>
        <w:rPr>
          <w:rFonts w:ascii="Arial" w:cs="Arial" w:eastAsia="Arial" w:hAnsi="Arial"/>
          <w:i/>
          <w:iCs/>
          <w:color w:val="595959"/>
          <w:sz w:val="18"/>
          <w:szCs w:val="18"/>
        </w:rPr>
        <w:t xml:space="preserve"> Note: Issued under FDI Act sec. 39.</w:t>
      </w:r>
    </w:p>
    <w:p>
      <w:pPr>
        <w:keepNext/>
        <w:spacing w:after="20" w:before="120"/>
      </w:pPr>
      <w:r>
        <w:rPr>
          <w:rFonts w:ascii="Arial" w:cs="Arial" w:eastAsia="Arial" w:hAnsi="Arial"/>
          <w:b/>
          <w:bCs/>
          <w:color w:val="1F3864"/>
          <w:sz w:val="21"/>
          <w:szCs w:val="21"/>
        </w:rPr>
        <w:t xml:space="preserve">GOV-32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receives appropriate communication and periodic reporting sufficient to assess credit underwriting/review, interest-rate risk, asset quality, and earnings.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Guidelines Establishing Standards for Safety and Soundness, 12 CFR part 30 App. A / part 364 App. A, App. A, secs. II.D.4, II.E.2, II.G.6, II.H.5. </w:t>
      </w:r>
      <w:r>
        <w:rPr>
          <w:rFonts w:ascii="Arial" w:cs="Arial" w:eastAsia="Arial" w:hAnsi="Arial"/>
          <w:i/>
          <w:iCs/>
          <w:color w:val="595959"/>
          <w:sz w:val="18"/>
          <w:szCs w:val="18"/>
        </w:rPr>
        <w:t xml:space="preserve">Agency: Interagency (OCC/FDIC/FRB).</w:t>
      </w:r>
    </w:p>
    <w:p>
      <w:pPr>
        <w:keepNext/>
        <w:spacing w:after="20" w:before="120"/>
      </w:pPr>
      <w:r>
        <w:rPr>
          <w:rFonts w:ascii="Arial" w:cs="Arial" w:eastAsia="Arial" w:hAnsi="Arial"/>
          <w:b/>
          <w:bCs/>
          <w:color w:val="1F3864"/>
          <w:sz w:val="21"/>
          <w:szCs w:val="21"/>
        </w:rPr>
        <w:t xml:space="preserve">GOV-33  —  Full board; Compensation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Institution maintains safeguards against excessive compensation to any executive officer, employee, director, or principal shareholder, and against compensation that could cause material financial loss.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Guidelines Establishing Standards for Safety and Soundness, 12 CFR part 30 App. A / part 364 App. A, App. A, secs. II.I, III.A-B. </w:t>
      </w:r>
      <w:r>
        <w:rPr>
          <w:rFonts w:ascii="Arial" w:cs="Arial" w:eastAsia="Arial" w:hAnsi="Arial"/>
          <w:i/>
          <w:iCs/>
          <w:color w:val="595959"/>
          <w:sz w:val="18"/>
          <w:szCs w:val="18"/>
        </w:rPr>
        <w:t xml:space="preserve">Agency: Interagency (OCC/FDIC/FRB).</w:t>
      </w:r>
      <w:r>
        <w:rPr>
          <w:rFonts w:ascii="Arial" w:cs="Arial" w:eastAsia="Arial" w:hAnsi="Arial"/>
          <w:i/>
          <w:iCs/>
          <w:color w:val="7030A0"/>
          <w:sz w:val="18"/>
          <w:szCs w:val="18"/>
        </w:rPr>
        <w:t xml:space="preserve"> Director distinction: Inside directors named as potential recipients subject to the excessive-comp prohibition.</w:t>
      </w:r>
    </w:p>
    <w:p>
      <w:pPr>
        <w:keepNext/>
        <w:spacing w:after="20" w:before="120"/>
      </w:pPr>
      <w:r>
        <w:rPr>
          <w:rFonts w:ascii="Arial" w:cs="Arial" w:eastAsia="Arial" w:hAnsi="Arial"/>
          <w:b/>
          <w:bCs/>
          <w:color w:val="1F3864"/>
          <w:sz w:val="21"/>
          <w:szCs w:val="21"/>
        </w:rPr>
        <w:t xml:space="preserve">IAU-01  —  Audit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chief audit executive should report functionally to the audit committee on the audit plan, audit findings, and the CAE's performance and compensation; the audit committee should be positioned so the board has confidence internal audit is impartial and not unduly influenced by operating management.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13-1 / CA 13-1, Supplemental Policy Statement on the Internal Audit Function and Its Outsourcing (Jan. 23, 2013), Attachment, p. (local ll. 195-217).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IAU-02  —  Audit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Where the CAE reports administratively to someone other than the CEO, the audit committee should document its rationale and at least annually evaluate whether the CAE remains impartial and objective.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13-1 / CA 13-1 (Jan. 23, 2013), Attachment, p. (local ll. 209-217).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IAU-03  —  Audit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Responsibility for an effective system of internal controls cannot be delegated to a third party; where internal audit is outsourced, the audit committee must maintain ownership of the function, approve all significant aspects of outsourcing arrangements, and, with the CAE, is responsible for vendor selection and retention.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13-1 / CA 13-1 (Jan. 23, 2013), Attachment, p. (local ll. 599-623).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Overlaps third-party risk management.</w:t>
      </w:r>
    </w:p>
    <w:p>
      <w:pPr>
        <w:keepNext/>
        <w:spacing w:after="20" w:before="120"/>
      </w:pPr>
      <w:r>
        <w:rPr>
          <w:rFonts w:ascii="Arial" w:cs="Arial" w:eastAsia="Arial" w:hAnsi="Arial"/>
          <w:b/>
          <w:bCs/>
          <w:color w:val="1F3864"/>
          <w:sz w:val="21"/>
          <w:szCs w:val="21"/>
        </w:rPr>
        <w:t xml:space="preserve">FDR-01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board is the source of authority and responsibility; it is responsible for sound policies and objectives, effective supervision of affairs, and the bank's welfare; the institution's continuing health depends on an informed and vigilant board.</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Risk Management Manual of Examination Policies, Management section, Management (local ll. ~11944-12024). </w:t>
      </w:r>
      <w:r>
        <w:rPr>
          <w:rFonts w:ascii="Arial" w:cs="Arial" w:eastAsia="Arial" w:hAnsi="Arial"/>
          <w:i/>
          <w:iCs/>
          <w:color w:val="595959"/>
          <w:sz w:val="18"/>
          <w:szCs w:val="18"/>
        </w:rPr>
        <w:t xml:space="preserve">Agency: FDIC.</w:t>
      </w:r>
      <w:r>
        <w:rPr>
          <w:rFonts w:ascii="Arial" w:cs="Arial" w:eastAsia="Arial" w:hAnsi="Arial"/>
          <w:i/>
          <w:iCs/>
          <w:color w:val="595959"/>
          <w:sz w:val="18"/>
          <w:szCs w:val="18"/>
        </w:rPr>
        <w:t xml:space="preserve"> Note: Current FDIC examiner manual; applies to FDIC-supervised institutions.</w:t>
      </w:r>
    </w:p>
    <w:p>
      <w:pPr>
        <w:keepNext/>
        <w:spacing w:after="20" w:before="120"/>
      </w:pPr>
      <w:r>
        <w:rPr>
          <w:rFonts w:ascii="Arial" w:cs="Arial" w:eastAsia="Arial" w:hAnsi="Arial"/>
          <w:b/>
          <w:bCs/>
          <w:color w:val="1F3864"/>
          <w:sz w:val="21"/>
          <w:szCs w:val="21"/>
        </w:rPr>
        <w:t xml:space="preserve">FDR-02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Directors should set a clear risk appetite, strategic focus, and objectives, and give final approval to written policies covering investments, loans, funds management, capital planning, internal controls, audit, conflicts of interest, ethics, personnel, BSA, IT, trust, and consumer compliance.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RMS Manual, Management section, Management (local ll. ~12024-12054). </w:t>
      </w:r>
      <w:r>
        <w:rPr>
          <w:rFonts w:ascii="Arial" w:cs="Arial" w:eastAsia="Arial" w:hAnsi="Arial"/>
          <w:i/>
          <w:iCs/>
          <w:color w:val="595959"/>
          <w:sz w:val="18"/>
          <w:szCs w:val="18"/>
        </w:rPr>
        <w:t xml:space="preserve">Agency: FDIC.</w:t>
      </w:r>
      <w:r>
        <w:rPr>
          <w:rFonts w:ascii="Arial" w:cs="Arial" w:eastAsia="Arial" w:hAnsi="Arial"/>
          <w:i/>
          <w:iCs/>
          <w:color w:val="595959"/>
          <w:sz w:val="18"/>
          <w:szCs w:val="18"/>
        </w:rPr>
        <w:t xml:space="preserve"> Note: Specialty-area policy list facilitating director oversight.</w:t>
      </w:r>
    </w:p>
    <w:p>
      <w:pPr>
        <w:keepNext/>
        <w:spacing w:after="20" w:before="120"/>
      </w:pPr>
      <w:r>
        <w:rPr>
          <w:rFonts w:ascii="Arial" w:cs="Arial" w:eastAsia="Arial" w:hAnsi="Arial"/>
          <w:b/>
          <w:bCs/>
          <w:color w:val="1F3864"/>
          <w:sz w:val="21"/>
          <w:szCs w:val="21"/>
        </w:rPr>
        <w:t xml:space="preserve">FDR-03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A primary board duty is selecting and retaining competent executive officers and replacing officers who cannot meet reasonable standards; the board sets future direction through a dynamic strategic-planning process.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RMS Manual, Management section, Management (local ll. ~12073-12119). </w:t>
      </w:r>
      <w:r>
        <w:rPr>
          <w:rFonts w:ascii="Arial" w:cs="Arial" w:eastAsia="Arial" w:hAnsi="Arial"/>
          <w:i/>
          <w:iCs/>
          <w:color w:val="595959"/>
          <w:sz w:val="18"/>
          <w:szCs w:val="18"/>
        </w:rPr>
        <w:t xml:space="preserve">Agency: FDIC.</w:t>
      </w:r>
      <w:r>
        <w:rPr>
          <w:rFonts w:ascii="Arial" w:cs="Arial" w:eastAsia="Arial" w:hAnsi="Arial"/>
          <w:i/>
          <w:iCs/>
          <w:color w:val="595959"/>
          <w:sz w:val="18"/>
          <w:szCs w:val="18"/>
        </w:rPr>
        <w:t xml:space="preserve"> Note: Aligns with FRB/OCC succession and strategy expectations.</w:t>
      </w:r>
    </w:p>
    <w:p>
      <w:pPr>
        <w:keepNext/>
        <w:spacing w:after="20" w:before="120"/>
      </w:pPr>
      <w:r>
        <w:rPr>
          <w:rFonts w:ascii="Arial" w:cs="Arial" w:eastAsia="Arial" w:hAnsi="Arial"/>
          <w:b/>
          <w:bCs/>
          <w:color w:val="1F3864"/>
          <w:sz w:val="21"/>
          <w:szCs w:val="21"/>
        </w:rPr>
        <w:t xml:space="preserve">FDR-04  —  Full board; individual directors</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Directors should receive relevant, accurate, concise written information at regular intervals and act on it; establish and oversee internal controls and audit; use committees and advisors without relinquishing responsibility; record dissent where appropriate; and avoid indifference or unsupervised delegation. Use of committees does not relieve the full board of fundamental responsibility.</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RMS Manual, Management section, Management (local ll. ~12170-12270). </w:t>
      </w:r>
      <w:r>
        <w:rPr>
          <w:rFonts w:ascii="Arial" w:cs="Arial" w:eastAsia="Arial" w:hAnsi="Arial"/>
          <w:i/>
          <w:iCs/>
          <w:color w:val="595959"/>
          <w:sz w:val="18"/>
          <w:szCs w:val="18"/>
        </w:rPr>
        <w:t xml:space="preserve">Agency: FDIC.</w:t>
      </w:r>
      <w:r>
        <w:rPr>
          <w:rFonts w:ascii="Arial" w:cs="Arial" w:eastAsia="Arial" w:hAnsi="Arial"/>
          <w:i/>
          <w:iCs/>
          <w:color w:val="7030A0"/>
          <w:sz w:val="18"/>
          <w:szCs w:val="18"/>
        </w:rPr>
        <w:t xml:space="preserve"> Director distinction: Individual-director diligence; dissenting-director protection.</w:t>
      </w:r>
    </w:p>
    <w:p>
      <w:pPr>
        <w:keepNext/>
        <w:spacing w:after="20" w:before="120"/>
      </w:pPr>
      <w:r>
        <w:rPr>
          <w:rFonts w:ascii="Arial" w:cs="Arial" w:eastAsia="Arial" w:hAnsi="Arial"/>
          <w:b/>
          <w:bCs/>
          <w:color w:val="1F3864"/>
          <w:sz w:val="21"/>
          <w:szCs w:val="21"/>
        </w:rPr>
        <w:t xml:space="preserve">FDR-05  —  Full board and management</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CAMELS management-component rating evaluates the board's and management's ability to identify, measure, monitor, and control risks; compliance with laws; adequacy of and conformance with policies; responsiveness to examiner and auditor recommendations; and the need for board action.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RMS Manual, Uniform Financial Institutions Rating System (CAMELS), Management component (local ll. ~1576-1607). </w:t>
      </w:r>
      <w:r>
        <w:rPr>
          <w:rFonts w:ascii="Arial" w:cs="Arial" w:eastAsia="Arial" w:hAnsi="Arial"/>
          <w:i/>
          <w:iCs/>
          <w:color w:val="595959"/>
          <w:sz w:val="18"/>
          <w:szCs w:val="18"/>
        </w:rPr>
        <w:t xml:space="preserve">Agency: FDIC.</w:t>
      </w:r>
      <w:r>
        <w:rPr>
          <w:rFonts w:ascii="Arial" w:cs="Arial" w:eastAsia="Arial" w:hAnsi="Arial"/>
          <w:i/>
          <w:iCs/>
          <w:color w:val="595959"/>
          <w:sz w:val="18"/>
          <w:szCs w:val="18"/>
        </w:rPr>
        <w:t xml:space="preserve"> Note: Rating framework that operationalizes board expectations; FFIEC proposed CAMELS revisions in 2026 (situational awareness only).</w:t>
      </w:r>
    </w:p>
    <w:p>
      <w:pPr>
        <w:keepNext/>
        <w:spacing w:after="20" w:before="120"/>
      </w:pPr>
      <w:r>
        <w:rPr>
          <w:rFonts w:ascii="Arial" w:cs="Arial" w:eastAsia="Arial" w:hAnsi="Arial"/>
          <w:b/>
          <w:bCs/>
          <w:color w:val="1F3864"/>
          <w:sz w:val="21"/>
          <w:szCs w:val="21"/>
        </w:rPr>
        <w:t xml:space="preserve">SUB-01  —  IDI (subsidiary)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primary duty of a subsidiary bank's board is to ensure the bank operates safely and soundly; the bank's board must ensure the bank's interests are not subordinated to the parent holding company. If the holding company engages in practices that may harm the bank, the bank's board should seek modifications, dissent on the record, consider hiring independent legal counsel or an accountant, and may raise concerns with its regulators.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The Director's Book: Role of Directors for National Banks and Federal Savings Associations (2020), Corporate Governance — subsidiary bank / affiliate relationships (local ll. ~1915-1962).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Overlapping (parent-and-bank) directors owe fiduciary duties — including the duty of loyalty — to the bank; dissenting-director expectation.</w:t>
      </w:r>
      <w:r>
        <w:rPr>
          <w:rFonts w:ascii="Arial" w:cs="Arial" w:eastAsia="Arial" w:hAnsi="Arial"/>
          <w:i/>
          <w:iCs/>
          <w:color w:val="595959"/>
          <w:sz w:val="18"/>
          <w:szCs w:val="18"/>
        </w:rPr>
        <w:t xml:space="preserve"> Note: Key holding-company/IDI-subsidiary tension directly relevant to GSIB group structures and interlocking boards; cross-refers to 12 USC 371c/371c-1 and Regulation W.</w:t>
      </w:r>
    </w:p>
    <w:p>
      <w:pPr>
        <w:pStyle w:val="Heading2"/>
      </w:pPr>
      <w:r>
        <w:t xml:space="preserve">2. Board structure &amp; committee governance</w:t>
      </w:r>
    </w:p>
    <w:p>
      <w:pPr>
        <w:keepNext/>
        <w:spacing w:after="20" w:before="120"/>
      </w:pPr>
      <w:r>
        <w:rPr>
          <w:rFonts w:ascii="Arial" w:cs="Arial" w:eastAsia="Arial" w:hAnsi="Arial"/>
          <w:b/>
          <w:bCs/>
          <w:color w:val="1F3864"/>
          <w:sz w:val="21"/>
          <w:szCs w:val="21"/>
        </w:rPr>
        <w:t xml:space="preserve">BCG-01  —  Executive committee;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An executive committee may act between full-board meetings, but the full board should limit its authority and reserve extraordinary matters (e.g., mergers and acquisitions); use of an executive committee must not create a two-tiered class of directors — all directors share the same responsibilities and liabilities.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(Common Board Committees), Appendix C — Executive committee.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All directors share equal responsibility and liability (no two-tier class).</w:t>
      </w:r>
    </w:p>
    <w:p>
      <w:pPr>
        <w:keepNext/>
        <w:spacing w:after="20" w:before="120"/>
      </w:pPr>
      <w:r>
        <w:rPr>
          <w:rFonts w:ascii="Arial" w:cs="Arial" w:eastAsia="Arial" w:hAnsi="Arial"/>
          <w:b/>
          <w:bCs/>
          <w:color w:val="1F3864"/>
          <w:sz w:val="21"/>
          <w:szCs w:val="21"/>
        </w:rPr>
        <w:t xml:space="preserve">BCG-02  —  Audit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Audit committee oversees the audit program and confirms comprehensive coverage; holds management accountable for internal controls; appoints, terminates, compensates, and oversees the chief auditor and external auditor; ensures external-auditor independence; oversees financial reporting and accounting policies; establishes whistleblower procedures; and tracks remediation of audit/regulatory deficiencies.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Audit committee.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Independent audit committee is a good and sometimes required practice.</w:t>
      </w:r>
      <w:r>
        <w:rPr>
          <w:rFonts w:ascii="Arial" w:cs="Arial" w:eastAsia="Arial" w:hAnsi="Arial"/>
          <w:i/>
          <w:iCs/>
          <w:color w:val="595959"/>
          <w:sz w:val="18"/>
          <w:szCs w:val="18"/>
        </w:rPr>
        <w:t xml:space="preserve"> Note: Cross-refers to the Internal and External Audits booklet.</w:t>
      </w:r>
    </w:p>
    <w:p>
      <w:pPr>
        <w:keepNext/>
        <w:spacing w:after="20" w:before="120"/>
      </w:pPr>
      <w:r>
        <w:rPr>
          <w:rFonts w:ascii="Arial" w:cs="Arial" w:eastAsia="Arial" w:hAnsi="Arial"/>
          <w:b/>
          <w:bCs/>
          <w:color w:val="1F3864"/>
          <w:sz w:val="21"/>
          <w:szCs w:val="21"/>
        </w:rPr>
        <w:t xml:space="preserve">BCG-03  —  Credit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A credit committee (where used) establishes lending strategy, credit risk appetite, and risk limits; reviews/approves lending policies and underwriting standards; approves large credits per policy; monitors portfolio performance, exceptions, and the allowance; and oversees credit-related legal/regulatory compliance.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Credit committee. </w:t>
      </w:r>
      <w:r>
        <w:rPr>
          <w:rFonts w:ascii="Arial" w:cs="Arial" w:eastAsia="Arial" w:hAnsi="Arial"/>
          <w:i/>
          <w:iCs/>
          <w:color w:val="595959"/>
          <w:sz w:val="18"/>
          <w:szCs w:val="18"/>
        </w:rPr>
        <w:t xml:space="preserve">Agency: OCC.</w:t>
      </w:r>
      <w:r>
        <w:rPr>
          <w:rFonts w:ascii="Arial" w:cs="Arial" w:eastAsia="Arial" w:hAnsi="Arial"/>
          <w:i/>
          <w:iCs/>
          <w:color w:val="595959"/>
          <w:sz w:val="18"/>
          <w:szCs w:val="18"/>
        </w:rPr>
        <w:t xml:space="preserve"> Note: Relevant to GSIB IDIs with large lending books.</w:t>
      </w:r>
    </w:p>
    <w:p>
      <w:pPr>
        <w:keepNext/>
        <w:spacing w:after="20" w:before="120"/>
      </w:pPr>
      <w:r>
        <w:rPr>
          <w:rFonts w:ascii="Arial" w:cs="Arial" w:eastAsia="Arial" w:hAnsi="Arial"/>
          <w:b/>
          <w:bCs/>
          <w:color w:val="1F3864"/>
          <w:sz w:val="21"/>
          <w:szCs w:val="21"/>
        </w:rPr>
        <w:t xml:space="preserve">BCG-04  —  Board-level ALCO (if used)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Where a board-level ALCO exists, it establishes asset-liability strategies, rate-risk appetites, and limits; reviews liquidity and interest-rate-risk reports; monitors the liquidity position and policy/limit compliance; and verifies adequate capital and liquidity support. In most banks the board delegates this to a senior-management committee.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Asset-liability committee. </w:t>
      </w:r>
      <w:r>
        <w:rPr>
          <w:rFonts w:ascii="Arial" w:cs="Arial" w:eastAsia="Arial" w:hAnsi="Arial"/>
          <w:i/>
          <w:iCs/>
          <w:color w:val="595959"/>
          <w:sz w:val="18"/>
          <w:szCs w:val="18"/>
        </w:rPr>
        <w:t xml:space="preserve">Agency: OCC.</w:t>
      </w:r>
      <w:r>
        <w:rPr>
          <w:rFonts w:ascii="Arial" w:cs="Arial" w:eastAsia="Arial" w:hAnsi="Arial"/>
          <w:i/>
          <w:iCs/>
          <w:color w:val="595959"/>
          <w:sz w:val="18"/>
          <w:szCs w:val="18"/>
        </w:rPr>
        <w:t xml:space="preserve"> Note: FSA boards are separately required to monitor IRR and derivatives (12 CFR 163.172/.176).</w:t>
      </w:r>
    </w:p>
    <w:p>
      <w:pPr>
        <w:keepNext/>
        <w:spacing w:after="20" w:before="120"/>
      </w:pPr>
      <w:r>
        <w:rPr>
          <w:rFonts w:ascii="Arial" w:cs="Arial" w:eastAsia="Arial" w:hAnsi="Arial"/>
          <w:b/>
          <w:bCs/>
          <w:color w:val="1F3864"/>
          <w:sz w:val="21"/>
          <w:szCs w:val="21"/>
        </w:rPr>
        <w:t xml:space="preserve">BCG-05  —  Risk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risk committee's primary responsibility is risk oversight: defining/confirming risk appetite; confirming strategic, liquidity, and capital plans fit the risk appetite; approving limits; confirming risk infrastructure; addressing material risks; confirming independent risk management's independence; and overseeing the chief risk executive. Larger/more complex banks customarily include independent directors.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Risk committee.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Independent-director participation expected for larger/complex banks.</w:t>
      </w:r>
    </w:p>
    <w:p>
      <w:pPr>
        <w:keepNext/>
        <w:spacing w:after="20" w:before="120"/>
      </w:pPr>
      <w:r>
        <w:rPr>
          <w:rFonts w:ascii="Arial" w:cs="Arial" w:eastAsia="Arial" w:hAnsi="Arial"/>
          <w:b/>
          <w:bCs/>
          <w:color w:val="1F3864"/>
          <w:sz w:val="21"/>
          <w:szCs w:val="21"/>
        </w:rPr>
        <w:t xml:space="preserve">BCG-06  —  Fiduciary committee; fiduciary audit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A bank with fiduciary (trust) powers must have a fiduciary audit committee (and typically administrative and investment fiduciary committees) overseeing audits of significant fiduciary activities, with results and actions recorded in the minutes; composition requirements are set by regulation (12 CFR 9.9 / FSA equivalents).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Fiduciary committees.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Regulatory composition requirements for the fiduciary audit committee.</w:t>
      </w:r>
      <w:r>
        <w:rPr>
          <w:rFonts w:ascii="Arial" w:cs="Arial" w:eastAsia="Arial" w:hAnsi="Arial"/>
          <w:i/>
          <w:iCs/>
          <w:color w:val="595959"/>
          <w:sz w:val="18"/>
          <w:szCs w:val="18"/>
        </w:rPr>
        <w:t xml:space="preserve"> Note: Relevant to GSIB IDIs with trust/asset-servicing businesses (e.g., BNY, State Street).</w:t>
      </w:r>
    </w:p>
    <w:p>
      <w:pPr>
        <w:keepNext/>
        <w:spacing w:after="20" w:before="120"/>
      </w:pPr>
      <w:r>
        <w:rPr>
          <w:rFonts w:ascii="Arial" w:cs="Arial" w:eastAsia="Arial" w:hAnsi="Arial"/>
          <w:b/>
          <w:bCs/>
          <w:color w:val="1F3864"/>
          <w:sz w:val="21"/>
          <w:szCs w:val="21"/>
        </w:rPr>
        <w:t xml:space="preserve">BCG-07  —  Compensation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A compensation committee oversees the design and implementation of incentive-compensation arrangements; reviews/recommends director and committee fee structures; works closely with the risk and audit committees to confirm alignment with strategy and risk appetite; understands all compensation/benefits arrangements; and reports periodically to the full board.</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Compensation committee. </w:t>
      </w:r>
      <w:r>
        <w:rPr>
          <w:rFonts w:ascii="Arial" w:cs="Arial" w:eastAsia="Arial" w:hAnsi="Arial"/>
          <w:i/>
          <w:iCs/>
          <w:color w:val="595959"/>
          <w:sz w:val="18"/>
          <w:szCs w:val="18"/>
        </w:rPr>
        <w:t xml:space="preserve">Agency: OCC.</w:t>
      </w:r>
      <w:r>
        <w:rPr>
          <w:rFonts w:ascii="Arial" w:cs="Arial" w:eastAsia="Arial" w:hAnsi="Arial"/>
          <w:i/>
          <w:iCs/>
          <w:color w:val="595959"/>
          <w:sz w:val="18"/>
          <w:szCs w:val="18"/>
        </w:rPr>
        <w:t xml:space="preserve"> Note: Overlaps the 2010 incentive-comp guidance and OCC Heightened Standards comp/talent standards.</w:t>
      </w:r>
    </w:p>
    <w:p>
      <w:pPr>
        <w:keepNext/>
        <w:spacing w:after="20" w:before="120"/>
      </w:pPr>
      <w:r>
        <w:rPr>
          <w:rFonts w:ascii="Arial" w:cs="Arial" w:eastAsia="Arial" w:hAnsi="Arial"/>
          <w:b/>
          <w:bCs/>
          <w:color w:val="1F3864"/>
          <w:sz w:val="21"/>
          <w:szCs w:val="21"/>
        </w:rPr>
        <w:t xml:space="preserve">BCG-08  —  Corporate governance/nominating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corporate governance/nominating committee establishes criteria and qualifications (including independence) for board and committee membership; recommends nominees; assesses current directors; oversees governance practices, director education, self-assessments, tenure, and shareholder communications; and, where there is no compensation committee, the director-compensation policy.</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Corporate governance/nominating committee.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Sets independence requirements for board/committee membership.</w:t>
      </w:r>
      <w:r>
        <w:rPr>
          <w:rFonts w:ascii="Arial" w:cs="Arial" w:eastAsia="Arial" w:hAnsi="Arial"/>
          <w:i/>
          <w:iCs/>
          <w:color w:val="595959"/>
          <w:sz w:val="18"/>
          <w:szCs w:val="18"/>
        </w:rPr>
        <w:t xml:space="preserve"> Note: Directly responsive to the nominating/governance-committee dimension.</w:t>
      </w:r>
    </w:p>
    <w:p>
      <w:pPr>
        <w:keepNext/>
        <w:spacing w:after="20" w:before="120"/>
      </w:pPr>
      <w:r>
        <w:rPr>
          <w:rFonts w:ascii="Arial" w:cs="Arial" w:eastAsia="Arial" w:hAnsi="Arial"/>
          <w:b/>
          <w:bCs/>
          <w:color w:val="1F3864"/>
          <w:sz w:val="21"/>
          <w:szCs w:val="21"/>
        </w:rPr>
        <w:t xml:space="preserve">BCG-09  —  Full board; independent chair / lead director</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determines its leadership structure; the chair should promote candid dialogue and independent deliberation; where the CEO and chair are the same person, the board may appoint an independent lead director with a defined role.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The Director's Book (2020), Board Leadership (CRG); Director's Book Board Structure.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Independent-director leadership distinction (independent chair or lead director).</w:t>
      </w:r>
      <w:r>
        <w:rPr>
          <w:rFonts w:ascii="Arial" w:cs="Arial" w:eastAsia="Arial" w:hAnsi="Arial"/>
          <w:i/>
          <w:iCs/>
          <w:color w:val="595959"/>
          <w:sz w:val="18"/>
          <w:szCs w:val="18"/>
        </w:rPr>
        <w:t xml:space="preserve"> Note: Parallels SR 21-3 lead-independent-director expectation.</w:t>
      </w:r>
    </w:p>
    <w:p>
      <w:pPr>
        <w:keepNext/>
        <w:spacing w:after="20" w:before="120"/>
      </w:pPr>
      <w:r>
        <w:rPr>
          <w:rFonts w:ascii="Arial" w:cs="Arial" w:eastAsia="Arial" w:hAnsi="Arial"/>
          <w:b/>
          <w:bCs/>
          <w:color w:val="1F3864"/>
          <w:sz w:val="21"/>
          <w:szCs w:val="21"/>
        </w:rPr>
        <w:t xml:space="preserve">BCG-10  —  Full board or nominating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(or nominating committee) establishes a process to identify, assess, and select director candidates considering knowledge, skills, experience, conflicts, time commitment, integrity, and background checks; inside directors should not exert undue influence over board-member selection.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The Director's Book (2020), Director Nomination and Selection.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Inside directors should not unduly influence selection.</w:t>
      </w:r>
    </w:p>
    <w:p>
      <w:pPr>
        <w:keepNext/>
        <w:spacing w:after="20" w:before="120"/>
      </w:pPr>
      <w:r>
        <w:rPr>
          <w:rFonts w:ascii="Arial" w:cs="Arial" w:eastAsia="Arial" w:hAnsi="Arial"/>
          <w:b/>
          <w:bCs/>
          <w:color w:val="1F3864"/>
          <w:sz w:val="21"/>
          <w:szCs w:val="21"/>
        </w:rPr>
        <w:t xml:space="preserve">BCG-11  —  Board or designated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or designated committee sets and periodically reevaluates director compensation; compensation should attract qualified directors but not be excessive or cause material financial loss.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Director Compensation. </w:t>
      </w:r>
      <w:r>
        <w:rPr>
          <w:rFonts w:ascii="Arial" w:cs="Arial" w:eastAsia="Arial" w:hAnsi="Arial"/>
          <w:i/>
          <w:iCs/>
          <w:color w:val="595959"/>
          <w:sz w:val="18"/>
          <w:szCs w:val="18"/>
        </w:rPr>
        <w:t xml:space="preserve">Agency: OCC.</w:t>
      </w:r>
      <w:r>
        <w:rPr>
          <w:rFonts w:ascii="Arial" w:cs="Arial" w:eastAsia="Arial" w:hAnsi="Arial"/>
          <w:i/>
          <w:iCs/>
          <w:color w:val="595959"/>
          <w:sz w:val="18"/>
          <w:szCs w:val="18"/>
        </w:rPr>
        <w:t xml:space="preserve"> Note: Overlaps safety-and-soundness compensation standards.</w:t>
      </w:r>
    </w:p>
    <w:p>
      <w:pPr>
        <w:keepNext/>
        <w:spacing w:after="20" w:before="120"/>
      </w:pPr>
      <w:r>
        <w:rPr>
          <w:rFonts w:ascii="Arial" w:cs="Arial" w:eastAsia="Arial" w:hAnsi="Arial"/>
          <w:b/>
          <w:bCs/>
          <w:color w:val="1F3864"/>
          <w:sz w:val="21"/>
          <w:szCs w:val="21"/>
        </w:rPr>
        <w:t xml:space="preserve">BCG-12  —  Full board and committees</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Minutes should document attendance, votes and abstentions, materials reviewed, material agenda items, actions and follow-up, evidence of credible challenge, and that decisions were made in the bank's best interest.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Board and Committee Minutes. </w:t>
      </w:r>
      <w:r>
        <w:rPr>
          <w:rFonts w:ascii="Arial" w:cs="Arial" w:eastAsia="Arial" w:hAnsi="Arial"/>
          <w:i/>
          <w:iCs/>
          <w:color w:val="595959"/>
          <w:sz w:val="18"/>
          <w:szCs w:val="18"/>
        </w:rPr>
        <w:t xml:space="preserve">Agency: OCC.</w:t>
      </w:r>
      <w:r>
        <w:rPr>
          <w:rFonts w:ascii="Arial" w:cs="Arial" w:eastAsia="Arial" w:hAnsi="Arial"/>
          <w:i/>
          <w:iCs/>
          <w:color w:val="595959"/>
          <w:sz w:val="18"/>
          <w:szCs w:val="18"/>
        </w:rPr>
        <w:t xml:space="preserve"> Note: Supports examiner review of director engagement.</w:t>
      </w:r>
    </w:p>
    <w:p>
      <w:pPr>
        <w:keepNext/>
        <w:spacing w:after="20" w:before="120"/>
      </w:pPr>
      <w:r>
        <w:rPr>
          <w:rFonts w:ascii="Arial" w:cs="Arial" w:eastAsia="Arial" w:hAnsi="Arial"/>
          <w:b/>
          <w:bCs/>
          <w:color w:val="1F3864"/>
          <w:sz w:val="21"/>
          <w:szCs w:val="21"/>
        </w:rPr>
        <w:t xml:space="preserve">BCG-13  —  Directors; full board and committees</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Directors should have access to employees, especially senior management, to avoid over-filtered information; the board and committees may retain independent outside advisors (e.g., for risk, accounting, strategy, or compensation) while managing conflicts and retaining fiduciary responsibility.</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Access to Senior Management; Outside Advisors.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Individual-director access expectation.</w:t>
      </w:r>
    </w:p>
    <w:p>
      <w:pPr>
        <w:keepNext/>
        <w:spacing w:after="20" w:before="120"/>
      </w:pPr>
      <w:r>
        <w:rPr>
          <w:rFonts w:ascii="Arial" w:cs="Arial" w:eastAsia="Arial" w:hAnsi="Arial"/>
          <w:b/>
          <w:bCs/>
          <w:color w:val="1F3864"/>
          <w:sz w:val="21"/>
          <w:szCs w:val="21"/>
        </w:rPr>
        <w:t xml:space="preserve">BCG-14  —  Audit committee; full board (independence determination)</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For institutions over $3 billion, the audit committee should include members with banking or financial-management expertise, have access to outside counsel, and exclude large customers; the board should annually determine each audit-committee member's independence (considering advisory relationships, large-customer status, recent employment/executive ties, interlocking compensation-committee ties, payments, and audit-firm ties).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Internal and External Audits, Appendix G, Audit committee composition; 12 CFR part 363 worksheet.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Detailed outside/independent-director screen for audit-committee membership.</w:t>
      </w:r>
      <w:r>
        <w:rPr>
          <w:rFonts w:ascii="Arial" w:cs="Arial" w:eastAsia="Arial" w:hAnsi="Arial"/>
          <w:i/>
          <w:iCs/>
          <w:color w:val="595959"/>
          <w:sz w:val="18"/>
          <w:szCs w:val="18"/>
        </w:rPr>
        <w:t xml:space="preserve"> Note: Implements FDICIA/12 CFR part 363 audit-committee standards.</w:t>
      </w:r>
    </w:p>
    <w:p>
      <w:pPr>
        <w:pStyle w:val="Heading2"/>
      </w:pPr>
      <w:r>
        <w:t xml:space="preserve">3. Capital planning &amp; stress testing</w:t>
      </w:r>
    </w:p>
    <w:p>
      <w:pPr>
        <w:keepNext/>
        <w:spacing w:after="20" w:before="120"/>
      </w:pPr>
      <w:r>
        <w:rPr>
          <w:rFonts w:ascii="Arial" w:cs="Arial" w:eastAsia="Arial" w:hAnsi="Arial"/>
          <w:b/>
          <w:bCs/>
          <w:color w:val="1F3864"/>
          <w:sz w:val="21"/>
          <w:szCs w:val="21"/>
        </w:rPr>
        <w:t xml:space="preserve">CAP-01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is ultimately responsible and accountable for the firm's capital-related decisions and for capital planning; capital planning must be consistent with the strategy and risk appetite set by the board.</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Federal Reserve Supervisory Assessment of Capital Planning and Positions for Firms Subject to Category I Standards (Dec. 18, 2015; revised Jan. 15, 2021), Attachment, sec. III.A.1 (Board of Directors), p. 3.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2021 revision retitled the letter to apply expressly to Category I standards (= U.S. GSIBs).</w:t>
      </w:r>
    </w:p>
    <w:p>
      <w:pPr>
        <w:keepNext/>
        <w:spacing w:after="20" w:before="120"/>
      </w:pPr>
      <w:r>
        <w:rPr>
          <w:rFonts w:ascii="Arial" w:cs="Arial" w:eastAsia="Arial" w:hAnsi="Arial"/>
          <w:b/>
          <w:bCs/>
          <w:color w:val="1F3864"/>
          <w:sz w:val="21"/>
          <w:szCs w:val="21"/>
        </w:rPr>
        <w:t xml:space="preserve">CAP-02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must annually review and approve the firm's capital plan.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 III.A.1, p. 3, fn. 8 (cites 12 CFR 225.8(e)(1)(iii)).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Plan-approval is non-delegable under 225.8(e); the capital policy may be delegated to a committee (see CAP-05).</w:t>
      </w:r>
    </w:p>
    <w:p>
      <w:pPr>
        <w:keepNext/>
        <w:spacing w:after="20" w:before="120"/>
      </w:pPr>
      <w:r>
        <w:rPr>
          <w:rFonts w:ascii="Arial" w:cs="Arial" w:eastAsia="Arial" w:hAnsi="Arial"/>
          <w:b/>
          <w:bCs/>
          <w:color w:val="1F3864"/>
          <w:sz w:val="21"/>
          <w:szCs w:val="21"/>
        </w:rPr>
        <w:t xml:space="preserve">CAP-03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direct senior management to provide a briefing on capital adequacy at least quarterly (more often as warranted), stating whether capital levels and planned distributions remain appropriate and highlighting problem areas identified by management, internal audit, or supervisors.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 III.A.1, pp. 3-4; sec. III.A 'Differences in Expectations', p. 5.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For Category I firms senior management must review the capital-planning process quarterly (vs. semi-annually for Cat II/III).</w:t>
      </w:r>
    </w:p>
    <w:p>
      <w:pPr>
        <w:keepNext/>
        <w:spacing w:after="20" w:before="120"/>
      </w:pPr>
      <w:r>
        <w:rPr>
          <w:rFonts w:ascii="Arial" w:cs="Arial" w:eastAsia="Arial" w:hAnsi="Arial"/>
          <w:b/>
          <w:bCs/>
          <w:color w:val="1F3864"/>
          <w:sz w:val="21"/>
          <w:szCs w:val="21"/>
        </w:rPr>
        <w:t xml:space="preserve">CAP-04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hold senior management accountable for providing sufficient information on material risks and exposures to inform decisions on capital adequacy and capital actions (including distributions), and should understand the major drivers of projections under baseline and stress scenarios.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 III.A.1, p. 4.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CAP-05  —  Full board (capital policy may be delegated to a designated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approves capital-planning policies and reviews them annually, and approves capital planning activities and strategies; the capital policy must be approved by the board or a designated committee of the board and reevaluated at least annually.</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 III.A.1, p. 4; sec. III.D (Capital Policy), p. 11, fn. 18 (cites 225.8(e)(1)(iii)).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Clearest committee-delegation distinction in the capital letter.</w:t>
      </w:r>
    </w:p>
    <w:p>
      <w:pPr>
        <w:keepNext/>
        <w:spacing w:after="20" w:before="120"/>
      </w:pPr>
      <w:r>
        <w:rPr>
          <w:rFonts w:ascii="Arial" w:cs="Arial" w:eastAsia="Arial" w:hAnsi="Arial"/>
          <w:b/>
          <w:bCs/>
          <w:color w:val="1F3864"/>
          <w:sz w:val="21"/>
          <w:szCs w:val="21"/>
        </w:rPr>
        <w:t xml:space="preserve">CAP-06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incorporate uncertainties in projections and limitations in the capital-planning process into its decisions, and review and approve mitigating steps to address process weaknesses; independent-review weaknesses and remediation plans should be reported to the board in a timely manner.</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secs. III.A.1 and III.A.2, p. 4.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CAP-07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maintain an accurate record of its meetings pertaining to the firm's capital-planning process.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 III.A.1, p. 4.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CAP-08  —  Full board / designated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board-owned capital policy should incorporate actionable protocols (governance and escalation) in the event a post-stress capital goal, real-time targeted capital level, or early-warning metric is breached, including roles for analysis, review, and capital-distribution decisions.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 III.D, p. 12.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CAP-09  —  Full board or designated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or a designated committee must, at least annually and before submission, review the robustness of the capital-adequacy assessment process, ensure deficiencies are remedied, and approve the capital plan (which must contain a board-approved capital policy).</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Capital plan rule, 12 CFR 225.8 (Reg Y); parallel SLHC rule 12 CFR 238 subpart S, 12 CFR 225.8(e)(1)(iii); 225.8(d).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Rule provision; cited because the supervisory expectation (SR 15-18) is inseparable from it. SCB calculation frozen until 2027 (Feb. 4, 2026) affects the output, not the board duty.</w:t>
      </w:r>
    </w:p>
    <w:p>
      <w:pPr>
        <w:keepNext/>
        <w:spacing w:after="20" w:before="120"/>
      </w:pPr>
      <w:r>
        <w:rPr>
          <w:rFonts w:ascii="Arial" w:cs="Arial" w:eastAsia="Arial" w:hAnsi="Arial"/>
          <w:b/>
          <w:bCs/>
          <w:color w:val="1F3864"/>
          <w:sz w:val="21"/>
          <w:szCs w:val="21"/>
        </w:rPr>
        <w:t xml:space="preserve">CAP-10  —  Senior management (CFO) — reported to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No board-of-directors attestation is required on the FR Y-14A; the FR Y-14A attestation is signed by the CFO (or equivalent senior officer). The board-level instrument is the 225.8(e)/SR 15-18 capital-plan approval. The SCB rule imposes no separate board attestation beyond plan approval.</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CCAR / FR Y-14A capital-plan submission instructions; Stress Capital Buffer framework (12 CFR 217.11 / 225.8), FR Y-14A attestation requirement.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Frequently misstated. Oct. 2025 FR Y-14 documentation-reduction proposal does not remove the CFO attestation or board approval.</w:t>
      </w:r>
    </w:p>
    <w:p>
      <w:pPr>
        <w:keepNext/>
        <w:spacing w:after="20" w:before="120"/>
      </w:pPr>
      <w:r>
        <w:rPr>
          <w:rFonts w:ascii="Arial" w:cs="Arial" w:eastAsia="Arial" w:hAnsi="Arial"/>
          <w:b/>
          <w:bCs/>
          <w:color w:val="1F3864"/>
          <w:sz w:val="21"/>
          <w:szCs w:val="21"/>
        </w:rPr>
        <w:t xml:space="preserve">CAP-11  —  n/a (superseded for target firms)</w:t>
      </w:r>
      <w:r>
        <w:rPr>
          <w:rFonts w:ascii="Arial" w:cs="Arial" w:eastAsia="Arial" w:hAnsi="Arial"/>
          <w:b/>
          <w:bCs/>
          <w:color w:val="C00000"/>
          <w:sz w:val="19"/>
          <w:szCs w:val="19"/>
        </w:rPr>
        <w:t xml:space="preserve">  [SUPERSEDED FOR CATEGORY I GSIBS]</w:t>
      </w:r>
    </w:p>
    <w:p>
      <w:pPr>
        <w:spacing w:after="30"/>
      </w:pPr>
      <w:r>
        <w:rPr>
          <w:rFonts w:ascii="Arial" w:cs="Arial" w:eastAsia="Arial" w:hAnsi="Arial"/>
          <w:sz w:val="21"/>
          <w:szCs w:val="21"/>
        </w:rPr>
        <w:t xml:space="preserve">SUPERSEDED for the GSIBs: SR 09-4's board duties (comprehensive dividend policy; board consideration of capital adequacy before distributions) are superseded with respect to firms subject to SR 15-18. For the GSIBs, the operative dividend/repurchase board expectations live in SR 15-18 sec. III.D and 12 CFR 225.8.</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09-4, Applying Supervisory Guidance and Regulations on the Payment of Dividends, Stock Redemptions, and Stock Repurchases at Bank Holding Companies (Feb. 24, 2009), SR 15-18 fn. 5 (supersession).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Do not cite SR 09-4 as a live GSIB board expectation. Remains active only for smaller BHCs outside SR 15-18/15-19.</w:t>
      </w:r>
    </w:p>
    <w:p>
      <w:pPr>
        <w:keepNext/>
        <w:spacing w:after="20" w:before="120"/>
      </w:pPr>
      <w:r>
        <w:rPr>
          <w:rFonts w:ascii="Arial" w:cs="Arial" w:eastAsia="Arial" w:hAnsi="Arial"/>
          <w:b/>
          <w:bCs/>
          <w:color w:val="1F3864"/>
          <w:sz w:val="21"/>
          <w:szCs w:val="21"/>
        </w:rPr>
        <w:t xml:space="preserve">STR-01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and senior management establish a comprehensive, integrated, and effective stress-testing framework that fits into the broader risk management of the organization; the board is ultimately responsible for ensuring the framework is effective, while senior management implements it.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12-7, Supervisory Guidance on Stress Testing for Banking Organizations with More Than $10 Billion in Total Consolidated Assets (May 14, 2012), Attachment, Principle/Governance, p. (local ll. 800-806).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Applies to organizations &gt;$10B; for the GSIBs much CCAR/DFAST governance now runs through SR 15-18, but SR 12-7 states the underlying board framework expectation.</w:t>
      </w:r>
    </w:p>
    <w:p>
      <w:pPr>
        <w:keepNext/>
        <w:spacing w:after="20" w:before="120"/>
      </w:pPr>
      <w:r>
        <w:rPr>
          <w:rFonts w:ascii="Arial" w:cs="Arial" w:eastAsia="Arial" w:hAnsi="Arial"/>
          <w:b/>
          <w:bCs/>
          <w:color w:val="1F3864"/>
          <w:sz w:val="21"/>
          <w:szCs w:val="21"/>
        </w:rPr>
        <w:t xml:space="preserve">STR-02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approves, and annually reviews, written stress-testing policies governing purpose, rigor, roles, controls over external resources, frequency, use of results, and remedial-action triggers.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12-7 (May 14, 2012), Attachment, p. (local ll. 822-838).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STR-03  —  Full board; relevant committees</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Senior management, directly and through relevant committees, regularly reports stress-testing developments, scenarios, results, and policy compliance to the board; board members actively evaluate and discuss the information and direct changes where appropriate.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12-7 (May 14, 2012), Attachment, p. (local ll. 813-822).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STR-04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Stress-test results should facilitate board decision-making and inform alignment of the risk profile with risk appetite, operating and strategic decisions, capital and liquidity adequacy, and capital and contingency funding plans.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12-7 (May 14, 2012), Attachment, p. (local ll. 860-872).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Links stress testing to capital and liquidity governance.</w:t>
      </w:r>
    </w:p>
    <w:p>
      <w:pPr>
        <w:pStyle w:val="Heading2"/>
      </w:pPr>
      <w:r>
        <w:t xml:space="preserve">4. Liquidity risk management</w:t>
      </w:r>
    </w:p>
    <w:p>
      <w:pPr>
        <w:keepNext/>
        <w:spacing w:after="20" w:before="120"/>
      </w:pPr>
      <w:r>
        <w:rPr>
          <w:rFonts w:ascii="Arial" w:cs="Arial" w:eastAsia="Arial" w:hAnsi="Arial"/>
          <w:b/>
          <w:bCs/>
          <w:color w:val="1F3864"/>
          <w:sz w:val="21"/>
          <w:szCs w:val="21"/>
        </w:rPr>
        <w:t xml:space="preserve">LIQ-01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must approve the acceptable level of liquidity risk the firm may assume (liquidity risk tolerance) at least annually, accounting for capital structure, risk profile, complexity, activities, and size.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Enhanced Prudential Standards, 12 CFR 252.34 (Liquidity risk-management requirements), 12 CFR 252.34(a)(1)(i).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This specific approval is assigned to the board, not the risk committee. Rule provision underlying SR 10-6 supervisory expectations.</w:t>
      </w:r>
    </w:p>
    <w:p>
      <w:pPr>
        <w:keepNext/>
        <w:spacing w:after="20" w:before="120"/>
      </w:pPr>
      <w:r>
        <w:rPr>
          <w:rFonts w:ascii="Arial" w:cs="Arial" w:eastAsia="Arial" w:hAnsi="Arial"/>
          <w:b/>
          <w:bCs/>
          <w:color w:val="1F3864"/>
          <w:sz w:val="21"/>
          <w:szCs w:val="21"/>
        </w:rPr>
        <w:t xml:space="preserve">LIQ-02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must receive and review at least semi-annually information from senior management to determine whether the firm is operating in accordance with its established liquidity risk tolerance.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252.34, 12 CFR 252.34(a)(1)(ii).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LIQ-03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must approve and periodically review the liquidity risk-management strategies, policies, and procedures established by senior management.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252.34, 12 CFR 252.34(a)(2), (c)(1)(i).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LIQ-04  —  Risk committee (or board subcommittee)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risk committee (or a designated subcommittee composed of board members) must approve the contingency funding plan at least annually and approve any material revisions prior to implementation.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252.34, 12 CFR 252.34(b).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The most committee-specific liquidity expectation.</w:t>
      </w:r>
    </w:p>
    <w:p>
      <w:pPr>
        <w:keepNext/>
        <w:spacing w:after="20" w:before="120"/>
      </w:pPr>
      <w:r>
        <w:rPr>
          <w:rFonts w:ascii="Arial" w:cs="Arial" w:eastAsia="Arial" w:hAnsi="Arial"/>
          <w:b/>
          <w:bCs/>
          <w:color w:val="1F3864"/>
          <w:sz w:val="21"/>
          <w:szCs w:val="21"/>
        </w:rPr>
        <w:t xml:space="preserve">LIQ-05  —  Full board or Risk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Senior management must report to the board or the risk committee regarding the firm's liquidity risk profile and liquidity risk tolerance at least quarterly (more often if warranted).</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252.34, 12 CFR 252.34(c)(2).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LIQ-06  —  Full board or Risk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independent review function (independent of funding management) must report material liquidity risk-management issues to the board or the risk committee in writing for corrective action.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252.34, 12 CFR 252.34(d)(2)(iii). </w:t>
      </w:r>
      <w:r>
        <w:rPr>
          <w:rFonts w:ascii="Arial" w:cs="Arial" w:eastAsia="Arial" w:hAnsi="Arial"/>
          <w:i/>
          <w:iCs/>
          <w:color w:val="595959"/>
          <w:sz w:val="18"/>
          <w:szCs w:val="18"/>
        </w:rPr>
        <w:t xml:space="preserve">Agency: Federal Reserve.</w:t>
      </w:r>
      <w:r>
        <w:rPr>
          <w:rFonts w:ascii="Arial" w:cs="Arial" w:eastAsia="Arial" w:hAnsi="Arial"/>
          <w:i/>
          <w:iCs/>
          <w:color w:val="7030A0"/>
          <w:sz w:val="18"/>
          <w:szCs w:val="18"/>
        </w:rPr>
        <w:t xml:space="preserve"> Director distinction: Functional independence of the review unit (not director independence).</w:t>
      </w:r>
    </w:p>
    <w:p>
      <w:pPr>
        <w:keepNext/>
        <w:spacing w:after="20" w:before="120"/>
      </w:pPr>
      <w:r>
        <w:rPr>
          <w:rFonts w:ascii="Arial" w:cs="Arial" w:eastAsia="Arial" w:hAnsi="Arial"/>
          <w:b/>
          <w:bCs/>
          <w:color w:val="1F3864"/>
          <w:sz w:val="21"/>
          <w:szCs w:val="21"/>
        </w:rPr>
        <w:t xml:space="preserve">LIQ-07  —  Risk committee (reports to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Firm must maintain a risk committee that approves and periodically reviews global risk-management policies and oversees the global risk-management framework; the risk committee must report directly to the board, receive and review reports from the CRO at least quarterly, meet at least quarterly, and fully document proceedings. For a Category I GSIB the risk committee must include at least one independent director and a member with risk-management experience.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252.33 (Risk-management and risk committee requirements), 12 CFR 252.33. </w:t>
      </w:r>
      <w:r>
        <w:rPr>
          <w:rFonts w:ascii="Arial" w:cs="Arial" w:eastAsia="Arial" w:hAnsi="Arial"/>
          <w:i/>
          <w:iCs/>
          <w:color w:val="595959"/>
          <w:sz w:val="18"/>
          <w:szCs w:val="18"/>
        </w:rPr>
        <w:t xml:space="preserve">Agency: Federal Reserve.</w:t>
      </w:r>
      <w:r>
        <w:rPr>
          <w:rFonts w:ascii="Arial" w:cs="Arial" w:eastAsia="Arial" w:hAnsi="Arial"/>
          <w:i/>
          <w:iCs/>
          <w:color w:val="7030A0"/>
          <w:sz w:val="18"/>
          <w:szCs w:val="18"/>
        </w:rPr>
        <w:t xml:space="preserve"> Director distinction: Risk committee must include an independent director with risk-management experience (clearest director-independence requirement in the liquidity/EPS framework).</w:t>
      </w:r>
    </w:p>
    <w:p>
      <w:pPr>
        <w:keepNext/>
        <w:spacing w:after="20" w:before="120"/>
      </w:pPr>
      <w:r>
        <w:rPr>
          <w:rFonts w:ascii="Arial" w:cs="Arial" w:eastAsia="Arial" w:hAnsi="Arial"/>
          <w:b/>
          <w:bCs/>
          <w:color w:val="1F3864"/>
          <w:sz w:val="21"/>
          <w:szCs w:val="21"/>
        </w:rPr>
        <w:t xml:space="preserve">LIQ-08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is ultimately responsible for the liquidity risk assumed by the institution and should ensure the liquidity risk tolerance is established and communicated so that all levels of management understand the trade-offs between liquidity risk and short-term profits.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10-6, Interagency Policy Statement on Funding and Liquidity Risk Management (Mar. 17, 2010; addendum Aug. 1, 2023), Attachment, Corporate Governance, p. 3. </w:t>
      </w:r>
      <w:r>
        <w:rPr>
          <w:rFonts w:ascii="Arial" w:cs="Arial" w:eastAsia="Arial" w:hAnsi="Arial"/>
          <w:i/>
          <w:iCs/>
          <w:color w:val="595959"/>
          <w:sz w:val="18"/>
          <w:szCs w:val="18"/>
        </w:rPr>
        <w:t xml:space="preserve">Agency: Interagency (FRB/OCC/FDIC).</w:t>
      </w:r>
    </w:p>
    <w:p>
      <w:pPr>
        <w:keepNext/>
        <w:spacing w:after="20" w:before="120"/>
      </w:pPr>
      <w:r>
        <w:rPr>
          <w:rFonts w:ascii="Arial" w:cs="Arial" w:eastAsia="Arial" w:hAnsi="Arial"/>
          <w:b/>
          <w:bCs/>
          <w:color w:val="1F3864"/>
          <w:sz w:val="21"/>
          <w:szCs w:val="21"/>
        </w:rPr>
        <w:t xml:space="preserve">LIQ-09  —  Full board or delegated board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or its delegated committee of board members should oversee the establishment and approval of liquidity-management strategies, policies, and procedures, and review them at least annually.</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10-6 (rev. addendum Aug. 1, 2023), Attachment, p. 3. </w:t>
      </w:r>
      <w:r>
        <w:rPr>
          <w:rFonts w:ascii="Arial" w:cs="Arial" w:eastAsia="Arial" w:hAnsi="Arial"/>
          <w:i/>
          <w:iCs/>
          <w:color w:val="595959"/>
          <w:sz w:val="18"/>
          <w:szCs w:val="18"/>
        </w:rPr>
        <w:t xml:space="preserve">Agency: Interagency (FRB/OCC/FDIC).</w:t>
      </w:r>
    </w:p>
    <w:p>
      <w:pPr>
        <w:keepNext/>
        <w:spacing w:after="20" w:before="120"/>
      </w:pPr>
      <w:r>
        <w:rPr>
          <w:rFonts w:ascii="Arial" w:cs="Arial" w:eastAsia="Arial" w:hAnsi="Arial"/>
          <w:b/>
          <w:bCs/>
          <w:color w:val="1F3864"/>
          <w:sz w:val="21"/>
          <w:szCs w:val="21"/>
        </w:rPr>
        <w:t xml:space="preserve">LIQ-10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ensure it: understands the nature of the firm's liquidity risks and periodically reviews information to maintain that understanding; establishes executive-level lines of authority and responsibility; enforces management's duties to identify, measure, monitor, and control liquidity risk; understands and periodically reviews contingency funding plans; and understands the liquidity profiles of important subsidiaries/affiliates.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10-6, Attachment, p. 3. </w:t>
      </w:r>
      <w:r>
        <w:rPr>
          <w:rFonts w:ascii="Arial" w:cs="Arial" w:eastAsia="Arial" w:hAnsi="Arial"/>
          <w:i/>
          <w:iCs/>
          <w:color w:val="595959"/>
          <w:sz w:val="18"/>
          <w:szCs w:val="18"/>
        </w:rPr>
        <w:t xml:space="preserve">Agency: Interagency (FRB/OCC/FDIC).</w:t>
      </w:r>
    </w:p>
    <w:p>
      <w:pPr>
        <w:keepNext/>
        <w:spacing w:after="20" w:before="120"/>
      </w:pPr>
      <w:r>
        <w:rPr>
          <w:rFonts w:ascii="Arial" w:cs="Arial" w:eastAsia="Arial" w:hAnsi="Arial"/>
          <w:b/>
          <w:bCs/>
          <w:color w:val="1F3864"/>
          <w:sz w:val="21"/>
          <w:szCs w:val="21"/>
        </w:rPr>
        <w:t xml:space="preserve">LIQ-11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of directors should receive liquidity risk reports at least quarterly, conveying risk exposure, limit compliance, and consistency of strategies with the board's expressed risk tolerance.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10-6, Attachment, p. 5. </w:t>
      </w:r>
      <w:r>
        <w:rPr>
          <w:rFonts w:ascii="Arial" w:cs="Arial" w:eastAsia="Arial" w:hAnsi="Arial"/>
          <w:i/>
          <w:iCs/>
          <w:color w:val="595959"/>
          <w:sz w:val="18"/>
          <w:szCs w:val="18"/>
        </w:rPr>
        <w:t xml:space="preserve">Agency: Interagency (FRB/OCC/FDIC).</w:t>
      </w:r>
    </w:p>
    <w:p>
      <w:pPr>
        <w:keepNext/>
        <w:spacing w:after="20" w:before="120"/>
      </w:pPr>
      <w:r>
        <w:rPr>
          <w:rFonts w:ascii="Arial" w:cs="Arial" w:eastAsia="Arial" w:hAnsi="Arial"/>
          <w:b/>
          <w:bCs/>
          <w:color w:val="1F3864"/>
          <w:sz w:val="21"/>
          <w:szCs w:val="21"/>
        </w:rPr>
        <w:t xml:space="preserve">LIQ-12  —  Full board; senior management</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Institutions should maintain, regularly test, and update actionable contingency funding plans across a range of stress scenarios, with explicit direction to boards and management; if the discount window is part of the CFP, establish operational readiness (including periodic test transactions).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10-6, 2023 Addendum: Importance of Contingency Funding Plans (issued July 28, 2023; eff. Aug. 1, 2023; OCC Bulletin 2023-25; FDIC FIL-39-2023), Addendum. </w:t>
      </w:r>
      <w:r>
        <w:rPr>
          <w:rFonts w:ascii="Arial" w:cs="Arial" w:eastAsia="Arial" w:hAnsi="Arial"/>
          <w:i/>
          <w:iCs/>
          <w:color w:val="595959"/>
          <w:sz w:val="18"/>
          <w:szCs w:val="18"/>
        </w:rPr>
        <w:t xml:space="preserve">Agency: Interagency (FRB/OCC/FDIC).</w:t>
      </w:r>
      <w:r>
        <w:rPr>
          <w:rFonts w:ascii="Arial" w:cs="Arial" w:eastAsia="Arial" w:hAnsi="Arial"/>
          <w:i/>
          <w:iCs/>
          <w:color w:val="595959"/>
          <w:sz w:val="18"/>
          <w:szCs w:val="18"/>
        </w:rPr>
        <w:t xml:space="preserve"> Note: Post-2023 tightening; runs counter to the 2025-26 capital-side loosening.</w:t>
      </w:r>
    </w:p>
    <w:p>
      <w:pPr>
        <w:keepNext/>
        <w:spacing w:after="20" w:before="120"/>
      </w:pPr>
      <w:r>
        <w:rPr>
          <w:rFonts w:ascii="Arial" w:cs="Arial" w:eastAsia="Arial" w:hAnsi="Arial"/>
          <w:b/>
          <w:bCs/>
          <w:color w:val="1F3864"/>
          <w:sz w:val="21"/>
          <w:szCs w:val="21"/>
        </w:rPr>
        <w:t xml:space="preserve">LIQ-13  —  Risk committee (CFP); Full board (tolerance); senior management (methodology/buffer)</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No separate board-approval duty exists for the ILST methodology or for LCR/NSFR; senior management approves ILST practices/assumptions, reviews results quarterly, and approves the liquidity buffer. Board/risk-committee hooks run through the risk-tolerance approval (LIQ-01) and the CFP approval (LIQ-04).</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Internal Liquidity Stress Testing, 12 CFR 252.35; LCR (12 CFR 249) and NSFR governance, 12 CFR 252.35; 252.34(c)(6).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Clarifies the absence of a discrete board ILST/LCR/NSFR attestation.</w:t>
      </w:r>
    </w:p>
    <w:p>
      <w:pPr>
        <w:keepNext/>
        <w:spacing w:after="20" w:before="120"/>
      </w:pPr>
      <w:r>
        <w:rPr>
          <w:rFonts w:ascii="Arial" w:cs="Arial" w:eastAsia="Arial" w:hAnsi="Arial"/>
          <w:b/>
          <w:bCs/>
          <w:color w:val="1F3864"/>
          <w:sz w:val="21"/>
          <w:szCs w:val="21"/>
        </w:rPr>
        <w:t xml:space="preserve">OLQ-01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and management implement an effective liquidity risk-management process supported by reliable, forward-looking MIS; the board sets strategic direction, assesses liquidity risk appetite and the liquidity needed for strategic initiatives, implements policies for business-as-usual and stressed conditions, defines committee/management roles with segregation of execution and oversight, and establishes key liquidity risk limits.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Liquidity, v1.2, Board responsibilities (local ll. ~1260-1282). </w:t>
      </w:r>
      <w:r>
        <w:rPr>
          <w:rFonts w:ascii="Arial" w:cs="Arial" w:eastAsia="Arial" w:hAnsi="Arial"/>
          <w:i/>
          <w:iCs/>
          <w:color w:val="595959"/>
          <w:sz w:val="18"/>
          <w:szCs w:val="18"/>
        </w:rPr>
        <w:t xml:space="preserve">Agency: OCC.</w:t>
      </w:r>
      <w:r>
        <w:rPr>
          <w:rFonts w:ascii="Arial" w:cs="Arial" w:eastAsia="Arial" w:hAnsi="Arial"/>
          <w:i/>
          <w:iCs/>
          <w:color w:val="595959"/>
          <w:sz w:val="18"/>
          <w:szCs w:val="18"/>
        </w:rPr>
        <w:t xml:space="preserve"> Note: IDI-level handbook complement to SR 10-6 and Reg YY.</w:t>
      </w:r>
    </w:p>
    <w:p>
      <w:pPr>
        <w:keepNext/>
        <w:spacing w:after="20" w:before="120"/>
      </w:pPr>
      <w:r>
        <w:rPr>
          <w:rFonts w:ascii="Arial" w:cs="Arial" w:eastAsia="Arial" w:hAnsi="Arial"/>
          <w:b/>
          <w:bCs/>
          <w:color w:val="1F3864"/>
          <w:sz w:val="21"/>
          <w:szCs w:val="21"/>
        </w:rPr>
        <w:t xml:space="preserve">OLQ-02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regularly receive reports detailing the bank's liquidity position, be immediately informed of material changes in the liquidity risk profile, approve formal liquidity policies and procedures, and (in multibank holding companies) understand the liquidity profile of important affiliates and their impact on the bank.</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Liquidity, v1.2, Board reporting (local ll. ~1273-1295). </w:t>
      </w:r>
      <w:r>
        <w:rPr>
          <w:rFonts w:ascii="Arial" w:cs="Arial" w:eastAsia="Arial" w:hAnsi="Arial"/>
          <w:i/>
          <w:iCs/>
          <w:color w:val="595959"/>
          <w:sz w:val="18"/>
          <w:szCs w:val="18"/>
        </w:rPr>
        <w:t xml:space="preserve">Agency: OCC.</w:t>
      </w:r>
    </w:p>
    <w:p>
      <w:pPr>
        <w:keepNext/>
        <w:spacing w:after="20" w:before="120"/>
      </w:pPr>
      <w:r>
        <w:rPr>
          <w:rFonts w:ascii="Arial" w:cs="Arial" w:eastAsia="Arial" w:hAnsi="Arial"/>
          <w:b/>
          <w:bCs/>
          <w:color w:val="1F3864"/>
          <w:sz w:val="21"/>
          <w:szCs w:val="21"/>
        </w:rPr>
        <w:t xml:space="preserve">OLQ-03  —  Full board; audit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Examiners assess whether reporting and escalation processes inform the board of liquidity risks and whether control/reporting deficiencies are reported to the audit committee with remediation plans.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Liquidity, v1.2, Examination procedures (local ll. ~3442-3455). </w:t>
      </w:r>
      <w:r>
        <w:rPr>
          <w:rFonts w:ascii="Arial" w:cs="Arial" w:eastAsia="Arial" w:hAnsi="Arial"/>
          <w:i/>
          <w:iCs/>
          <w:color w:val="595959"/>
          <w:sz w:val="18"/>
          <w:szCs w:val="18"/>
        </w:rPr>
        <w:t xml:space="preserve">Agency: OCC.</w:t>
      </w:r>
    </w:p>
    <w:p>
      <w:pPr>
        <w:pStyle w:val="Heading2"/>
      </w:pPr>
      <w:r>
        <w:t xml:space="preserve">5. Resolution planning</w:t>
      </w:r>
    </w:p>
    <w:p>
      <w:pPr>
        <w:keepNext/>
        <w:spacing w:after="20" w:before="120"/>
      </w:pPr>
      <w:r>
        <w:rPr>
          <w:rFonts w:ascii="Arial" w:cs="Arial" w:eastAsia="Arial" w:hAnsi="Arial"/>
          <w:b/>
          <w:bCs/>
          <w:color w:val="1F3864"/>
          <w:sz w:val="21"/>
          <w:szCs w:val="21"/>
        </w:rPr>
        <w:t xml:space="preserve">RES-01  —  Full board (parent and material-entity boards)</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Firm should identify governance mechanisms ensuring execution of required board actions at the appropriate time, with pre-action triggers and existing agreements; governance playbooks should detail the board and senior-management actions necessary to facilitate the preferred resolution strategy.</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Final Guidance for the 2019 and Subsequent Resolution Plan Submissions by the Eight Largest, Complex U.S. Banking Organizations (84 FR 1438, Feb. 4, 2019), Section IV (Governance Mechanisms), p. 54. </w:t>
      </w:r>
      <w:r>
        <w:rPr>
          <w:rFonts w:ascii="Arial" w:cs="Arial" w:eastAsia="Arial" w:hAnsi="Arial"/>
          <w:i/>
          <w:iCs/>
          <w:color w:val="595959"/>
          <w:sz w:val="18"/>
          <w:szCs w:val="18"/>
        </w:rPr>
        <w:t xml:space="preserve">Agency: Interagency (FRB &amp; FDIC).</w:t>
      </w:r>
      <w:r>
        <w:rPr>
          <w:rFonts w:ascii="Arial" w:cs="Arial" w:eastAsia="Arial" w:hAnsi="Arial"/>
          <w:i/>
          <w:iCs/>
          <w:color w:val="595959"/>
          <w:sz w:val="18"/>
          <w:szCs w:val="18"/>
        </w:rPr>
        <w:t xml:space="preserve"> Note: Operative Title I sec.165(d) guidance for the eight U.S. GSIBs (biennial filers); governed the July 2025 submissions. The underlying plan-approval duty is in Regulation QQ, 12 CFR part 243 (a legal obligation).</w:t>
      </w:r>
    </w:p>
    <w:p>
      <w:pPr>
        <w:keepNext/>
        <w:spacing w:after="20" w:before="120"/>
      </w:pPr>
      <w:r>
        <w:rPr>
          <w:rFonts w:ascii="Arial" w:cs="Arial" w:eastAsia="Arial" w:hAnsi="Arial"/>
          <w:b/>
          <w:bCs/>
          <w:color w:val="1F3864"/>
          <w:sz w:val="21"/>
          <w:szCs w:val="21"/>
        </w:rPr>
        <w:t xml:space="preserve">RES-02  —  Full board (group-wide boards)</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Governance playbooks should discuss the boards' fiduciary responsibilities and how planned actions are consistent with them, potential conflicts of interest (including interlocking boards of directors), and any employee retention policy; playbooks updated for all entities whose boards would need to act before resolution.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2019 U.S. GSIB Resolution Plan Guidance (84 FR 1438), Section IV, pp. 54-55. </w:t>
      </w:r>
      <w:r>
        <w:rPr>
          <w:rFonts w:ascii="Arial" w:cs="Arial" w:eastAsia="Arial" w:hAnsi="Arial"/>
          <w:i/>
          <w:iCs/>
          <w:color w:val="595959"/>
          <w:sz w:val="18"/>
          <w:szCs w:val="18"/>
        </w:rPr>
        <w:t xml:space="preserve">Agency: Interagency (FRB &amp; FDIC).</w:t>
      </w:r>
      <w:r>
        <w:rPr>
          <w:rFonts w:ascii="Arial" w:cs="Arial" w:eastAsia="Arial" w:hAnsi="Arial"/>
          <w:i/>
          <w:iCs/>
          <w:color w:val="7030A0"/>
          <w:sz w:val="18"/>
          <w:szCs w:val="18"/>
        </w:rPr>
        <w:t xml:space="preserve"> Director distinction: Fiduciary-duty/conflicts framing implicitly engages independent/interlocking-director analysis; no quantitative test.</w:t>
      </w:r>
    </w:p>
    <w:p>
      <w:pPr>
        <w:keepNext/>
        <w:spacing w:after="20" w:before="120"/>
      </w:pPr>
      <w:r>
        <w:rPr>
          <w:rFonts w:ascii="Arial" w:cs="Arial" w:eastAsia="Arial" w:hAnsi="Arial"/>
          <w:b/>
          <w:bCs/>
          <w:color w:val="1F3864"/>
          <w:sz w:val="21"/>
          <w:szCs w:val="21"/>
        </w:rPr>
        <w:t xml:space="preserve">RES-03  —  Full board (filing decision)</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Firm should establish triggers for escalation of information to senior management and the board(s) leading to the decision to file for bankruptcy, constructed so that breach allows time for stakeholder communications and requisite board actions.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2019 U.S. GSIB Resolution Plan Guidance (84 FR 1438), Section IV, p. 55. </w:t>
      </w:r>
      <w:r>
        <w:rPr>
          <w:rFonts w:ascii="Arial" w:cs="Arial" w:eastAsia="Arial" w:hAnsi="Arial"/>
          <w:i/>
          <w:iCs/>
          <w:color w:val="595959"/>
          <w:sz w:val="18"/>
          <w:szCs w:val="18"/>
        </w:rPr>
        <w:t xml:space="preserve">Agency: Interagency (FRB &amp; FDIC).</w:t>
      </w:r>
    </w:p>
    <w:p>
      <w:pPr>
        <w:keepNext/>
        <w:spacing w:after="20" w:before="120"/>
      </w:pPr>
      <w:r>
        <w:rPr>
          <w:rFonts w:ascii="Arial" w:cs="Arial" w:eastAsia="Arial" w:hAnsi="Arial"/>
          <w:b/>
          <w:bCs/>
          <w:color w:val="1F3864"/>
          <w:sz w:val="21"/>
          <w:szCs w:val="21"/>
        </w:rPr>
        <w:t xml:space="preserve">RES-04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Resolution Liquidity Execution Need (RLEN) estimate should be tied to governance mechanisms and incorporated into playbooks to assist the board of directors in taking timely resolution-related actions.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2019 U.S. GSIB Resolution Plan Guidance (84 FR 1438), Liquidity section, p. 53. </w:t>
      </w:r>
      <w:r>
        <w:rPr>
          <w:rFonts w:ascii="Arial" w:cs="Arial" w:eastAsia="Arial" w:hAnsi="Arial"/>
          <w:i/>
          <w:iCs/>
          <w:color w:val="595959"/>
          <w:sz w:val="18"/>
          <w:szCs w:val="18"/>
        </w:rPr>
        <w:t xml:space="preserve">Agency: Interagency (FRB &amp; FDIC).</w:t>
      </w:r>
    </w:p>
    <w:p>
      <w:pPr>
        <w:keepNext/>
        <w:spacing w:after="20" w:before="120"/>
      </w:pPr>
      <w:r>
        <w:rPr>
          <w:rFonts w:ascii="Arial" w:cs="Arial" w:eastAsia="Arial" w:hAnsi="Arial"/>
          <w:b/>
          <w:bCs/>
          <w:color w:val="1F3864"/>
          <w:sz w:val="21"/>
          <w:szCs w:val="21"/>
        </w:rPr>
        <w:t xml:space="preserve">RES-05  —  Full board or appropriate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A covered IDI's resolution submission must include procedures for escalating decision-making to senior management or the board of directors (or an appropriate committee thereof).</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IDI Resolution Plan Rule, 12 CFR 360.10 (89 FR 56620, July 9, 2024; eff. Oct. 1, 2024); implementing FIL-63-2025 (Dec. 31, 2025), 12 CFR 360.10 (content requirements). </w:t>
      </w:r>
      <w:r>
        <w:rPr>
          <w:rFonts w:ascii="Arial" w:cs="Arial" w:eastAsia="Arial" w:hAnsi="Arial"/>
          <w:i/>
          <w:iCs/>
          <w:color w:val="595959"/>
          <w:sz w:val="18"/>
          <w:szCs w:val="18"/>
        </w:rPr>
        <w:t xml:space="preserve">Agency: FDIC.</w:t>
      </w:r>
      <w:r>
        <w:rPr>
          <w:rFonts w:ascii="Arial" w:cs="Arial" w:eastAsia="Arial" w:hAnsi="Arial"/>
          <w:i/>
          <w:iCs/>
          <w:color w:val="595959"/>
          <w:sz w:val="18"/>
          <w:szCs w:val="18"/>
        </w:rPr>
        <w:t xml:space="preserve"> Note: Rule content requirement. April 2025 modified supervisory approach waived speculative/low-value content; FDIC plans to propose rule changes in 2026. U.S. GSIB CIDIs scheduled to file by July 1, 2026 submit only an interim supplement.</w:t>
      </w:r>
    </w:p>
    <w:p>
      <w:pPr>
        <w:pStyle w:val="Heading2"/>
      </w:pPr>
      <w:r>
        <w:t xml:space="preserve">6. Recovery planning</w:t>
      </w:r>
    </w:p>
    <w:p>
      <w:pPr>
        <w:keepNext/>
        <w:spacing w:after="20" w:before="120"/>
      </w:pPr>
      <w:r>
        <w:rPr>
          <w:rFonts w:ascii="Arial" w:cs="Arial" w:eastAsia="Arial" w:hAnsi="Arial"/>
          <w:b/>
          <w:bCs/>
          <w:color w:val="1F3864"/>
          <w:sz w:val="21"/>
          <w:szCs w:val="21"/>
        </w:rPr>
        <w:t xml:space="preserve">REC-01  —  Full board (oversight of capabilities)</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eight U.S. GSIB BHCs must maintain enumerated recovery/resolution-preparedness capabilities (collateral management; payment, clearing, and settlement obligations; legal-entity funding analysis under stress; MIS producing legal-entity data with integrity controls; robust arrangements for shared/outsourced services), under board and senior-management oversight.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14-1, Heightened Supervisory Expectations for Recovery and Resolution Preparedness for Certain Large Bank Holding Companies (Jan. 24, 2014), Attachment, Principles and Practices for Recovery and Resolution Preparedness.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Applies only to the eight U.S. GSIB BHCs (named in fn. 1). Exposed to the 2025-26 deregulatory current; re-verify before reliance.</w:t>
      </w:r>
    </w:p>
    <w:p>
      <w:pPr>
        <w:keepNext/>
        <w:spacing w:after="20" w:before="120"/>
      </w:pPr>
      <w:r>
        <w:rPr>
          <w:rFonts w:ascii="Arial" w:cs="Arial" w:eastAsia="Arial" w:hAnsi="Arial"/>
          <w:b/>
          <w:bCs/>
          <w:color w:val="1F3864"/>
          <w:sz w:val="21"/>
          <w:szCs w:val="21"/>
        </w:rPr>
        <w:t xml:space="preserve">REC-02  —  Full board or designated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is responsible for oversight of the firm's recovery planning process; the board, or a designated committee thereof, should focus this oversight on the firm's ability to identify and implement recovery options and oversee management's remediation of weaknesses.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14-8, Consolidated Recovery Planning for Certain Large Domestic Bank Holding Companies (Sept. 25, 2014; revised Oct. 1, 2025), Section 'Role of the Board of Directors'.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Oct. 1, 2025 revision removed reputational-risk references; board-oversight language unchanged. This is the operative recovery-planning board expectation for the GSIBs at the holding-company level.</w:t>
      </w:r>
    </w:p>
    <w:p>
      <w:pPr>
        <w:keepNext/>
        <w:spacing w:after="20" w:before="120"/>
      </w:pPr>
      <w:r>
        <w:rPr>
          <w:rFonts w:ascii="Arial" w:cs="Arial" w:eastAsia="Arial" w:hAnsi="Arial"/>
          <w:b/>
          <w:bCs/>
          <w:color w:val="1F3864"/>
          <w:sz w:val="21"/>
          <w:szCs w:val="21"/>
        </w:rPr>
        <w:t xml:space="preserve">REC-03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Successful integration should yield timely escalation by management of identified weaknesses and planned responses to the board; the recovery plan's internal-governance element must describe triggers indicating entry into recovery and related escalation procedures, including notification of the board of directors.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14-8 (rev. Oct. 1, 2025), Section 'Supervisory Expectations'; 'Internal Governance' element. </w:t>
      </w:r>
      <w:r>
        <w:rPr>
          <w:rFonts w:ascii="Arial" w:cs="Arial" w:eastAsia="Arial" w:hAnsi="Arial"/>
          <w:i/>
          <w:iCs/>
          <w:color w:val="595959"/>
          <w:sz w:val="18"/>
          <w:szCs w:val="18"/>
        </w:rPr>
        <w:t xml:space="preserve">Agency: Federal Reserve.</w:t>
      </w:r>
    </w:p>
    <w:p>
      <w:pPr>
        <w:keepNext/>
        <w:spacing w:after="20" w:before="120"/>
      </w:pPr>
      <w:r>
        <w:rPr>
          <w:rFonts w:ascii="Arial" w:cs="Arial" w:eastAsia="Arial" w:hAnsi="Arial"/>
          <w:b/>
          <w:bCs/>
          <w:color w:val="1F3864"/>
          <w:sz w:val="21"/>
          <w:szCs w:val="21"/>
        </w:rPr>
        <w:t xml:space="preserve">REC-04  —  n/a (rescinded)</w:t>
      </w:r>
      <w:r>
        <w:rPr>
          <w:rFonts w:ascii="Arial" w:cs="Arial" w:eastAsia="Arial" w:hAnsi="Arial"/>
          <w:b/>
          <w:bCs/>
          <w:color w:val="C00000"/>
          <w:sz w:val="19"/>
          <w:szCs w:val="19"/>
        </w:rPr>
        <w:t xml:space="preserve">  [RESCINDED EFFECTIVE MAY 1, 2026]</w:t>
      </w:r>
    </w:p>
    <w:p>
      <w:pPr>
        <w:spacing w:after="30"/>
      </w:pPr>
      <w:r>
        <w:rPr>
          <w:rFonts w:ascii="Arial" w:cs="Arial" w:eastAsia="Arial" w:hAnsi="Arial"/>
          <w:sz w:val="21"/>
          <w:szCs w:val="21"/>
        </w:rPr>
        <w:t xml:space="preserve">RESCINDED: Board (or an appropriate committee) was to review and approve the recovery plan at least annually and oversee the recovery-planning process. As of May 1, 2026 this IDI-level board duty no longer exists.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Guidelines Establishing Standards for Recovery Planning, 12 CFR part 30, Appendix E (81 FR 66791, 2016; amended 2018, 2024), App. E, Section III. </w:t>
      </w:r>
      <w:r>
        <w:rPr>
          <w:rFonts w:ascii="Arial" w:cs="Arial" w:eastAsia="Arial" w:hAnsi="Arial"/>
          <w:i/>
          <w:iCs/>
          <w:color w:val="595959"/>
          <w:sz w:val="18"/>
          <w:szCs w:val="18"/>
        </w:rPr>
        <w:t xml:space="preserve">Agency: OCC.</w:t>
      </w:r>
      <w:r>
        <w:rPr>
          <w:rFonts w:ascii="Arial" w:cs="Arial" w:eastAsia="Arial" w:hAnsi="Arial"/>
          <w:i/>
          <w:iCs/>
          <w:color w:val="595959"/>
          <w:sz w:val="18"/>
          <w:szCs w:val="18"/>
        </w:rPr>
        <w:t xml:space="preserve"> Note: Rescission final rule 91 FR 16156 (Apr. 1, 2026); OCC Bulletin 2026-10, which also rescinded the Comptroller's Handbook 'Recovery Planning' booklet and OCC Bulletins 2025-35, 2024-31, 2024-16, 2018-47. OCC will no longer examine for recovery-planning documentation. BHC-level recovery planning continues under FRB SR 14-8 (REC-02).</w:t>
      </w:r>
    </w:p>
    <w:p>
      <w:pPr>
        <w:pStyle w:val="Heading2"/>
      </w:pPr>
      <w:r>
        <w:t xml:space="preserve">7. Operational resilience</w:t>
      </w:r>
    </w:p>
    <w:p>
      <w:pPr>
        <w:keepNext/>
        <w:spacing w:after="20" w:before="120"/>
      </w:pPr>
      <w:r>
        <w:rPr>
          <w:rFonts w:ascii="Arial" w:cs="Arial" w:eastAsia="Arial" w:hAnsi="Arial"/>
          <w:b/>
          <w:bCs/>
          <w:color w:val="1F3864"/>
          <w:sz w:val="21"/>
          <w:szCs w:val="21"/>
        </w:rPr>
        <w:t xml:space="preserve">OPR-01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of directors approves and periodically reviews the firm's risk appetite for weathering disruption from operational risks (enterprise-wide and for critical operations and core business lines) and articulates the firm's tolerance for disruption.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Sound Practices to Strengthen Operational Resilience (Oct. 30, 2020); FRB SR 20-24; OCC Bulletin 2020-94, Governance, sec. 1(a). </w:t>
      </w:r>
      <w:r>
        <w:rPr>
          <w:rFonts w:ascii="Arial" w:cs="Arial" w:eastAsia="Arial" w:hAnsi="Arial"/>
          <w:i/>
          <w:iCs/>
          <w:color w:val="595959"/>
          <w:sz w:val="18"/>
          <w:szCs w:val="18"/>
        </w:rPr>
        <w:t xml:space="preserve">Agency: Interagency (FRB/OCC/FDIC).</w:t>
      </w:r>
      <w:r>
        <w:rPr>
          <w:rFonts w:ascii="Arial" w:cs="Arial" w:eastAsia="Arial" w:hAnsi="Arial"/>
          <w:i/>
          <w:iCs/>
          <w:color w:val="595959"/>
          <w:sz w:val="18"/>
          <w:szCs w:val="18"/>
        </w:rPr>
        <w:t xml:space="preserve"> Note: Applies to firms &gt;=$250B (or &gt;=$100B with elevated risk metrics) — all eight GSIBs and large IDIs. Paper states it sets no new regulation; consolidates existing expectations.</w:t>
      </w:r>
    </w:p>
    <w:p>
      <w:pPr>
        <w:keepNext/>
        <w:spacing w:after="20" w:before="120"/>
      </w:pPr>
      <w:r>
        <w:rPr>
          <w:rFonts w:ascii="Arial" w:cs="Arial" w:eastAsia="Arial" w:hAnsi="Arial"/>
          <w:b/>
          <w:bCs/>
          <w:color w:val="1F3864"/>
          <w:sz w:val="21"/>
          <w:szCs w:val="21"/>
        </w:rPr>
        <w:t xml:space="preserve">OPR-02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works with senior management to confirm operational-resilience practices are led and staffed by individuals with relevant expertise, approves appropriate budgets and resources, and promotes a culture of effective risk management.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Sound Practices (SR 20-24 / OCC 2020-94), Governance, sec. 1(b). </w:t>
      </w:r>
      <w:r>
        <w:rPr>
          <w:rFonts w:ascii="Arial" w:cs="Arial" w:eastAsia="Arial" w:hAnsi="Arial"/>
          <w:i/>
          <w:iCs/>
          <w:color w:val="595959"/>
          <w:sz w:val="18"/>
          <w:szCs w:val="18"/>
        </w:rPr>
        <w:t xml:space="preserve">Agency: Interagency (FRB/OCC/FDIC).</w:t>
      </w:r>
    </w:p>
    <w:p>
      <w:pPr>
        <w:keepNext/>
        <w:spacing w:after="20" w:before="120"/>
      </w:pPr>
      <w:r>
        <w:rPr>
          <w:rFonts w:ascii="Arial" w:cs="Arial" w:eastAsia="Arial" w:hAnsi="Arial"/>
          <w:b/>
          <w:bCs/>
          <w:color w:val="1F3864"/>
          <w:sz w:val="21"/>
          <w:szCs w:val="21"/>
        </w:rPr>
        <w:t xml:space="preserve">OPR-03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oversees the firm's management of operational risk across its business-line operations, its independent operational risk-management function, and its independent internal (or external) audit function.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Sound Practices (SR 20-24 / OCC 2020-94), Governance, sec. 1(c). </w:t>
      </w:r>
      <w:r>
        <w:rPr>
          <w:rFonts w:ascii="Arial" w:cs="Arial" w:eastAsia="Arial" w:hAnsi="Arial"/>
          <w:i/>
          <w:iCs/>
          <w:color w:val="595959"/>
          <w:sz w:val="18"/>
          <w:szCs w:val="18"/>
        </w:rPr>
        <w:t xml:space="preserve">Agency: Interagency (FRB/OCC/FDIC).</w:t>
      </w:r>
      <w:r>
        <w:rPr>
          <w:rFonts w:ascii="Arial" w:cs="Arial" w:eastAsia="Arial" w:hAnsi="Arial"/>
          <w:i/>
          <w:iCs/>
          <w:color w:val="7030A0"/>
          <w:sz w:val="18"/>
          <w:szCs w:val="18"/>
        </w:rPr>
        <w:t xml:space="preserve"> Director distinction: References independent ORM and independent audit functions (functional, not director, independence).</w:t>
      </w:r>
    </w:p>
    <w:p>
      <w:pPr>
        <w:keepNext/>
        <w:spacing w:after="20" w:before="120"/>
      </w:pPr>
      <w:r>
        <w:rPr>
          <w:rFonts w:ascii="Arial" w:cs="Arial" w:eastAsia="Arial" w:hAnsi="Arial"/>
          <w:b/>
          <w:bCs/>
          <w:color w:val="1F3864"/>
          <w:sz w:val="21"/>
          <w:szCs w:val="21"/>
        </w:rPr>
        <w:t xml:space="preserve">OPR-04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Firm conducts continuous surveillance and reporting to senior management and the board sufficient for timely decisions to respond to disruption; the board-set risk appetite/tolerance reflects the scope and level of cyber risk the firm is willing to accept.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Sound Practices (SR 20-24 / OCC 2020-94), Sec. 7 and 7(c); Appendix A (cyber). </w:t>
      </w:r>
      <w:r>
        <w:rPr>
          <w:rFonts w:ascii="Arial" w:cs="Arial" w:eastAsia="Arial" w:hAnsi="Arial"/>
          <w:i/>
          <w:iCs/>
          <w:color w:val="595959"/>
          <w:sz w:val="18"/>
          <w:szCs w:val="18"/>
        </w:rPr>
        <w:t xml:space="preserve">Agency: Interagency (FRB/OCC/FDIC).</w:t>
      </w:r>
    </w:p>
    <w:p>
      <w:pPr>
        <w:keepNext/>
        <w:spacing w:after="20" w:before="120"/>
      </w:pPr>
      <w:r>
        <w:rPr>
          <w:rFonts w:ascii="Arial" w:cs="Arial" w:eastAsia="Arial" w:hAnsi="Arial"/>
          <w:b/>
          <w:bCs/>
          <w:color w:val="1F3864"/>
          <w:sz w:val="21"/>
          <w:szCs w:val="21"/>
        </w:rPr>
        <w:t xml:space="preserve">OPR-05  —  Full board (may use a business continuity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and senior management govern business continuity by defining responsibilities and accountability and allocating adequate resources, set the tone at the top, and consider the entity's entire operations including affiliates and third-party providers; the board reviews BCM results and provides credible challenge to management.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IT Examination Handbook, Business Continuity Management booklet (Nov. 14, 2019; OCC Bulletin 2019-57; FDIC FIL-71-2019), Sec. II.A, Board and Senior Management Responsibilities. </w:t>
      </w:r>
      <w:r>
        <w:rPr>
          <w:rFonts w:ascii="Arial" w:cs="Arial" w:eastAsia="Arial" w:hAnsi="Arial"/>
          <w:i/>
          <w:iCs/>
          <w:color w:val="595959"/>
          <w:sz w:val="18"/>
          <w:szCs w:val="18"/>
        </w:rPr>
        <w:t xml:space="preserve">Agency: FFIEC.</w:t>
      </w:r>
      <w:r>
        <w:rPr>
          <w:rFonts w:ascii="Arial" w:cs="Arial" w:eastAsia="Arial" w:hAnsi="Arial"/>
          <w:i/>
          <w:iCs/>
          <w:color w:val="595959"/>
          <w:sz w:val="18"/>
          <w:szCs w:val="18"/>
        </w:rPr>
        <w:t xml:space="preserve"> Note: Cross-referenced by SR 20-24 as the operative BCM source.</w:t>
      </w:r>
    </w:p>
    <w:p>
      <w:pPr>
        <w:pStyle w:val="Heading2"/>
      </w:pPr>
      <w:r>
        <w:t xml:space="preserve">8. Model risk governance</w:t>
      </w:r>
    </w:p>
    <w:p>
      <w:pPr>
        <w:keepNext/>
        <w:spacing w:after="20" w:before="120"/>
      </w:pPr>
      <w:r>
        <w:rPr>
          <w:rFonts w:ascii="Arial" w:cs="Arial" w:eastAsia="Arial" w:hAnsi="Arial"/>
          <w:b/>
          <w:bCs/>
          <w:color w:val="1F3864"/>
          <w:sz w:val="21"/>
          <w:szCs w:val="21"/>
        </w:rPr>
        <w:t xml:space="preserve">MOD-01  —  Not specified (institution's allocation)</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CURRENT STANDARD: model governance is supported by clear policies and effective controls, with delineated roles, responsibilities, and accountability; the guidance does NOT specify the board as the locus of model-risk governance, does not require board approval of MRM policy, and sets no board model-risk-tolerance or board-reporting mandate. Allocation among board/management/committee is left to the institution.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26-2 / OCC Bulletin 2026-13, Revised Guidance on Model Risk Management (Apr. 17, 2026), Sec. VI (Governance and Controls). </w:t>
      </w:r>
      <w:r>
        <w:rPr>
          <w:rFonts w:ascii="Arial" w:cs="Arial" w:eastAsia="Arial" w:hAnsi="Arial"/>
          <w:i/>
          <w:iCs/>
          <w:color w:val="595959"/>
          <w:sz w:val="18"/>
          <w:szCs w:val="18"/>
        </w:rPr>
        <w:t xml:space="preserve">Agency: Interagency (FRB/OCC/FDIC).</w:t>
      </w:r>
      <w:r>
        <w:rPr>
          <w:rFonts w:ascii="Arial" w:cs="Arial" w:eastAsia="Arial" w:hAnsi="Arial"/>
          <w:i/>
          <w:iCs/>
          <w:color w:val="7030A0"/>
          <w:sz w:val="18"/>
          <w:szCs w:val="18"/>
        </w:rPr>
        <w:t xml:space="preserve"> Director distinction: Independence refers to validation/audit functions, not directors.</w:t>
      </w:r>
      <w:r>
        <w:rPr>
          <w:rFonts w:ascii="Arial" w:cs="Arial" w:eastAsia="Arial" w:hAnsi="Arial"/>
          <w:i/>
          <w:iCs/>
          <w:color w:val="595959"/>
          <w:sz w:val="18"/>
          <w:szCs w:val="18"/>
        </w:rPr>
        <w:t xml:space="preserve"> Note: Most relevant to organizations &gt;$30B (covers all GSIBs). Explicitly de-prescriptive: 'does not set forth enforceable standards.' Superseded SR 11-7, SR 21-8, OCC 2011-12, OCC 2021-19, OCC 1997-24, and the OCC MRM Handbook booklet. Generative/agentic AI models carved out; interagency AI/MRM RFI forthcoming.</w:t>
      </w:r>
    </w:p>
    <w:p>
      <w:pPr>
        <w:keepNext/>
        <w:spacing w:after="20" w:before="120"/>
      </w:pPr>
      <w:r>
        <w:rPr>
          <w:rFonts w:ascii="Arial" w:cs="Arial" w:eastAsia="Arial" w:hAnsi="Arial"/>
          <w:b/>
          <w:bCs/>
          <w:color w:val="1F3864"/>
          <w:sz w:val="21"/>
          <w:szCs w:val="21"/>
        </w:rPr>
        <w:t xml:space="preserve">MOD-02  —  Full board (superseded)</w:t>
      </w:r>
      <w:r>
        <w:rPr>
          <w:rFonts w:ascii="Arial" w:cs="Arial" w:eastAsia="Arial" w:hAnsi="Arial"/>
          <w:b/>
          <w:bCs/>
          <w:color w:val="C00000"/>
          <w:sz w:val="19"/>
          <w:szCs w:val="19"/>
        </w:rPr>
        <w:t xml:space="preserve">  [SUPERSEDED APR. 17, 2026]</w:t>
      </w:r>
    </w:p>
    <w:p>
      <w:pPr>
        <w:spacing w:after="30"/>
      </w:pPr>
      <w:r>
        <w:rPr>
          <w:rFonts w:ascii="Arial" w:cs="Arial" w:eastAsia="Arial" w:hAnsi="Arial"/>
          <w:sz w:val="21"/>
          <w:szCs w:val="21"/>
        </w:rPr>
        <w:t xml:space="preserve">SUPERSEDED: Board and senior management established a bank-wide model-risk-management framework and set tone; board ensured the level of model risk was within tolerance and directed changes; board received regular reporting on aggregate and individual model risk and on policy compliance.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11-7 / OCC Bulletin 2011-12 / FDIC FIL-22-2017, Supervisory Guidance on Model Risk Management (Apr. 4, 2011), Governance, Policies, and Controls (Board of Directors and Senior Management). </w:t>
      </w:r>
      <w:r>
        <w:rPr>
          <w:rFonts w:ascii="Arial" w:cs="Arial" w:eastAsia="Arial" w:hAnsi="Arial"/>
          <w:i/>
          <w:iCs/>
          <w:color w:val="595959"/>
          <w:sz w:val="18"/>
          <w:szCs w:val="18"/>
        </w:rPr>
        <w:t xml:space="preserve">Agency: Interagency (FRB/OCC/FDIC).</w:t>
      </w:r>
      <w:r>
        <w:rPr>
          <w:rFonts w:ascii="Arial" w:cs="Arial" w:eastAsia="Arial" w:hAnsi="Arial"/>
          <w:i/>
          <w:iCs/>
          <w:color w:val="595959"/>
          <w:sz w:val="18"/>
          <w:szCs w:val="18"/>
        </w:rPr>
        <w:t xml:space="preserve"> Note: Documented for contrast: these explicit board duties were eliminated by SR 26-2 / OCC 2026-13. Residual board model-risk oversight now flows only indirectly via the OCC Heightened Standards risk-governance framework (GOV-21 et seq.) and firms' own SR 21-3 practices.</w:t>
      </w:r>
    </w:p>
    <w:p>
      <w:pPr>
        <w:pStyle w:val="Heading2"/>
      </w:pPr>
      <w:r>
        <w:t xml:space="preserve">9. Third-party risk management</w:t>
      </w:r>
    </w:p>
    <w:p>
      <w:pPr>
        <w:keepNext/>
        <w:spacing w:after="20" w:before="120"/>
      </w:pPr>
      <w:r>
        <w:rPr>
          <w:rFonts w:ascii="Arial" w:cs="Arial" w:eastAsia="Arial" w:hAnsi="Arial"/>
          <w:b/>
          <w:bCs/>
          <w:color w:val="1F3864"/>
          <w:sz w:val="21"/>
          <w:szCs w:val="21"/>
        </w:rPr>
        <w:t xml:space="preserve">TPR-01  —  Full board (committee may be designated)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has ultimate responsibility for providing oversight of third-party risk management and holding management accountable; provides clear guidance on acceptable risk appetite, approves appropriate policies, and ensures appropriate procedures and practices are established.</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Guidance on Third-Party Relationships: Risk Management (88 FR 37920, June 9, 2023); FRB SR 23-4; OCC Bulletin 2023-17; FDIC FIL-29-2023, Sec. D.1 (Oversight and Accountability), p. 20. </w:t>
      </w:r>
      <w:r>
        <w:rPr>
          <w:rFonts w:ascii="Arial" w:cs="Arial" w:eastAsia="Arial" w:hAnsi="Arial"/>
          <w:i/>
          <w:iCs/>
          <w:color w:val="595959"/>
          <w:sz w:val="18"/>
          <w:szCs w:val="18"/>
        </w:rPr>
        <w:t xml:space="preserve">Agency: Interagency (FRB/OCC/FDIC).</w:t>
      </w:r>
      <w:r>
        <w:rPr>
          <w:rFonts w:ascii="Arial" w:cs="Arial" w:eastAsia="Arial" w:hAnsi="Arial"/>
          <w:i/>
          <w:iCs/>
          <w:color w:val="595959"/>
          <w:sz w:val="18"/>
          <w:szCs w:val="18"/>
        </w:rPr>
        <w:t xml:space="preserve"> Note: Survived the 2025-26 deregulatory wave intact. Rescinded prior OCC 2013-29, SR 13-19/CA 13-21, FDIC FIL-44-2008.</w:t>
      </w:r>
    </w:p>
    <w:p>
      <w:pPr>
        <w:keepNext/>
        <w:spacing w:after="20" w:before="120"/>
      </w:pPr>
      <w:r>
        <w:rPr>
          <w:rFonts w:ascii="Arial" w:cs="Arial" w:eastAsia="Arial" w:hAnsi="Arial"/>
          <w:b/>
          <w:bCs/>
          <w:color w:val="1F3864"/>
          <w:sz w:val="21"/>
          <w:szCs w:val="21"/>
        </w:rPr>
        <w:t xml:space="preserve">TPR-02  —  Full board or designated board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(or a designated board committee) typically considers whether third-party relationships align with strategic goals and risk appetite and comply with law; whether there is appropriate periodic reporting on planning, due diligence, contracting, and ongoing monitoring; and whether management has remedied significant performance deterioration or material issues.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Third-Party Guidance (SR 23-4 / OCC 2023-17 / FIL-29-2023), Sec. D.1, p. 20. </w:t>
      </w:r>
      <w:r>
        <w:rPr>
          <w:rFonts w:ascii="Arial" w:cs="Arial" w:eastAsia="Arial" w:hAnsi="Arial"/>
          <w:i/>
          <w:iCs/>
          <w:color w:val="595959"/>
          <w:sz w:val="18"/>
          <w:szCs w:val="18"/>
        </w:rPr>
        <w:t xml:space="preserve">Agency: Interagency (FRB/OCC/FDIC).</w:t>
      </w:r>
      <w:r>
        <w:rPr>
          <w:rFonts w:ascii="Arial" w:cs="Arial" w:eastAsia="Arial" w:hAnsi="Arial"/>
          <w:i/>
          <w:iCs/>
          <w:color w:val="595959"/>
          <w:sz w:val="18"/>
          <w:szCs w:val="18"/>
        </w:rPr>
        <w:t xml:space="preserve"> Note: Guidance does not specify which committee.</w:t>
      </w:r>
    </w:p>
    <w:p>
      <w:pPr>
        <w:keepNext/>
        <w:spacing w:after="20" w:before="120"/>
      </w:pPr>
      <w:r>
        <w:rPr>
          <w:rFonts w:ascii="Arial" w:cs="Arial" w:eastAsia="Arial" w:hAnsi="Arial"/>
          <w:b/>
          <w:bCs/>
          <w:color w:val="1F3864"/>
          <w:sz w:val="21"/>
          <w:szCs w:val="21"/>
        </w:rPr>
        <w:t xml:space="preserve">TPR-03  —  Full board (delegation permitted)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As part of oversight, the board should be aware of and, as appropriate, may approve or delegate approval of contracts involving higher-risk activities.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Third-Party Guidance (SR 23-4 / OCC 2023-17 / FIL-29-2023), Sec. C.3 (Contract Negotiation), p. 11. </w:t>
      </w:r>
      <w:r>
        <w:rPr>
          <w:rFonts w:ascii="Arial" w:cs="Arial" w:eastAsia="Arial" w:hAnsi="Arial"/>
          <w:i/>
          <w:iCs/>
          <w:color w:val="595959"/>
          <w:sz w:val="18"/>
          <w:szCs w:val="18"/>
        </w:rPr>
        <w:t xml:space="preserve">Agency: Interagency (FRB/OCC/FDIC).</w:t>
      </w:r>
    </w:p>
    <w:p>
      <w:pPr>
        <w:keepNext/>
        <w:spacing w:after="20" w:before="120"/>
      </w:pPr>
      <w:r>
        <w:rPr>
          <w:rFonts w:ascii="Arial" w:cs="Arial" w:eastAsia="Arial" w:hAnsi="Arial"/>
          <w:b/>
          <w:bCs/>
          <w:color w:val="1F3864"/>
          <w:sz w:val="21"/>
          <w:szCs w:val="21"/>
        </w:rPr>
        <w:t xml:space="preserve">TPR-04  —  Full board or designated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When critical activities are involved, plans may be presented to and approved by the board of directors (or a designated board committee).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Third-Party Guidance (SR 23-4 / OCC 2023-17 / FIL-29-2023), Sec. C.1 (Planning), p. 4. </w:t>
      </w:r>
      <w:r>
        <w:rPr>
          <w:rFonts w:ascii="Arial" w:cs="Arial" w:eastAsia="Arial" w:hAnsi="Arial"/>
          <w:i/>
          <w:iCs/>
          <w:color w:val="595959"/>
          <w:sz w:val="18"/>
          <w:szCs w:val="18"/>
        </w:rPr>
        <w:t xml:space="preserve">Agency: Interagency (FRB/OCC/FDIC).</w:t>
      </w:r>
    </w:p>
    <w:p>
      <w:pPr>
        <w:keepNext/>
        <w:spacing w:after="20" w:before="120"/>
      </w:pPr>
      <w:r>
        <w:rPr>
          <w:rFonts w:ascii="Arial" w:cs="Arial" w:eastAsia="Arial" w:hAnsi="Arial"/>
          <w:b/>
          <w:bCs/>
          <w:color w:val="1F3864"/>
          <w:sz w:val="21"/>
          <w:szCs w:val="21"/>
        </w:rPr>
        <w:t xml:space="preserve">TPR-05  —  Full board (escalation recipient)</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Management escalates significant issues to the board and monitors resulting remediation; independent-review issues are escalated to the board as appropriate.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Third-Party Guidance (SR 23-4 / OCC 2023-17 / FIL-29-2023), Secs. D.1 and D.2 (Independent Reviews), pp. 21-22. </w:t>
      </w:r>
      <w:r>
        <w:rPr>
          <w:rFonts w:ascii="Arial" w:cs="Arial" w:eastAsia="Arial" w:hAnsi="Arial"/>
          <w:i/>
          <w:iCs/>
          <w:color w:val="595959"/>
          <w:sz w:val="18"/>
          <w:szCs w:val="18"/>
        </w:rPr>
        <w:t xml:space="preserve">Agency: Interagency (FRB/OCC/FDIC).</w:t>
      </w:r>
    </w:p>
    <w:p>
      <w:pPr>
        <w:keepNext/>
        <w:spacing w:after="20" w:before="120"/>
      </w:pPr>
      <w:r>
        <w:rPr>
          <w:rFonts w:ascii="Arial" w:cs="Arial" w:eastAsia="Arial" w:hAnsi="Arial"/>
          <w:b/>
          <w:bCs/>
          <w:color w:val="1F3864"/>
          <w:sz w:val="21"/>
          <w:szCs w:val="21"/>
        </w:rPr>
        <w:t xml:space="preserve">TPR-06  —  Full board or designated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Documentation and reporting should support board oversight, including reporting on dependency on a single third party for multiple activities or other concentrations.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Guidance on Third-Party Relationships: Risk Management (88 FR 37920, 2023); SR 23-4; OCC 2023-17; FDIC FIL-29-2023, Sec. D (local ll. ~1092-1124). </w:t>
      </w:r>
      <w:r>
        <w:rPr>
          <w:rFonts w:ascii="Arial" w:cs="Arial" w:eastAsia="Arial" w:hAnsi="Arial"/>
          <w:i/>
          <w:iCs/>
          <w:color w:val="595959"/>
          <w:sz w:val="18"/>
          <w:szCs w:val="18"/>
        </w:rPr>
        <w:t xml:space="preserve">Agency: Interagency (FRB/OCC/FDIC).</w:t>
      </w:r>
      <w:r>
        <w:rPr>
          <w:rFonts w:ascii="Arial" w:cs="Arial" w:eastAsia="Arial" w:hAnsi="Arial"/>
          <w:i/>
          <w:iCs/>
          <w:color w:val="595959"/>
          <w:sz w:val="18"/>
          <w:szCs w:val="18"/>
        </w:rPr>
        <w:t xml:space="preserve"> Note: Particularly relevant to GSIB operational resilience and concentration risk.</w:t>
      </w:r>
    </w:p>
    <w:p>
      <w:pPr>
        <w:keepNext/>
        <w:spacing w:after="20" w:before="120"/>
      </w:pPr>
      <w:r>
        <w:rPr>
          <w:rFonts w:ascii="Arial" w:cs="Arial" w:eastAsia="Arial" w:hAnsi="Arial"/>
          <w:b/>
          <w:bCs/>
          <w:color w:val="1F3864"/>
          <w:sz w:val="21"/>
          <w:szCs w:val="21"/>
        </w:rPr>
        <w:t xml:space="preserve">TPR-07  —  Full board; management</w:t>
      </w:r>
      <w:r>
        <w:rPr>
          <w:rFonts w:ascii="Arial" w:cs="Arial" w:eastAsia="Arial" w:hAnsi="Arial"/>
          <w:b/>
          <w:bCs/>
          <w:color w:val="BF8F00"/>
          <w:sz w:val="19"/>
          <w:szCs w:val="19"/>
        </w:rPr>
        <w:t xml:space="preserve">  [ACTIVE ON PAPER; LIGHTLY ENFORCED]</w:t>
      </w:r>
    </w:p>
    <w:p>
      <w:pPr>
        <w:spacing w:after="30"/>
      </w:pPr>
      <w:r>
        <w:rPr>
          <w:rFonts w:ascii="Arial" w:cs="Arial" w:eastAsia="Arial" w:hAnsi="Arial"/>
          <w:sz w:val="21"/>
          <w:szCs w:val="21"/>
        </w:rPr>
        <w:t xml:space="preserve">Board and management should conduct ongoing due diligence and oversight of service providers — including their policies, procedures, internal controls, and training — to ensure compliance with Federal consumer financial laws.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CFPB Supervision and Examination Manual, Compliance Management Review, CMR service-provider oversight (local ll. ~2921-2944). </w:t>
      </w:r>
      <w:r>
        <w:rPr>
          <w:rFonts w:ascii="Arial" w:cs="Arial" w:eastAsia="Arial" w:hAnsi="Arial"/>
          <w:i/>
          <w:iCs/>
          <w:color w:val="595959"/>
          <w:sz w:val="18"/>
          <w:szCs w:val="18"/>
        </w:rPr>
        <w:t xml:space="preserve">Agency: CFPB.</w:t>
      </w:r>
      <w:r>
        <w:rPr>
          <w:rFonts w:ascii="Arial" w:cs="Arial" w:eastAsia="Arial" w:hAnsi="Arial"/>
          <w:i/>
          <w:iCs/>
          <w:color w:val="595959"/>
          <w:sz w:val="18"/>
          <w:szCs w:val="18"/>
        </w:rPr>
        <w:t xml:space="preserve"> Note: Consumer-compliance overlay on interagency third-party guidance.</w:t>
      </w:r>
    </w:p>
    <w:p>
      <w:pPr>
        <w:pStyle w:val="Heading2"/>
      </w:pPr>
      <w:r>
        <w:t xml:space="preserve">10. Incentive compensation</w:t>
      </w:r>
    </w:p>
    <w:p>
      <w:pPr>
        <w:keepNext/>
        <w:spacing w:after="20" w:before="120"/>
      </w:pPr>
      <w:r>
        <w:rPr>
          <w:rFonts w:ascii="Arial" w:cs="Arial" w:eastAsia="Arial" w:hAnsi="Arial"/>
          <w:b/>
          <w:bCs/>
          <w:color w:val="1F3864"/>
          <w:sz w:val="21"/>
          <w:szCs w:val="21"/>
        </w:rPr>
        <w:t xml:space="preserve">INC-01  —  Full board or delegated committee (compensation committee in practice)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of a large banking organization should actively oversee the development and operation of the organization's incentive-compensation policies, systems, and related control processes.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Guidance on Sound Incentive Compensation Policies (75 FR 36395, June 25, 2010); OCC Bulletin 2010-24, Principle 3 (Strong Corporate Governance). </w:t>
      </w:r>
      <w:r>
        <w:rPr>
          <w:rFonts w:ascii="Arial" w:cs="Arial" w:eastAsia="Arial" w:hAnsi="Arial"/>
          <w:i/>
          <w:iCs/>
          <w:color w:val="595959"/>
          <w:sz w:val="18"/>
          <w:szCs w:val="18"/>
        </w:rPr>
        <w:t xml:space="preserve">Agency: Interagency (FRB/OCC/FDIC).</w:t>
      </w:r>
      <w:r>
        <w:rPr>
          <w:rFonts w:ascii="Arial" w:cs="Arial" w:eastAsia="Arial" w:hAnsi="Arial"/>
          <w:i/>
          <w:iCs/>
          <w:color w:val="595959"/>
          <w:sz w:val="18"/>
          <w:szCs w:val="18"/>
        </w:rPr>
        <w:t xml:space="preserve"> Note: CORRECTION: This guidance has no FRB 'SR 10-1' number (SR 10-1 is the Interagency Advisory on Interest Rate Risk). The operative cite is 75 FR 36395 / OCC Bulletin 2010-24.</w:t>
      </w:r>
    </w:p>
    <w:p>
      <w:pPr>
        <w:keepNext/>
        <w:spacing w:after="20" w:before="120"/>
      </w:pPr>
      <w:r>
        <w:rPr>
          <w:rFonts w:ascii="Arial" w:cs="Arial" w:eastAsia="Arial" w:hAnsi="Arial"/>
          <w:b/>
          <w:bCs/>
          <w:color w:val="1F3864"/>
          <w:sz w:val="21"/>
          <w:szCs w:val="21"/>
        </w:rPr>
        <w:t xml:space="preserve">INC-02  —  Full board or Compensation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Boards of directors, or their compensation committees, should regularly review the design and functioning of incentive-compensation practices to ensure consistency with safety and soundness, including identification of 'covered employees' and risk-balancing of their arrangements.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Guidance on Sound Incentive Compensation Policies (75 FR 36395, 2010), Principle 3. </w:t>
      </w:r>
      <w:r>
        <w:rPr>
          <w:rFonts w:ascii="Arial" w:cs="Arial" w:eastAsia="Arial" w:hAnsi="Arial"/>
          <w:i/>
          <w:iCs/>
          <w:color w:val="595959"/>
          <w:sz w:val="18"/>
          <w:szCs w:val="18"/>
        </w:rPr>
        <w:t xml:space="preserve">Agency: Interagency (FRB/OCC/FDIC).</w:t>
      </w:r>
      <w:r>
        <w:rPr>
          <w:rFonts w:ascii="Arial" w:cs="Arial" w:eastAsia="Arial" w:hAnsi="Arial"/>
          <w:i/>
          <w:iCs/>
          <w:color w:val="595959"/>
          <w:sz w:val="18"/>
          <w:szCs w:val="18"/>
        </w:rPr>
        <w:t xml:space="preserve"> Note: The only cluster source that names the compensation committee explicitly.</w:t>
      </w:r>
    </w:p>
    <w:p>
      <w:pPr>
        <w:keepNext/>
        <w:spacing w:after="20" w:before="120"/>
      </w:pPr>
      <w:r>
        <w:rPr>
          <w:rFonts w:ascii="Arial" w:cs="Arial" w:eastAsia="Arial" w:hAnsi="Arial"/>
          <w:b/>
          <w:bCs/>
          <w:color w:val="1F3864"/>
          <w:sz w:val="21"/>
          <w:szCs w:val="21"/>
        </w:rPr>
        <w:t xml:space="preserve">INC-03  —  Full board (and compensation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have, or have access to, a level of expertise and experience in risk-management and compensation practices appropriate to the organization, and should receive appropriate data/analysis including independent risk-management and control-function input.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Guidance on Sound Incentive Compensation Policies (75 FR 36395, 2010), Principle 3. </w:t>
      </w:r>
      <w:r>
        <w:rPr>
          <w:rFonts w:ascii="Arial" w:cs="Arial" w:eastAsia="Arial" w:hAnsi="Arial"/>
          <w:i/>
          <w:iCs/>
          <w:color w:val="595959"/>
          <w:sz w:val="18"/>
          <w:szCs w:val="18"/>
        </w:rPr>
        <w:t xml:space="preserve">Agency: Interagency (FRB/OCC/FDIC).</w:t>
      </w:r>
      <w:r>
        <w:rPr>
          <w:rFonts w:ascii="Arial" w:cs="Arial" w:eastAsia="Arial" w:hAnsi="Arial"/>
          <w:i/>
          <w:iCs/>
          <w:color w:val="7030A0"/>
          <w:sz w:val="18"/>
          <w:szCs w:val="18"/>
        </w:rPr>
        <w:t xml:space="preserve"> Director distinction: Contemplates comp-committee independence per listing standards; guidance itself does not mandate independence beyond active and effective oversight.</w:t>
      </w:r>
    </w:p>
    <w:p>
      <w:pPr>
        <w:keepNext/>
        <w:spacing w:after="20" w:before="120"/>
      </w:pPr>
      <w:r>
        <w:rPr>
          <w:rFonts w:ascii="Arial" w:cs="Arial" w:eastAsia="Arial" w:hAnsi="Arial"/>
          <w:b/>
          <w:bCs/>
          <w:color w:val="1F3864"/>
          <w:sz w:val="21"/>
          <w:szCs w:val="21"/>
        </w:rPr>
        <w:t xml:space="preserve">INC-04  —  n/a (proposed)</w:t>
      </w:r>
      <w:r>
        <w:rPr>
          <w:rFonts w:ascii="Arial" w:cs="Arial" w:eastAsia="Arial" w:hAnsi="Arial"/>
          <w:b/>
          <w:bCs/>
          <w:color w:val="BF8F00"/>
          <w:sz w:val="19"/>
          <w:szCs w:val="19"/>
        </w:rPr>
        <w:t xml:space="preserve">  [PROPOSED / NEVER FINALIZED]</w:t>
      </w:r>
    </w:p>
    <w:p>
      <w:pPr>
        <w:spacing w:after="30"/>
      </w:pPr>
      <w:r>
        <w:rPr>
          <w:rFonts w:ascii="Arial" w:cs="Arial" w:eastAsia="Arial" w:hAnsi="Arial"/>
          <w:sz w:val="21"/>
          <w:szCs w:val="21"/>
        </w:rPr>
        <w:t xml:space="preserve">NOT IN FORCE: A sec. 956 final rule would impose board/committee duties over incentive-based compensation, but has never been finalized through three proposal cycles. The May 2024 re-proposal was issued by FDIC/OCC/FHFA/NCUA; the FRB and SEC did not join.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Dodd-Frank sec. 956 Incentive-Based Compensation rulemaking (2011; 2016 re-proposal 81 FR 37670; May 2024 re-proposal, OCC Bulletin 2024-12), Proposed only. </w:t>
      </w:r>
      <w:r>
        <w:rPr>
          <w:rFonts w:ascii="Arial" w:cs="Arial" w:eastAsia="Arial" w:hAnsi="Arial"/>
          <w:i/>
          <w:iCs/>
          <w:color w:val="595959"/>
          <w:sz w:val="18"/>
          <w:szCs w:val="18"/>
        </w:rPr>
        <w:t xml:space="preserve">Agency: Interagency (FDIC/OCC/FHFA/NCUA).</w:t>
      </w:r>
      <w:r>
        <w:rPr>
          <w:rFonts w:ascii="Arial" w:cs="Arial" w:eastAsia="Arial" w:hAnsi="Arial"/>
          <w:i/>
          <w:iCs/>
          <w:color w:val="595959"/>
          <w:sz w:val="18"/>
          <w:szCs w:val="18"/>
        </w:rPr>
        <w:t xml:space="preserve"> Note: GAO-25-107032 (2025) flagged the 15-year non-finalization. No board-level sec. 956 regulatory duty in force; the 2010 guidance (INC-01..03) remains the operative standard.</w:t>
      </w:r>
    </w:p>
    <w:p>
      <w:pPr>
        <w:keepNext/>
        <w:spacing w:after="20" w:before="120"/>
      </w:pPr>
      <w:r>
        <w:rPr>
          <w:rFonts w:ascii="Arial" w:cs="Arial" w:eastAsia="Arial" w:hAnsi="Arial"/>
          <w:b/>
          <w:bCs/>
          <w:color w:val="1F3864"/>
          <w:sz w:val="21"/>
          <w:szCs w:val="21"/>
        </w:rPr>
        <w:t xml:space="preserve">INC-05  —  Full board or appropriate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or appropriate committee reviews and approves the written talent-management program (development, recruitment, succession for CEO/CAE/CRO and others); and oversees compensation and performance-management programs that must be incorporated into front-line-unit and IRM decision-making.</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secs. III.E / II.L (Talent Management); III (Risk Governance Framework).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App. D requires active oversight, independent judgment, and at least two independent directors (see GOV-24).</w:t>
      </w:r>
      <w:r>
        <w:rPr>
          <w:rFonts w:ascii="Arial" w:cs="Arial" w:eastAsia="Arial" w:hAnsi="Arial"/>
          <w:i/>
          <w:iCs/>
          <w:color w:val="595959"/>
          <w:sz w:val="18"/>
          <w:szCs w:val="18"/>
        </w:rPr>
        <w:t xml:space="preserve"> Note: Enforceable guideline; the only third/comp-cluster source with hard director-independence expectations.</w:t>
      </w:r>
    </w:p>
    <w:p>
      <w:pPr>
        <w:pStyle w:val="Heading2"/>
      </w:pPr>
      <w:r>
        <w:t xml:space="preserve">11. Cybersecurity governance</w:t>
      </w:r>
    </w:p>
    <w:p>
      <w:pPr>
        <w:keepNext/>
        <w:spacing w:after="20" w:before="120"/>
      </w:pPr>
      <w:r>
        <w:rPr>
          <w:rFonts w:ascii="Arial" w:cs="Arial" w:eastAsia="Arial" w:hAnsi="Arial"/>
          <w:b/>
          <w:bCs/>
          <w:color w:val="1F3864"/>
          <w:sz w:val="21"/>
          <w:szCs w:val="21"/>
        </w:rPr>
        <w:t xml:space="preserve">CYB-01  —  Full board (typically discharged through risk and/or audit committee at large firms)</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oversees the development, implementation, management, and maintenance of the information security program; annually approves the written information security program and policies; assigns responsibility for implementation; and reviews management reports.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IT Examination Handbook, Information Security booklet (Sept. 2016 ed.), Sec. I.A / I.B (Governance of the Information Security Program). </w:t>
      </w:r>
      <w:r>
        <w:rPr>
          <w:rFonts w:ascii="Arial" w:cs="Arial" w:eastAsia="Arial" w:hAnsi="Arial"/>
          <w:i/>
          <w:iCs/>
          <w:color w:val="595959"/>
          <w:sz w:val="18"/>
          <w:szCs w:val="18"/>
        </w:rPr>
        <w:t xml:space="preserve">Agency: FFIEC.</w:t>
      </w:r>
    </w:p>
    <w:p>
      <w:pPr>
        <w:keepNext/>
        <w:spacing w:after="20" w:before="120"/>
      </w:pPr>
      <w:r>
        <w:rPr>
          <w:rFonts w:ascii="Arial" w:cs="Arial" w:eastAsia="Arial" w:hAnsi="Arial"/>
          <w:b/>
          <w:bCs/>
          <w:color w:val="1F3864"/>
          <w:sz w:val="21"/>
          <w:szCs w:val="21"/>
        </w:rPr>
        <w:t xml:space="preserve">CYB-02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reasonably understand the business case for information security and the business implications of information security risks; provide management direction; approve information security plans, policies, and programs; review assessments of program effectiveness; discuss corrective-action recommendations; and hold management accountable.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IT Examination Handbook, Information Security booklet, Sec. I.B. </w:t>
      </w:r>
      <w:r>
        <w:rPr>
          <w:rFonts w:ascii="Arial" w:cs="Arial" w:eastAsia="Arial" w:hAnsi="Arial"/>
          <w:i/>
          <w:iCs/>
          <w:color w:val="595959"/>
          <w:sz w:val="18"/>
          <w:szCs w:val="18"/>
        </w:rPr>
        <w:t xml:space="preserve">Agency: FFIEC.</w:t>
      </w:r>
    </w:p>
    <w:p>
      <w:pPr>
        <w:keepNext/>
        <w:spacing w:after="20" w:before="120"/>
      </w:pPr>
      <w:r>
        <w:rPr>
          <w:rFonts w:ascii="Arial" w:cs="Arial" w:eastAsia="Arial" w:hAnsi="Arial"/>
          <w:b/>
          <w:bCs/>
          <w:color w:val="1F3864"/>
          <w:sz w:val="21"/>
          <w:szCs w:val="21"/>
        </w:rPr>
        <w:t xml:space="preserve">CYB-03  —  Full board (committee delegation permitted)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oversees the institution's IT activities and governance, including approving the IT strategic plan, aligning IT with business strategy, setting IT risk appetite, and holding management accountable; may delegate to a board committee but retains ultimate responsibility.</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IT Examination Handbook, Management booklet, Sec. I.A.1 (Board of Directors Oversight). </w:t>
      </w:r>
      <w:r>
        <w:rPr>
          <w:rFonts w:ascii="Arial" w:cs="Arial" w:eastAsia="Arial" w:hAnsi="Arial"/>
          <w:i/>
          <w:iCs/>
          <w:color w:val="595959"/>
          <w:sz w:val="18"/>
          <w:szCs w:val="18"/>
        </w:rPr>
        <w:t xml:space="preserve">Agency: FFIEC.</w:t>
      </w:r>
    </w:p>
    <w:p>
      <w:pPr>
        <w:keepNext/>
        <w:spacing w:after="20" w:before="120"/>
      </w:pPr>
      <w:r>
        <w:rPr>
          <w:rFonts w:ascii="Arial" w:cs="Arial" w:eastAsia="Arial" w:hAnsi="Arial"/>
          <w:b/>
          <w:bCs/>
          <w:color w:val="1F3864"/>
          <w:sz w:val="21"/>
          <w:szCs w:val="21"/>
        </w:rPr>
        <w:t xml:space="preserve">CYB-04  —  Full board or appropriate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or an appropriate committee of the board shall approve the bank's written information security program and oversee its development, implementation, and maintenance, including assigning specific responsibility for implementation and reviewing management reports.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Guidelines Establishing Information Security Standards, 12 CFR part 30 App. B (OCC) / part 208 App. D-2 &amp; part 225 App. F (FRB) / part 364 App. B (FDIC) (GLBA sec. 501(b)), App. B, sec. III.A (Involve the Board of Directors). </w:t>
      </w:r>
      <w:r>
        <w:rPr>
          <w:rFonts w:ascii="Arial" w:cs="Arial" w:eastAsia="Arial" w:hAnsi="Arial"/>
          <w:i/>
          <w:iCs/>
          <w:color w:val="595959"/>
          <w:sz w:val="18"/>
          <w:szCs w:val="18"/>
        </w:rPr>
        <w:t xml:space="preserve">Agency: Interagency (OCC/FRB/FDIC).</w:t>
      </w:r>
      <w:r>
        <w:rPr>
          <w:rFonts w:ascii="Arial" w:cs="Arial" w:eastAsia="Arial" w:hAnsi="Arial"/>
          <w:i/>
          <w:iCs/>
          <w:color w:val="595959"/>
          <w:sz w:val="18"/>
          <w:szCs w:val="18"/>
        </w:rPr>
        <w:t xml:space="preserve"> Note: Enforceable standard (regulation/guideline), the hardest regulatory anchor for the board cyber/info-sec duty. Distributed via FIL-27-2005.</w:t>
      </w:r>
    </w:p>
    <w:p>
      <w:pPr>
        <w:keepNext/>
        <w:spacing w:after="20" w:before="120"/>
      </w:pPr>
      <w:r>
        <w:rPr>
          <w:rFonts w:ascii="Arial" w:cs="Arial" w:eastAsia="Arial" w:hAnsi="Arial"/>
          <w:b/>
          <w:bCs/>
          <w:color w:val="1F3864"/>
          <w:sz w:val="21"/>
          <w:szCs w:val="21"/>
        </w:rPr>
        <w:t xml:space="preserve">CYB-05  —  Full board or appropriate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Each bank shall report to its board or an appropriate committee at least annually, describing the overall status of the information security program and compliance, and addressing risk assessment/management, service-provider arrangements, test results, security breaches/violations and management responses, and recommendations for program changes.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Guidelines Establishing Information Security Standards, 12 CFR part 30 App. B, App. B, sec. III.F (Report to the Board). </w:t>
      </w:r>
      <w:r>
        <w:rPr>
          <w:rFonts w:ascii="Arial" w:cs="Arial" w:eastAsia="Arial" w:hAnsi="Arial"/>
          <w:i/>
          <w:iCs/>
          <w:color w:val="595959"/>
          <w:sz w:val="18"/>
          <w:szCs w:val="18"/>
        </w:rPr>
        <w:t xml:space="preserve">Agency: Interagency (OCC/FRB/FDIC).</w:t>
      </w:r>
    </w:p>
    <w:p>
      <w:pPr>
        <w:keepNext/>
        <w:spacing w:after="20" w:before="120"/>
      </w:pPr>
      <w:r>
        <w:rPr>
          <w:rFonts w:ascii="Arial" w:cs="Arial" w:eastAsia="Arial" w:hAnsi="Arial"/>
          <w:b/>
          <w:bCs/>
          <w:color w:val="1F3864"/>
          <w:sz w:val="21"/>
          <w:szCs w:val="21"/>
        </w:rPr>
        <w:t xml:space="preserve">CYB-06  —  Entity-level (board-relevant via oversight)</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Entity-level duty to notify the primary federal regulator within 36 hours of a 'notification incident.' No direct board-action duty, but the incident determination relies on board-overseen escalation/incident-response governance (CYB-01/CYB-04), and service-provider notifications feed the board-overseen info-security and third-party programs.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Computer-Security Incident Notification Rule (86 FR 66424, Nov. 23, 2021); 12 CFR part 53 (OCC) / 225 subpart N (FRB) / 304 subpart C (FDIC); OCC Bulletin 2021-55; FDIC FIL-74-2021, Final rule. </w:t>
      </w:r>
      <w:r>
        <w:rPr>
          <w:rFonts w:ascii="Arial" w:cs="Arial" w:eastAsia="Arial" w:hAnsi="Arial"/>
          <w:i/>
          <w:iCs/>
          <w:color w:val="595959"/>
          <w:sz w:val="18"/>
          <w:szCs w:val="18"/>
        </w:rPr>
        <w:t xml:space="preserve">Agency: Interagency (OCC/FRB/FDIC).</w:t>
      </w:r>
      <w:r>
        <w:rPr>
          <w:rFonts w:ascii="Arial" w:cs="Arial" w:eastAsia="Arial" w:hAnsi="Arial"/>
          <w:i/>
          <w:iCs/>
          <w:color w:val="595959"/>
          <w:sz w:val="18"/>
          <w:szCs w:val="18"/>
        </w:rPr>
        <w:t xml:space="preserve"> Note: Included for completeness; no discrete numbered board expectation.</w:t>
      </w:r>
    </w:p>
    <w:p>
      <w:pPr>
        <w:keepNext/>
        <w:spacing w:after="20" w:before="120"/>
      </w:pPr>
      <w:r>
        <w:rPr>
          <w:rFonts w:ascii="Arial" w:cs="Arial" w:eastAsia="Arial" w:hAnsi="Arial"/>
          <w:b/>
          <w:bCs/>
          <w:color w:val="1F3864"/>
          <w:sz w:val="21"/>
          <w:szCs w:val="21"/>
        </w:rPr>
        <w:t xml:space="preserve">CYB-07  —  n/a (retired)</w:t>
      </w:r>
      <w:r>
        <w:rPr>
          <w:rFonts w:ascii="Arial" w:cs="Arial" w:eastAsia="Arial" w:hAnsi="Arial"/>
          <w:b/>
          <w:bCs/>
          <w:color w:val="BF8F00"/>
          <w:sz w:val="19"/>
          <w:szCs w:val="19"/>
        </w:rPr>
        <w:t xml:space="preserve">  [RETIRED AUG. 31, 2025]</w:t>
      </w:r>
    </w:p>
    <w:p>
      <w:pPr>
        <w:spacing w:after="30"/>
      </w:pPr>
      <w:r>
        <w:rPr>
          <w:rFonts w:ascii="Arial" w:cs="Arial" w:eastAsia="Arial" w:hAnsi="Arial"/>
          <w:sz w:val="21"/>
          <w:szCs w:val="21"/>
        </w:rPr>
        <w:t xml:space="preserve">RETIRED: The CAT was sunset on Aug. 31, 2025; any board-level expectation premised on CAT completion or CAT-based reporting is no longer current. The FFIEC pointed institutions to industry/government frameworks (CRI Cyber Profile, CIS Controls, NIST CSF 2.0, CISA CPGs).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Cybersecurity Assessment Tool (CAT), Sunset announcement (FFIEC, Aug. 29, 2024; SR 24-7; OCC Bulletin 2024-25). </w:t>
      </w:r>
      <w:r>
        <w:rPr>
          <w:rFonts w:ascii="Arial" w:cs="Arial" w:eastAsia="Arial" w:hAnsi="Arial"/>
          <w:i/>
          <w:iCs/>
          <w:color w:val="595959"/>
          <w:sz w:val="18"/>
          <w:szCs w:val="18"/>
        </w:rPr>
        <w:t xml:space="preserve">Agency: FFIEC.</w:t>
      </w:r>
      <w:r>
        <w:rPr>
          <w:rFonts w:ascii="Arial" w:cs="Arial" w:eastAsia="Arial" w:hAnsi="Arial"/>
          <w:i/>
          <w:iCs/>
          <w:color w:val="595959"/>
          <w:sz w:val="18"/>
          <w:szCs w:val="18"/>
        </w:rPr>
        <w:t xml:space="preserve"> Note: No 1:1 regulatory replacement; the IT Handbook (CYB-01..03) and 12 CFR 30 App. B (CYB-04/05) remain the examination baseline.</w:t>
      </w:r>
    </w:p>
    <w:p>
      <w:pPr>
        <w:keepNext/>
        <w:spacing w:after="20" w:before="120"/>
      </w:pPr>
      <w:r>
        <w:rPr>
          <w:rFonts w:ascii="Arial" w:cs="Arial" w:eastAsia="Arial" w:hAnsi="Arial"/>
          <w:b/>
          <w:bCs/>
          <w:color w:val="1F3864"/>
          <w:sz w:val="21"/>
          <w:szCs w:val="21"/>
        </w:rPr>
        <w:t xml:space="preserve">CYB-08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ensure management provides sufficient resources, expertise, and authority to implement and maintain the information security program.</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IT Examination Handbook, Information Security booklet, Governance / resources sections. </w:t>
      </w:r>
      <w:r>
        <w:rPr>
          <w:rFonts w:ascii="Arial" w:cs="Arial" w:eastAsia="Arial" w:hAnsi="Arial"/>
          <w:i/>
          <w:iCs/>
          <w:color w:val="595959"/>
          <w:sz w:val="18"/>
          <w:szCs w:val="18"/>
        </w:rPr>
        <w:t xml:space="preserve">Agency: FFIEC.</w:t>
      </w:r>
      <w:r>
        <w:rPr>
          <w:rFonts w:ascii="Arial" w:cs="Arial" w:eastAsia="Arial" w:hAnsi="Arial"/>
          <w:i/>
          <w:iCs/>
          <w:color w:val="595959"/>
          <w:sz w:val="18"/>
          <w:szCs w:val="18"/>
        </w:rPr>
        <w:t xml:space="preserve"> Note: Parallels operational-resilience resource expectation (OPR-02).</w:t>
      </w:r>
    </w:p>
    <w:p>
      <w:pPr>
        <w:pStyle w:val="Heading2"/>
      </w:pPr>
      <w:r>
        <w:t xml:space="preserve">12. BSA/AML program oversight</w:t>
      </w:r>
    </w:p>
    <w:p>
      <w:pPr>
        <w:keepNext/>
        <w:spacing w:after="20" w:before="120"/>
      </w:pPr>
      <w:r>
        <w:rPr>
          <w:rFonts w:ascii="Arial" w:cs="Arial" w:eastAsia="Arial" w:hAnsi="Arial"/>
          <w:b/>
          <w:bCs/>
          <w:color w:val="1F3864"/>
          <w:sz w:val="21"/>
          <w:szCs w:val="21"/>
        </w:rPr>
        <w:t xml:space="preserve">BSA-01  —  Full board (approval + minute notation)</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BSA/AML compliance program must be written, approved by the board of directors, and noted in the board minutes; it must be commensurate with the bank's ML/TF and illicit-finance risk profile.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Assessing the BSA/AML Compliance Program (Introduction), Introduction, para. 1 (citing 12 CFR 208.63, 326.8, 21.21, 748.2). </w:t>
      </w:r>
      <w:r>
        <w:rPr>
          <w:rFonts w:ascii="Arial" w:cs="Arial" w:eastAsia="Arial" w:hAnsi="Arial"/>
          <w:i/>
          <w:iCs/>
          <w:color w:val="595959"/>
          <w:sz w:val="18"/>
          <w:szCs w:val="18"/>
        </w:rPr>
        <w:t xml:space="preserve">Agency: FFIEC (FRB/OCC/FDIC/NCUA).</w:t>
      </w:r>
      <w:r>
        <w:rPr>
          <w:rFonts w:ascii="Arial" w:cs="Arial" w:eastAsia="Arial" w:hAnsi="Arial"/>
          <w:i/>
          <w:iCs/>
          <w:color w:val="595959"/>
          <w:sz w:val="18"/>
          <w:szCs w:val="18"/>
        </w:rPr>
        <w:t xml:space="preserve"> Note: For U.S. branches/agencies of foreign banks, may be approved by delegates acting under the express authority of the foreign bank's board. Underlying program-rule architecture subject to pending 2026 reproposal (BSA-09/10).</w:t>
      </w:r>
    </w:p>
    <w:p>
      <w:pPr>
        <w:keepNext/>
        <w:spacing w:after="20" w:before="120"/>
      </w:pPr>
      <w:r>
        <w:rPr>
          <w:rFonts w:ascii="Arial" w:cs="Arial" w:eastAsia="Arial" w:hAnsi="Arial"/>
          <w:b/>
          <w:bCs/>
          <w:color w:val="1F3864"/>
          <w:sz w:val="21"/>
          <w:szCs w:val="21"/>
        </w:rPr>
        <w:t xml:space="preserve">BSA-02  —  Full board (acting through senior management)</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acting through senior management, is ultimately responsible for ensuring the bank maintains a system of internal controls to assure ongoing BSA compliance, and plays an important role in establishing a culture that prioritizes compliance and holds senior management accountable.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BSA/AML Internal Controls, Internal Controls, para. 1 (citing 12 CFR 208.63(c)(1), etc.). </w:t>
      </w:r>
      <w:r>
        <w:rPr>
          <w:rFonts w:ascii="Arial" w:cs="Arial" w:eastAsia="Arial" w:hAnsi="Arial"/>
          <w:i/>
          <w:iCs/>
          <w:color w:val="595959"/>
          <w:sz w:val="18"/>
          <w:szCs w:val="18"/>
        </w:rPr>
        <w:t xml:space="preserve">Agency: FFIEC (FRB/OCC/FDIC/NCUA).</w:t>
      </w:r>
    </w:p>
    <w:p>
      <w:pPr>
        <w:keepNext/>
        <w:spacing w:after="20" w:before="120"/>
      </w:pPr>
      <w:r>
        <w:rPr>
          <w:rFonts w:ascii="Arial" w:cs="Arial" w:eastAsia="Arial" w:hAnsi="Arial"/>
          <w:b/>
          <w:bCs/>
          <w:color w:val="1F3864"/>
          <w:sz w:val="21"/>
          <w:szCs w:val="21"/>
        </w:rPr>
        <w:t xml:space="preserve">BSA-03  —  Full board or committee (general reporting); full board (SAR-filing notification)</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Internal controls should include mechanisms to identify and inform the board, or a committee thereof, and senior management of BSA compliance initiatives, identified deficiencies and corrective action, and to notify the board of directors of SARs filed.</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BSA/AML Internal Controls, Internal Controls, bulleted control expectations. </w:t>
      </w:r>
      <w:r>
        <w:rPr>
          <w:rFonts w:ascii="Arial" w:cs="Arial" w:eastAsia="Arial" w:hAnsi="Arial"/>
          <w:i/>
          <w:iCs/>
          <w:color w:val="595959"/>
          <w:sz w:val="18"/>
          <w:szCs w:val="18"/>
        </w:rPr>
        <w:t xml:space="preserve">Agency: FFIEC (FRB/OCC/FDIC/NCUA).</w:t>
      </w:r>
    </w:p>
    <w:p>
      <w:pPr>
        <w:keepNext/>
        <w:spacing w:after="20" w:before="120"/>
      </w:pPr>
      <w:r>
        <w:rPr>
          <w:rFonts w:ascii="Arial" w:cs="Arial" w:eastAsia="Arial" w:hAnsi="Arial"/>
          <w:b/>
          <w:bCs/>
          <w:color w:val="1F3864"/>
          <w:sz w:val="21"/>
          <w:szCs w:val="21"/>
        </w:rPr>
        <w:t xml:space="preserve">BSA-04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must designate a qualified individual or individuals to serve as the BSA compliance officer, and is responsible for ensuring the officer has appropriate authority, independence, and access to resources (appointment alone is not sufficient).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BSA Compliance Officer, BSA Compliance Officer, Objective + para. 1 (citing 12 CFR 208.63(c)(3), etc.). </w:t>
      </w:r>
      <w:r>
        <w:rPr>
          <w:rFonts w:ascii="Arial" w:cs="Arial" w:eastAsia="Arial" w:hAnsi="Arial"/>
          <w:i/>
          <w:iCs/>
          <w:color w:val="595959"/>
          <w:sz w:val="18"/>
          <w:szCs w:val="18"/>
        </w:rPr>
        <w:t xml:space="preserve">Agency: FFIEC (FRB/OCC/FDIC/NCUA).</w:t>
      </w:r>
    </w:p>
    <w:p>
      <w:pPr>
        <w:keepNext/>
        <w:spacing w:after="20" w:before="120"/>
      </w:pPr>
      <w:r>
        <w:rPr>
          <w:rFonts w:ascii="Arial" w:cs="Arial" w:eastAsia="Arial" w:hAnsi="Arial"/>
          <w:b/>
          <w:bCs/>
          <w:color w:val="1F3864"/>
          <w:sz w:val="21"/>
          <w:szCs w:val="21"/>
        </w:rPr>
        <w:t xml:space="preserve">BSA-05  —  Full board (oversight)</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is ultimately responsible for the bank's BSA/AML compliance and should provide oversight of senior management and the BSA compliance officer in implementing the board-approved BSA/AML compliance program.</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BSA Compliance Officer, BSA Compliance Officer, para. 1 (cross-ref FinCEN FIN-2014-A007). </w:t>
      </w:r>
      <w:r>
        <w:rPr>
          <w:rFonts w:ascii="Arial" w:cs="Arial" w:eastAsia="Arial" w:hAnsi="Arial"/>
          <w:i/>
          <w:iCs/>
          <w:color w:val="595959"/>
          <w:sz w:val="18"/>
          <w:szCs w:val="18"/>
        </w:rPr>
        <w:t xml:space="preserve">Agency: FFIEC (FRB/OCC/FDIC/NCUA).</w:t>
      </w:r>
    </w:p>
    <w:p>
      <w:pPr>
        <w:keepNext/>
        <w:spacing w:after="20" w:before="120"/>
      </w:pPr>
      <w:r>
        <w:rPr>
          <w:rFonts w:ascii="Arial" w:cs="Arial" w:eastAsia="Arial" w:hAnsi="Arial"/>
          <w:b/>
          <w:bCs/>
          <w:color w:val="1F3864"/>
          <w:sz w:val="21"/>
          <w:szCs w:val="21"/>
        </w:rPr>
        <w:t xml:space="preserve">BSA-06  —  Full board or designated board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BSA compliance officer should regularly report the status of ongoing BSA compliance to the board (or a designated board committee) and senior management, including the required notification of SAR filings, with clear lines of reporting ultimately up to the board.</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BSA Compliance Officer, BSA Compliance Officer, para. 2. </w:t>
      </w:r>
      <w:r>
        <w:rPr>
          <w:rFonts w:ascii="Arial" w:cs="Arial" w:eastAsia="Arial" w:hAnsi="Arial"/>
          <w:i/>
          <w:iCs/>
          <w:color w:val="595959"/>
          <w:sz w:val="18"/>
          <w:szCs w:val="18"/>
        </w:rPr>
        <w:t xml:space="preserve">Agency: FFIEC (FRB/OCC/FDIC/NCUA).</w:t>
      </w:r>
    </w:p>
    <w:p>
      <w:pPr>
        <w:keepNext/>
        <w:spacing w:after="20" w:before="120"/>
      </w:pPr>
      <w:r>
        <w:rPr>
          <w:rFonts w:ascii="Arial" w:cs="Arial" w:eastAsia="Arial" w:hAnsi="Arial"/>
          <w:b/>
          <w:bCs/>
          <w:color w:val="1F3864"/>
          <w:sz w:val="21"/>
          <w:szCs w:val="21"/>
        </w:rPr>
        <w:t xml:space="preserve">BSA-07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of directors and senior management should receive foundational BSA training and be informed of changes/new developments, sufficient to understand the bank's risk profile and BSA requirements (need not match the depth of operations-personnel training).</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BSA/AML Training, BSA/AML Training, para. 2. </w:t>
      </w:r>
      <w:r>
        <w:rPr>
          <w:rFonts w:ascii="Arial" w:cs="Arial" w:eastAsia="Arial" w:hAnsi="Arial"/>
          <w:i/>
          <w:iCs/>
          <w:color w:val="595959"/>
          <w:sz w:val="18"/>
          <w:szCs w:val="18"/>
        </w:rPr>
        <w:t xml:space="preserve">Agency: FFIEC (FRB/OCC/FDIC/NCUA).</w:t>
      </w:r>
    </w:p>
    <w:p>
      <w:pPr>
        <w:keepNext/>
        <w:spacing w:after="20" w:before="120"/>
      </w:pPr>
      <w:r>
        <w:rPr>
          <w:rFonts w:ascii="Arial" w:cs="Arial" w:eastAsia="Arial" w:hAnsi="Arial"/>
          <w:b/>
          <w:bCs/>
          <w:color w:val="1F3864"/>
          <w:sz w:val="21"/>
          <w:szCs w:val="21"/>
        </w:rPr>
        <w:t xml:space="preserve">BSA-08  —  Full board; senior management</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Leadership (board and senior management) should demonstrate visible commitment to BSA compliance, devote adequate resources, ensure an independent and competent compliance function, and ensure compliance is not compromised by revenue interests.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FinCEN Advisory to U.S. Financial Institutions on Promoting a Culture of Compliance, FIN-2014-A007 (Aug. 11, 2014), Advisory. </w:t>
      </w:r>
      <w:r>
        <w:rPr>
          <w:rFonts w:ascii="Arial" w:cs="Arial" w:eastAsia="Arial" w:hAnsi="Arial"/>
          <w:i/>
          <w:iCs/>
          <w:color w:val="595959"/>
          <w:sz w:val="18"/>
          <w:szCs w:val="18"/>
        </w:rPr>
        <w:t xml:space="preserve">Agency: FinCEN.</w:t>
      </w:r>
      <w:r>
        <w:rPr>
          <w:rFonts w:ascii="Arial" w:cs="Arial" w:eastAsia="Arial" w:hAnsi="Arial"/>
          <w:i/>
          <w:iCs/>
          <w:color w:val="595959"/>
          <w:sz w:val="18"/>
          <w:szCs w:val="18"/>
        </w:rPr>
        <w:t xml:space="preserve"> Note: Continues to be cited as live authority in the current FFIEC manual.</w:t>
      </w:r>
    </w:p>
    <w:p>
      <w:pPr>
        <w:keepNext/>
        <w:spacing w:after="20" w:before="120"/>
      </w:pPr>
      <w:r>
        <w:rPr>
          <w:rFonts w:ascii="Arial" w:cs="Arial" w:eastAsia="Arial" w:hAnsi="Arial"/>
          <w:b/>
          <w:bCs/>
          <w:color w:val="1F3864"/>
          <w:sz w:val="21"/>
          <w:szCs w:val="21"/>
        </w:rPr>
        <w:t xml:space="preserve">BSA-09  —  Full board OR equivalent governing body OR appropriate senior management (incl. board committees)</w:t>
      </w:r>
      <w:r>
        <w:rPr>
          <w:rFonts w:ascii="Arial" w:cs="Arial" w:eastAsia="Arial" w:hAnsi="Arial"/>
          <w:b/>
          <w:bCs/>
          <w:color w:val="BF8F00"/>
          <w:sz w:val="19"/>
          <w:szCs w:val="19"/>
        </w:rPr>
        <w:t xml:space="preserve">  [PROPOSED (NOT FINAL)]</w:t>
      </w:r>
    </w:p>
    <w:p>
      <w:pPr>
        <w:spacing w:after="30"/>
      </w:pPr>
      <w:r>
        <w:rPr>
          <w:rFonts w:ascii="Arial" w:cs="Arial" w:eastAsia="Arial" w:hAnsi="Arial"/>
          <w:sz w:val="21"/>
          <w:szCs w:val="21"/>
        </w:rPr>
        <w:t xml:space="preserve">PROPOSED: would require the AML/CFT program to be approved by the financial institution's board of directors or an equivalent governing body, or appropriate senior management — restoring flexibility and allowing board committees (e.g., compliance or audit) to serve as the approving group.</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FinCEN NPRM, Anti-Money Laundering and Countering the Financing of Terrorism Programs (91 FR 18704, Apr. 10, 2026; RIN 1506-AB72; comments due June 9, 2026), Proposed 31 CFR 10XX.210(d); preamble sec. V.E.2. </w:t>
      </w:r>
      <w:r>
        <w:rPr>
          <w:rFonts w:ascii="Arial" w:cs="Arial" w:eastAsia="Arial" w:hAnsi="Arial"/>
          <w:i/>
          <w:iCs/>
          <w:color w:val="595959"/>
          <w:sz w:val="18"/>
          <w:szCs w:val="18"/>
        </w:rPr>
        <w:t xml:space="preserve">Agency: FinCEN.</w:t>
      </w:r>
      <w:r>
        <w:rPr>
          <w:rFonts w:ascii="Arial" w:cs="Arial" w:eastAsia="Arial" w:hAnsi="Arial"/>
          <w:i/>
          <w:iCs/>
          <w:color w:val="595959"/>
          <w:sz w:val="18"/>
          <w:szCs w:val="18"/>
        </w:rPr>
        <w:t xml:space="preserve"> Note: Deliberate softening from the June 2024 NPRM (which would have mandated board approval and removed senior-management approval). The 2024 Program NPRM is withdrawn/superseded. Existing banking-agency program rules (board approval + minute notation, BSA-01) remain in force today.</w:t>
      </w:r>
    </w:p>
    <w:p>
      <w:pPr>
        <w:keepNext/>
        <w:spacing w:after="20" w:before="120"/>
      </w:pPr>
      <w:r>
        <w:rPr>
          <w:rFonts w:ascii="Arial" w:cs="Arial" w:eastAsia="Arial" w:hAnsi="Arial"/>
          <w:b/>
          <w:bCs/>
          <w:color w:val="1F3864"/>
          <w:sz w:val="21"/>
          <w:szCs w:val="21"/>
        </w:rPr>
        <w:t xml:space="preserve">BSA-10  —  Full board (per amended agency rules)</w:t>
      </w:r>
      <w:r>
        <w:rPr>
          <w:rFonts w:ascii="Arial" w:cs="Arial" w:eastAsia="Arial" w:hAnsi="Arial"/>
          <w:b/>
          <w:bCs/>
          <w:color w:val="BF8F00"/>
          <w:sz w:val="19"/>
          <w:szCs w:val="19"/>
        </w:rPr>
        <w:t xml:space="preserve">  [PROPOSED (NOT FINAL)]</w:t>
      </w:r>
    </w:p>
    <w:p>
      <w:pPr>
        <w:spacing w:after="30"/>
      </w:pPr>
      <w:r>
        <w:rPr>
          <w:rFonts w:ascii="Arial" w:cs="Arial" w:eastAsia="Arial" w:hAnsi="Arial"/>
          <w:sz w:val="21"/>
          <w:szCs w:val="21"/>
        </w:rPr>
        <w:t xml:space="preserve">PROPOSED: would amend each agency's program rule to require effective, risk-based AML/CFT programs aligned with the FinCEN reproposal; carries the board-approval architecture for IDIs; clarifies enforcement reserved for significant or systemic program failures.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Banking-agencies' companion AML/CFT Program Rule NPRM (91 FR, FR Doc. 2026-06948, Apr. 10, 2026; comments due June 9, 2026), Proposed program-rule amendments. </w:t>
      </w:r>
      <w:r>
        <w:rPr>
          <w:rFonts w:ascii="Arial" w:cs="Arial" w:eastAsia="Arial" w:hAnsi="Arial"/>
          <w:i/>
          <w:iCs/>
          <w:color w:val="595959"/>
          <w:sz w:val="18"/>
          <w:szCs w:val="18"/>
        </w:rPr>
        <w:t xml:space="preserve">Agency: Interagency (FDIC/OCC/NCUA; parallel FRB proposal).</w:t>
      </w:r>
      <w:r>
        <w:rPr>
          <w:rFonts w:ascii="Arial" w:cs="Arial" w:eastAsia="Arial" w:hAnsi="Arial"/>
          <w:i/>
          <w:iCs/>
          <w:color w:val="595959"/>
          <w:sz w:val="18"/>
          <w:szCs w:val="18"/>
        </w:rPr>
        <w:t xml:space="preserve"> Note: Existing agency program rules (board approval + minute notation) remain in force pending finalization.</w:t>
      </w:r>
    </w:p>
    <w:p>
      <w:pPr>
        <w:keepNext/>
        <w:spacing w:after="20" w:before="120"/>
      </w:pPr>
      <w:r>
        <w:rPr>
          <w:rFonts w:ascii="Arial" w:cs="Arial" w:eastAsia="Arial" w:hAnsi="Arial"/>
          <w:b/>
          <w:bCs/>
          <w:color w:val="1F3864"/>
          <w:sz w:val="21"/>
          <w:szCs w:val="21"/>
        </w:rPr>
        <w:t xml:space="preserve">BSA-11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receive orientation on BSA/AML requirements and risks and is responsible for approving and overseeing management's implementation of the BSA/AML compliance program.</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The Director's Book (2020), BSA/AML oversight (local ll. ~1184-1193, 3504-3526). </w:t>
      </w:r>
      <w:r>
        <w:rPr>
          <w:rFonts w:ascii="Arial" w:cs="Arial" w:eastAsia="Arial" w:hAnsi="Arial"/>
          <w:i/>
          <w:iCs/>
          <w:color w:val="595959"/>
          <w:sz w:val="18"/>
          <w:szCs w:val="18"/>
        </w:rPr>
        <w:t xml:space="preserve">Agency: OCC.</w:t>
      </w:r>
      <w:r>
        <w:rPr>
          <w:rFonts w:ascii="Arial" w:cs="Arial" w:eastAsia="Arial" w:hAnsi="Arial"/>
          <w:i/>
          <w:iCs/>
          <w:color w:val="595959"/>
          <w:sz w:val="18"/>
          <w:szCs w:val="18"/>
        </w:rPr>
        <w:t xml:space="preserve"> Note: OCC IDI-specific complement to the FFIEC manual.</w:t>
      </w:r>
    </w:p>
    <w:p>
      <w:pPr>
        <w:keepNext/>
        <w:spacing w:after="20" w:before="120"/>
      </w:pPr>
      <w:r>
        <w:rPr>
          <w:rFonts w:ascii="Arial" w:cs="Arial" w:eastAsia="Arial" w:hAnsi="Arial"/>
          <w:b/>
          <w:bCs/>
          <w:color w:val="1F3864"/>
          <w:sz w:val="21"/>
          <w:szCs w:val="21"/>
        </w:rPr>
        <w:t xml:space="preserve">BSA-12  —  Full board or designated board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Independent testing should provide enough information for the board (or a designated board committee) to assess program adequacy; examiners determine whether testing reports directly to the board or a designated board committee — referencing a committee composed primarily or completely of outside directors.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Independent Testing, Independent Testing exam procedures. </w:t>
      </w:r>
      <w:r>
        <w:rPr>
          <w:rFonts w:ascii="Arial" w:cs="Arial" w:eastAsia="Arial" w:hAnsi="Arial"/>
          <w:i/>
          <w:iCs/>
          <w:color w:val="595959"/>
          <w:sz w:val="18"/>
          <w:szCs w:val="18"/>
        </w:rPr>
        <w:t xml:space="preserve">Agency: FFIEC (FRB/OCC/FDIC/NCUA).</w:t>
      </w:r>
      <w:r>
        <w:rPr>
          <w:rFonts w:ascii="Arial" w:cs="Arial" w:eastAsia="Arial" w:hAnsi="Arial"/>
          <w:i/>
          <w:iCs/>
          <w:color w:val="7030A0"/>
          <w:sz w:val="18"/>
          <w:szCs w:val="18"/>
        </w:rPr>
        <w:t xml:space="preserve"> Director distinction: Exam procedures reference a board committee composed primarily/completely of outside directors.</w:t>
      </w:r>
    </w:p>
    <w:p>
      <w:pPr>
        <w:keepNext/>
        <w:spacing w:after="20" w:before="120"/>
      </w:pPr>
      <w:r>
        <w:rPr>
          <w:rFonts w:ascii="Arial" w:cs="Arial" w:eastAsia="Arial" w:hAnsi="Arial"/>
          <w:b/>
          <w:bCs/>
          <w:color w:val="1F3864"/>
          <w:sz w:val="21"/>
          <w:szCs w:val="21"/>
        </w:rPr>
        <w:t xml:space="preserve">BSA-13  —  Full board; senior management</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The OFAC/sanctions compliance program should be risk-based and supported by policies, procedures, internal controls, testing, training, and management and board oversight appropriate to the risk profile.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OFAC sections, OFAC / sanctions examination sections. </w:t>
      </w:r>
      <w:r>
        <w:rPr>
          <w:rFonts w:ascii="Arial" w:cs="Arial" w:eastAsia="Arial" w:hAnsi="Arial"/>
          <w:i/>
          <w:iCs/>
          <w:color w:val="595959"/>
          <w:sz w:val="18"/>
          <w:szCs w:val="18"/>
        </w:rPr>
        <w:t xml:space="preserve">Agency: FFIEC (FRB/OCC/FDIC/NCUA).</w:t>
      </w:r>
      <w:r>
        <w:rPr>
          <w:rFonts w:ascii="Arial" w:cs="Arial" w:eastAsia="Arial" w:hAnsi="Arial"/>
          <w:i/>
          <w:iCs/>
          <w:color w:val="595959"/>
          <w:sz w:val="18"/>
          <w:szCs w:val="18"/>
        </w:rPr>
        <w:t xml:space="preserve"> Note: Less board-specific than the BSA program-structure sections.</w:t>
      </w:r>
    </w:p>
    <w:p>
      <w:pPr>
        <w:pStyle w:val="Heading2"/>
      </w:pPr>
      <w:r>
        <w:t xml:space="preserve">13. Consumer compliance oversight</w:t>
      </w:r>
    </w:p>
    <w:p>
      <w:pPr>
        <w:keepNext/>
        <w:spacing w:after="20" w:before="120"/>
      </w:pPr>
      <w:r>
        <w:rPr>
          <w:rFonts w:ascii="Arial" w:cs="Arial" w:eastAsia="Arial" w:hAnsi="Arial"/>
          <w:b/>
          <w:bCs/>
          <w:color w:val="1F3864"/>
          <w:sz w:val="21"/>
          <w:szCs w:val="21"/>
        </w:rPr>
        <w:t xml:space="preserve">CON-01  —  Full board (may delegate day-to-day to management)</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oversee the bank's consumer-compliance management system (CMS), create a culture that prioritizes compliance, and hold management accountable for implementing a CMS consistent with the bank's strategic direction, risk culture, and risk appetite.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Comptroller's Handbook, Compliance Management Systems booklet, v1.0 (June 2018), Oversight and Commitment / Board of Directors, pp. 6-7. </w:t>
      </w:r>
      <w:r>
        <w:rPr>
          <w:rFonts w:ascii="Arial" w:cs="Arial" w:eastAsia="Arial" w:hAnsi="Arial"/>
          <w:i/>
          <w:iCs/>
          <w:color w:val="595959"/>
          <w:sz w:val="18"/>
          <w:szCs w:val="18"/>
        </w:rPr>
        <w:t xml:space="preserve">Agency: OCC.</w:t>
      </w:r>
      <w:r>
        <w:rPr>
          <w:rFonts w:ascii="Arial" w:cs="Arial" w:eastAsia="Arial" w:hAnsi="Arial"/>
          <w:i/>
          <w:iCs/>
          <w:color w:val="595959"/>
          <w:sz w:val="18"/>
          <w:szCs w:val="18"/>
        </w:rPr>
        <w:t xml:space="preserve"> Note: Applies to national banks/FSAs (GSIB lead IDIs). OCC continues to examine GSIB national banks for consumer compliance.</w:t>
      </w:r>
    </w:p>
    <w:p>
      <w:pPr>
        <w:keepNext/>
        <w:spacing w:after="20" w:before="120"/>
      </w:pPr>
      <w:r>
        <w:rPr>
          <w:rFonts w:ascii="Arial" w:cs="Arial" w:eastAsia="Arial" w:hAnsi="Arial"/>
          <w:b/>
          <w:bCs/>
          <w:color w:val="1F3864"/>
          <w:sz w:val="21"/>
          <w:szCs w:val="21"/>
        </w:rPr>
        <w:t xml:space="preserve">CON-02  —  Full board or board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receive sufficient consumer-compliance information (MIS reports, risk assessments, monitoring and independent audit reports) to assess CMS effectiveness and, when appropriate, provide credible challenge to management; board or board-committee minutes should reflect receipt and deliberation of consumer-compliance risk-management information.</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Comptroller's Handbook, Compliance Management Systems booklet, v1.0 (June 2018), Board of Directors, p. 7. </w:t>
      </w:r>
      <w:r>
        <w:rPr>
          <w:rFonts w:ascii="Arial" w:cs="Arial" w:eastAsia="Arial" w:hAnsi="Arial"/>
          <w:i/>
          <w:iCs/>
          <w:color w:val="595959"/>
          <w:sz w:val="18"/>
          <w:szCs w:val="18"/>
        </w:rPr>
        <w:t xml:space="preserve">Agency: OCC.</w:t>
      </w:r>
    </w:p>
    <w:p>
      <w:pPr>
        <w:keepNext/>
        <w:spacing w:after="20" w:before="120"/>
      </w:pPr>
      <w:r>
        <w:rPr>
          <w:rFonts w:ascii="Arial" w:cs="Arial" w:eastAsia="Arial" w:hAnsi="Arial"/>
          <w:b/>
          <w:bCs/>
          <w:color w:val="1F3864"/>
          <w:sz w:val="21"/>
          <w:szCs w:val="21"/>
        </w:rPr>
        <w:t xml:space="preserve">CON-03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understand its consumer-compliance roles and responsibilities and periodically assess directors' consumer-compliance skills and competencies relative to the bank's size, complexity, and risk profile.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Comptroller's Handbook, Compliance Management Systems booklet, v1.0 (June 2018), Board of Directors, p. 7. </w:t>
      </w:r>
      <w:r>
        <w:rPr>
          <w:rFonts w:ascii="Arial" w:cs="Arial" w:eastAsia="Arial" w:hAnsi="Arial"/>
          <w:i/>
          <w:iCs/>
          <w:color w:val="595959"/>
          <w:sz w:val="18"/>
          <w:szCs w:val="18"/>
        </w:rPr>
        <w:t xml:space="preserve">Agency: OCC.</w:t>
      </w:r>
      <w:r>
        <w:rPr>
          <w:rFonts w:ascii="Arial" w:cs="Arial" w:eastAsia="Arial" w:hAnsi="Arial"/>
          <w:i/>
          <w:iCs/>
          <w:color w:val="7030A0"/>
          <w:sz w:val="18"/>
          <w:szCs w:val="18"/>
        </w:rPr>
        <w:t xml:space="preserve"> Director distinction: Implicates director (incl. independent director) competency assessment; no inside/outside split stated.</w:t>
      </w:r>
    </w:p>
    <w:p>
      <w:pPr>
        <w:keepNext/>
        <w:spacing w:after="20" w:before="120"/>
      </w:pPr>
      <w:r>
        <w:rPr>
          <w:rFonts w:ascii="Arial" w:cs="Arial" w:eastAsia="Arial" w:hAnsi="Arial"/>
          <w:b/>
          <w:bCs/>
          <w:color w:val="1F3864"/>
          <w:sz w:val="21"/>
          <w:szCs w:val="21"/>
        </w:rPr>
        <w:t xml:space="preserve">CON-04  —  Full board; management</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Responsibility for ensuring the institution and its third-party providers comply rests with the board and management; every FDIC-supervised institution must have an effective CMS, with two pillars: board and management oversight, and the consumer-compliance program.</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Consumer Compliance Examination Manual, sec. II-3.1 (Compliance Management System), Sec. II-3.1. </w:t>
      </w:r>
      <w:r>
        <w:rPr>
          <w:rFonts w:ascii="Arial" w:cs="Arial" w:eastAsia="Arial" w:hAnsi="Arial"/>
          <w:i/>
          <w:iCs/>
          <w:color w:val="595959"/>
          <w:sz w:val="18"/>
          <w:szCs w:val="18"/>
        </w:rPr>
        <w:t xml:space="preserve">Agency: FDIC.</w:t>
      </w:r>
      <w:r>
        <w:rPr>
          <w:rFonts w:ascii="Arial" w:cs="Arial" w:eastAsia="Arial" w:hAnsi="Arial"/>
          <w:i/>
          <w:iCs/>
          <w:color w:val="595959"/>
          <w:sz w:val="18"/>
          <w:szCs w:val="18"/>
        </w:rPr>
        <w:t xml:space="preserve"> Note: Applies to FDIC-supervised IDIs; relevant to any state-nonmember IDI subsidiary of a GSIB. Quote-verify against the live PDF before citation.</w:t>
      </w:r>
    </w:p>
    <w:p>
      <w:pPr>
        <w:keepNext/>
        <w:spacing w:after="20" w:before="120"/>
      </w:pPr>
      <w:r>
        <w:rPr>
          <w:rFonts w:ascii="Arial" w:cs="Arial" w:eastAsia="Arial" w:hAnsi="Arial"/>
          <w:b/>
          <w:bCs/>
          <w:color w:val="1F3864"/>
          <w:sz w:val="21"/>
          <w:szCs w:val="21"/>
        </w:rPr>
        <w:t xml:space="preserve">CON-05  —  Full board (audit scope/frequency); directors as training recipients</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determine the scope and frequency of compliance audits; the compliance officer establishes a regular training schedule for directors, management, and staff.</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Consumer Compliance Examination Manual, sec. II-3.1, Sec. II-3.1 (audit and training subsections). </w:t>
      </w:r>
      <w:r>
        <w:rPr>
          <w:rFonts w:ascii="Arial" w:cs="Arial" w:eastAsia="Arial" w:hAnsi="Arial"/>
          <w:i/>
          <w:iCs/>
          <w:color w:val="595959"/>
          <w:sz w:val="18"/>
          <w:szCs w:val="18"/>
        </w:rPr>
        <w:t xml:space="preserve">Agency: FDIC.</w:t>
      </w:r>
    </w:p>
    <w:p>
      <w:pPr>
        <w:keepNext/>
        <w:spacing w:after="20" w:before="120"/>
      </w:pPr>
      <w:r>
        <w:rPr>
          <w:rFonts w:ascii="Arial" w:cs="Arial" w:eastAsia="Arial" w:hAnsi="Arial"/>
          <w:b/>
          <w:bCs/>
          <w:color w:val="1F3864"/>
          <w:sz w:val="21"/>
          <w:szCs w:val="21"/>
        </w:rPr>
        <w:t xml:space="preserve">CON-06  —  Full board (day-to-day oversight often via Risk Committee or a dedicated compliance committee at GSIBs)</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oversee development of, review, approve, and periodically monitor the firm's compliance strategy and its alignment with overall strategy; direct senior management on the board's information needs; hold senior management accountable for effective implementation and timely resolution of compliance issues; and hold management accountable for performance-management/compensation programs that promote compliance, including for conduct.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08-8 / CA 08-11, Compliance Risk Management Programs and Oversight at Large Banking Organizations with Complex Compliance Profiles (Oct. 16, 2008; revised Oct. 1, 2025), Sec. IV (Responsibilities of the Board of Directors and Senior Management), p. 8; sec. I. </w:t>
      </w:r>
      <w:r>
        <w:rPr>
          <w:rFonts w:ascii="Arial" w:cs="Arial" w:eastAsia="Arial" w:hAnsi="Arial"/>
          <w:i/>
          <w:iCs/>
          <w:color w:val="595959"/>
          <w:sz w:val="18"/>
          <w:szCs w:val="18"/>
        </w:rPr>
        <w:t xml:space="preserve">Agency: Federal Reserve.</w:t>
      </w:r>
      <w:r>
        <w:rPr>
          <w:rFonts w:ascii="Arial" w:cs="Arial" w:eastAsia="Arial" w:hAnsi="Arial"/>
          <w:i/>
          <w:iCs/>
          <w:color w:val="595959"/>
          <w:sz w:val="18"/>
          <w:szCs w:val="18"/>
        </w:rPr>
        <w:t xml:space="preserve"> Note: Directly governs Category I GSIB holding companies ($50B+). Oct. 1, 2025 revision removed reputational-risk references; Feb. 26, 2021 revision conformed it to SR 21-3.</w:t>
      </w:r>
    </w:p>
    <w:p>
      <w:pPr>
        <w:keepNext/>
        <w:spacing w:after="20" w:before="120"/>
      </w:pPr>
      <w:r>
        <w:rPr>
          <w:rFonts w:ascii="Arial" w:cs="Arial" w:eastAsia="Arial" w:hAnsi="Arial"/>
          <w:b/>
          <w:bCs/>
          <w:color w:val="1F3864"/>
          <w:sz w:val="21"/>
          <w:szCs w:val="21"/>
        </w:rPr>
        <w:t xml:space="preserve">CON-07  —  Full board (reporting to board or a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promote the stature and independence of the corporate compliance function and provide an appropriate level of resources; the corporate compliance function should report to the board, or a committee thereof, on significant compliance matters; compliance staff should not be compensated on business-line financial performance.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08-8 / CA 08-11 (rev. Oct. 1, 2025), Sec. IV (Boards of Directors), p. 9; sec. II. </w:t>
      </w:r>
      <w:r>
        <w:rPr>
          <w:rFonts w:ascii="Arial" w:cs="Arial" w:eastAsia="Arial" w:hAnsi="Arial"/>
          <w:i/>
          <w:iCs/>
          <w:color w:val="595959"/>
          <w:sz w:val="18"/>
          <w:szCs w:val="18"/>
        </w:rPr>
        <w:t xml:space="preserve">Agency: Federal Reserve.</w:t>
      </w:r>
      <w:r>
        <w:rPr>
          <w:rFonts w:ascii="Arial" w:cs="Arial" w:eastAsia="Arial" w:hAnsi="Arial"/>
          <w:i/>
          <w:iCs/>
          <w:color w:val="7030A0"/>
          <w:sz w:val="18"/>
          <w:szCs w:val="18"/>
        </w:rPr>
        <w:t xml:space="preserve"> Director distinction: Functional independence of the compliance unit (not director independence).</w:t>
      </w:r>
    </w:p>
    <w:p>
      <w:pPr>
        <w:keepNext/>
        <w:spacing w:after="20" w:before="120"/>
      </w:pPr>
      <w:r>
        <w:rPr>
          <w:rFonts w:ascii="Arial" w:cs="Arial" w:eastAsia="Arial" w:hAnsi="Arial"/>
          <w:b/>
          <w:bCs/>
          <w:color w:val="1F3864"/>
          <w:sz w:val="21"/>
          <w:szCs w:val="21"/>
        </w:rPr>
        <w:t xml:space="preserve">CON-08  —  Full board</w:t>
      </w:r>
      <w:r>
        <w:rPr>
          <w:rFonts w:ascii="Arial" w:cs="Arial" w:eastAsia="Arial" w:hAnsi="Arial"/>
          <w:b/>
          <w:bCs/>
          <w:color w:val="BF8F00"/>
          <w:sz w:val="19"/>
          <w:szCs w:val="19"/>
        </w:rPr>
        <w:t xml:space="preserve">  [ACTIVE ON PAPER; LIGHTLY ENFORCED (CURRENCY FLAG)]</w:t>
      </w:r>
    </w:p>
    <w:p>
      <w:pPr>
        <w:spacing w:after="30"/>
      </w:pPr>
      <w:r>
        <w:rPr>
          <w:rFonts w:ascii="Arial" w:cs="Arial" w:eastAsia="Arial" w:hAnsi="Arial"/>
          <w:sz w:val="21"/>
          <w:szCs w:val="21"/>
        </w:rPr>
        <w:t xml:space="preserve">Board approval and oversight of the compliance management system, board reporting, and board accountability for the CMS. NOMINALLY IN FORCE but lightly enforced: the manual remains posted and not formally rescinded, but examination intensity, scope, and practical enforcement have been materially diminished in 2025-2026.</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CFPB Supervision and Examination Manual, Compliance Management Review (CMR), CMR module (board and senior management). </w:t>
      </w:r>
      <w:r>
        <w:rPr>
          <w:rFonts w:ascii="Arial" w:cs="Arial" w:eastAsia="Arial" w:hAnsi="Arial"/>
          <w:i/>
          <w:iCs/>
          <w:color w:val="595959"/>
          <w:sz w:val="18"/>
          <w:szCs w:val="18"/>
        </w:rPr>
        <w:t xml:space="preserve">Agency: CFPB.</w:t>
      </w:r>
      <w:r>
        <w:rPr>
          <w:rFonts w:ascii="Arial" w:cs="Arial" w:eastAsia="Arial" w:hAnsi="Arial"/>
          <w:i/>
          <w:iCs/>
          <w:color w:val="595959"/>
          <w:sz w:val="18"/>
          <w:szCs w:val="18"/>
        </w:rPr>
        <w:t xml:space="preserve"> Note: As of June 2026 the CFPB operates under a 'Humility in Supervision Pledge' (announced Nov. 21, 2025) with far fewer, narrower exams focused on servicemembers/veterans and clear statutory authority, MRAs limited to pattern-and-practice violations with identifiable consumer harm, and deference to other regulators. Operative board-level consumer-compliance pressure on GSIB IDIs now comes mainly from the prudential regulators (OCC/FDIC/FRB).</w:t>
      </w:r>
    </w:p>
    <w:p>
      <w:pPr>
        <w:keepNext/>
        <w:spacing w:after="20" w:before="120"/>
      </w:pPr>
      <w:r>
        <w:rPr>
          <w:rFonts w:ascii="Arial" w:cs="Arial" w:eastAsia="Arial" w:hAnsi="Arial"/>
          <w:b/>
          <w:bCs/>
          <w:color w:val="1F3864"/>
          <w:sz w:val="21"/>
          <w:szCs w:val="21"/>
        </w:rPr>
        <w:t xml:space="preserve">CON-09  —  Full board or compliance/risk committee</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is expected to ensure the CMS covers fair-lending risk (ECOA/Reg B, FHA, HMDA/Reg C), receive fair-lending risk assessments, monitoring, and audit results, and provide credible challenge; examiners assess board/management oversight of fair-lending risk as part of the CMS.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Interagency Fair Lending Examination Procedures; consumer-compliance manuals (OCC CMS booklet; FDIC CEM; SR 08-8), Fair-lending exam procedures; CMS expectations. </w:t>
      </w:r>
      <w:r>
        <w:rPr>
          <w:rFonts w:ascii="Arial" w:cs="Arial" w:eastAsia="Arial" w:hAnsi="Arial"/>
          <w:i/>
          <w:iCs/>
          <w:color w:val="595959"/>
          <w:sz w:val="18"/>
          <w:szCs w:val="18"/>
        </w:rPr>
        <w:t xml:space="preserve">Agency: Interagency (OCC/FDIC/FRB).</w:t>
      </w:r>
      <w:r>
        <w:rPr>
          <w:rFonts w:ascii="Arial" w:cs="Arial" w:eastAsia="Arial" w:hAnsi="Arial"/>
          <w:i/>
          <w:iCs/>
          <w:color w:val="595959"/>
          <w:sz w:val="18"/>
          <w:szCs w:val="18"/>
        </w:rPr>
        <w:t xml:space="preserve"> Note: Fair-lending oversight is embedded in CMS expectations rather than a standalone board mandate.</w:t>
      </w:r>
    </w:p>
    <w:p>
      <w:pPr>
        <w:keepNext/>
        <w:spacing w:after="20" w:before="120"/>
      </w:pPr>
      <w:r>
        <w:rPr>
          <w:rFonts w:ascii="Arial" w:cs="Arial" w:eastAsia="Arial" w:hAnsi="Arial"/>
          <w:b/>
          <w:bCs/>
          <w:color w:val="1F3864"/>
          <w:sz w:val="21"/>
          <w:szCs w:val="21"/>
        </w:rPr>
        <w:t xml:space="preserve">CON-10  —  Full board (or equivalent oversight body)</w:t>
      </w:r>
      <w:r>
        <w:rPr>
          <w:rFonts w:ascii="Arial" w:cs="Arial" w:eastAsia="Arial" w:hAnsi="Arial"/>
          <w:b/>
          <w:bCs/>
          <w:color w:val="BF8F00"/>
          <w:sz w:val="19"/>
          <w:szCs w:val="19"/>
        </w:rPr>
        <w:t xml:space="preserve">  [ACTIVE ON PAPER; LIGHTLY ENFORCED]</w:t>
      </w:r>
    </w:p>
    <w:p>
      <w:pPr>
        <w:spacing w:after="30"/>
      </w:pPr>
      <w:r>
        <w:rPr>
          <w:rFonts w:ascii="Arial" w:cs="Arial" w:eastAsia="Arial" w:hAnsi="Arial"/>
          <w:sz w:val="21"/>
          <w:szCs w:val="21"/>
        </w:rPr>
        <w:t xml:space="preserve">In a depository institution the board is ultimately responsible for developing and administering a compliance management system that ensures compliance with Federal consumer financial laws and minimizes consumer-harm risk; oversight is assessed for commitment, change management, risk comprehension, self-identification, corrective action, resources, staff accountability, and service-provider oversight.</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CFPB Supervision and Examination Manual, Compliance Management Review, Module 1, CMR Module 1 (local ll. ~2878-2949). </w:t>
      </w:r>
      <w:r>
        <w:rPr>
          <w:rFonts w:ascii="Arial" w:cs="Arial" w:eastAsia="Arial" w:hAnsi="Arial"/>
          <w:i/>
          <w:iCs/>
          <w:color w:val="595959"/>
          <w:sz w:val="18"/>
          <w:szCs w:val="18"/>
        </w:rPr>
        <w:t xml:space="preserve">Agency: CFPB.</w:t>
      </w:r>
      <w:r>
        <w:rPr>
          <w:rFonts w:ascii="Arial" w:cs="Arial" w:eastAsia="Arial" w:hAnsi="Arial"/>
          <w:i/>
          <w:iCs/>
          <w:color w:val="595959"/>
          <w:sz w:val="18"/>
          <w:szCs w:val="18"/>
        </w:rPr>
        <w:t xml:space="preserve"> Note: See CON-08 currency flag (CFPB Humility Pledge posture).</w:t>
      </w:r>
    </w:p>
    <w:p>
      <w:pPr>
        <w:keepNext/>
        <w:spacing w:after="20" w:before="120"/>
      </w:pPr>
      <w:r>
        <w:rPr>
          <w:rFonts w:ascii="Arial" w:cs="Arial" w:eastAsia="Arial" w:hAnsi="Arial"/>
          <w:b/>
          <w:bCs/>
          <w:color w:val="1F3864"/>
          <w:sz w:val="21"/>
          <w:szCs w:val="21"/>
        </w:rPr>
        <w:t xml:space="preserve">CON-11  —  Full board; audit committee; risk committee</w:t>
      </w:r>
      <w:r>
        <w:rPr>
          <w:rFonts w:ascii="Arial" w:cs="Arial" w:eastAsia="Arial" w:hAnsi="Arial"/>
          <w:b/>
          <w:bCs/>
          <w:color w:val="BF8F00"/>
          <w:sz w:val="19"/>
          <w:szCs w:val="19"/>
        </w:rPr>
        <w:t xml:space="preserve">  [ACTIVE ON PAPER; LIGHTLY ENFORCED]</w:t>
      </w:r>
    </w:p>
    <w:p>
      <w:pPr>
        <w:spacing w:after="30"/>
      </w:pPr>
      <w:r>
        <w:rPr>
          <w:rFonts w:ascii="Arial" w:cs="Arial" w:eastAsia="Arial" w:hAnsi="Arial"/>
          <w:sz w:val="21"/>
          <w:szCs w:val="21"/>
        </w:rPr>
        <w:t xml:space="preserve">Examiners review board minutes, delegated board-committee responsibilities for compliance, management-committee reporting to the board, a formal board/committee-adopted compliance program, the compliance budget, the chief compliance officer's independent access to directors, and board coverage of sales practices, performance goals/quotas, and incentive structures.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CFPB Supervision and Examination Manual, Compliance Management Review, CMR procedures (local ll. ~2991-3065). </w:t>
      </w:r>
      <w:r>
        <w:rPr>
          <w:rFonts w:ascii="Arial" w:cs="Arial" w:eastAsia="Arial" w:hAnsi="Arial"/>
          <w:i/>
          <w:iCs/>
          <w:color w:val="595959"/>
          <w:sz w:val="18"/>
          <w:szCs w:val="18"/>
        </w:rPr>
        <w:t xml:space="preserve">Agency: CFPB.</w:t>
      </w:r>
      <w:r>
        <w:rPr>
          <w:rFonts w:ascii="Arial" w:cs="Arial" w:eastAsia="Arial" w:hAnsi="Arial"/>
          <w:i/>
          <w:iCs/>
          <w:color w:val="595959"/>
          <w:sz w:val="18"/>
          <w:szCs w:val="18"/>
        </w:rPr>
        <w:t xml:space="preserve"> Note: Specifically names audit and risk committees; links consumer compliance to incentive compensation.</w:t>
      </w:r>
    </w:p>
    <w:p>
      <w:pPr>
        <w:keepNext/>
        <w:spacing w:after="20" w:before="120"/>
      </w:pPr>
      <w:r>
        <w:rPr>
          <w:rFonts w:ascii="Arial" w:cs="Arial" w:eastAsia="Arial" w:hAnsi="Arial"/>
          <w:b/>
          <w:bCs/>
          <w:color w:val="1F3864"/>
          <w:sz w:val="21"/>
          <w:szCs w:val="21"/>
        </w:rPr>
        <w:t xml:space="preserve">CON-12  —  Board or designated committee</w:t>
      </w:r>
      <w:r>
        <w:rPr>
          <w:rFonts w:ascii="Arial" w:cs="Arial" w:eastAsia="Arial" w:hAnsi="Arial"/>
          <w:b/>
          <w:bCs/>
          <w:color w:val="BF8F00"/>
          <w:sz w:val="19"/>
          <w:szCs w:val="19"/>
        </w:rPr>
        <w:t xml:space="preserve">  [ACTIVE ON PAPER; LIGHTLY ENFORCED]</w:t>
      </w:r>
    </w:p>
    <w:p>
      <w:pPr>
        <w:spacing w:after="30"/>
      </w:pPr>
      <w:r>
        <w:rPr>
          <w:rFonts w:ascii="Arial" w:cs="Arial" w:eastAsia="Arial" w:hAnsi="Arial"/>
          <w:sz w:val="21"/>
          <w:szCs w:val="21"/>
        </w:rPr>
        <w:t xml:space="preserve">A compliance audit, independent of compliance and business functions, should give the board (or a designated committee) a determination of whether board-adopted policies and procedures are implemented and followed; monitoring and audit findings should be escalated to management and the board as appropriate.</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CFPB Supervision and Examination Manual, Compliance Management Review, CMR Monitoring/Audit (local ll. ~3354-3401). </w:t>
      </w:r>
      <w:r>
        <w:rPr>
          <w:rFonts w:ascii="Arial" w:cs="Arial" w:eastAsia="Arial" w:hAnsi="Arial"/>
          <w:i/>
          <w:iCs/>
          <w:color w:val="595959"/>
          <w:sz w:val="18"/>
          <w:szCs w:val="18"/>
        </w:rPr>
        <w:t xml:space="preserve">Agency: CFPB.</w:t>
      </w:r>
    </w:p>
    <w:p>
      <w:pPr>
        <w:keepNext/>
        <w:spacing w:after="20" w:before="120"/>
      </w:pPr>
      <w:r>
        <w:rPr>
          <w:rFonts w:ascii="Arial" w:cs="Arial" w:eastAsia="Arial" w:hAnsi="Arial"/>
          <w:b/>
          <w:bCs/>
          <w:color w:val="1F3864"/>
          <w:sz w:val="21"/>
          <w:szCs w:val="21"/>
        </w:rPr>
        <w:t xml:space="preserve">CON-13  —  Full board</w:t>
      </w:r>
      <w:r>
        <w:rPr>
          <w:rFonts w:ascii="Arial" w:cs="Arial" w:eastAsia="Arial" w:hAnsi="Arial"/>
          <w:b/>
          <w:bCs/>
          <w:color w:val="BF8F00"/>
          <w:sz w:val="19"/>
          <w:szCs w:val="19"/>
        </w:rPr>
        <w:t xml:space="preserve"/>
      </w:r>
    </w:p>
    <w:p>
      <w:pPr>
        <w:spacing w:after="30"/>
      </w:pPr>
      <w:r>
        <w:rPr>
          <w:rFonts w:ascii="Arial" w:cs="Arial" w:eastAsia="Arial" w:hAnsi="Arial"/>
          <w:sz w:val="21"/>
          <w:szCs w:val="21"/>
        </w:rPr>
        <w:t xml:space="preserve">Board should oversee the consumer compliance management system; larger, more complex banks should receive periodic state-of-compliance reports; the board is responsible for a culture prioritizing compliance and confirming internal controls.</w:t>
      </w:r>
    </w:p>
    <w:p>
      <w:pPr>
        <w:spacing w:after="12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The Director's Book (2020), Consumer compliance (local ll. ~3442-3473, 3895-3901). </w:t>
      </w:r>
      <w:r>
        <w:rPr>
          <w:rFonts w:ascii="Arial" w:cs="Arial" w:eastAsia="Arial" w:hAnsi="Arial"/>
          <w:i/>
          <w:iCs/>
          <w:color w:val="595959"/>
          <w:sz w:val="18"/>
          <w:szCs w:val="18"/>
        </w:rPr>
        <w:t xml:space="preserve">Agency: OCC.</w:t>
      </w:r>
      <w:r>
        <w:rPr>
          <w:rFonts w:ascii="Arial" w:cs="Arial" w:eastAsia="Arial" w:hAnsi="Arial"/>
          <w:i/>
          <w:iCs/>
          <w:color w:val="595959"/>
          <w:sz w:val="18"/>
          <w:szCs w:val="18"/>
        </w:rPr>
        <w:t xml:space="preserve"> Note: OCC IDI complement to the OCC CMS booklet and SR 08-8.</w:t>
      </w:r>
    </w:p>
    <w:p>
      <w:r>
        <w:br w:type="page"/>
      </w:r>
    </w:p>
    <w:p>
      <w:pPr>
        <w:pStyle w:val="Heading1"/>
      </w:pPr>
      <w:r>
        <w:t xml:space="preserve">5. Currency log — 2025–2026 developments</w:t>
      </w:r>
    </w:p>
    <w:p>
      <w:pPr>
        <w:spacing w:after="120" w:before="0"/>
      </w:pPr>
      <w:r>
        <w:rPr>
          <w:rFonts w:ascii="Arial" w:cs="Arial" w:eastAsia="Arial" w:hAnsi="Arial"/>
          <w:sz w:val="22"/>
          <w:szCs w:val="22"/>
        </w:rPr>
        <w:t xml:space="preserve">The following developments, in chronological order, change either the existence or the practical weight of board-level supervisory expectations catalogued above. Items are reflected in the per-entry status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360"/>
        <w:gridCol w:w="2300"/>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Date</w:t>
            </w:r>
          </w:p>
        </w:tc>
        <w:tc>
          <w:tcPr>
            <w:tcW w:type="dxa" w:w="2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Development</w:t>
            </w:r>
          </w:p>
        </w:tc>
        <w:tc>
          <w:tcPr>
            <w:tcW w:type="dxa" w:w="33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Detail</w:t>
            </w:r>
          </w:p>
        </w:tc>
        <w:tc>
          <w:tcPr>
            <w:tcW w:type="dxa" w:w="2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Effect on board expectations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2025</w:t>
            </w:r>
          </w:p>
        </w:tc>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Climate-risk principles withdrawn</w:t>
            </w:r>
          </w:p>
        </w:tc>
        <w:tc>
          <w:tcPr>
            <w:tcW w:type="dxa" w:w="3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The agencies withdrew the 2023 Interagency Principles for Climate-Related Financial Risk Management for Large Financial Institutions in 2025 (OCC news release nr-ia-2025-103).</w:t>
            </w:r>
          </w:p>
        </w:tc>
        <w:tc>
          <w:tcPr>
            <w:tcW w:type="dxa" w:w="2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Removes the board-level climate-risk governance expectations that the 2023 principles had placed on large-firm boards.</w:t>
            </w:r>
          </w:p>
        </w:tc>
      </w:tr>
      <w:tr>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5"/>
                <w:szCs w:val="15"/>
              </w:rPr>
              <w:t xml:space="preserve">2025</w:t>
            </w:r>
          </w:p>
        </w:tc>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5"/>
                <w:szCs w:val="15"/>
              </w:rPr>
              <w:t xml:space="preserve">Fed senior-management companion guidance not finalized</w:t>
            </w:r>
          </w:p>
        </w:tc>
        <w:tc>
          <w:tcPr>
            <w:tcW w:type="dxa" w:w="33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The Federal Reserve proposed but has not finalized companion guidance on senior-management responsibilities intended to complete the board/management division of labor underlying SR 21-3.</w:t>
            </w:r>
          </w:p>
        </w:tc>
        <w:tc>
          <w:tcPr>
            <w:tcW w:type="dxa" w:w="2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Leaves the board/management boundary incompletely defined; firms must infer the line from SR 21-3 alone.</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2025-03</w:t>
            </w:r>
          </w:p>
        </w:tc>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FDIC proposed corporate-governance guidelines withdrawn</w:t>
            </w:r>
          </w:p>
        </w:tc>
        <w:tc>
          <w:tcPr>
            <w:tcW w:type="dxa" w:w="3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The FDIC withdrew its October 2023 proposed corporate-governance and risk-management guidelines (Part 364 appendix), which would have imposed a stricter board standard (including a duty to 'confirm' compliance and a majority-independent board). Directors McKernan and Hill had dissented, citing SR 21-3/SR 16-11 as the appropriate oversight standard.</w:t>
            </w:r>
          </w:p>
        </w:tc>
        <w:tc>
          <w:tcPr>
            <w:tcW w:type="dxa" w:w="2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Removes a would-have-been stricter IDI-level board standard; SR 21-3 and SR 16-11 remain the reference points for the board's oversight (not outcome-guarantee) role.</w:t>
            </w:r>
          </w:p>
        </w:tc>
      </w:tr>
      <w:tr>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5"/>
                <w:szCs w:val="15"/>
              </w:rPr>
              <w:t xml:space="preserve">2025-06</w:t>
            </w:r>
          </w:p>
        </w:tc>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5"/>
                <w:szCs w:val="15"/>
              </w:rPr>
              <w:t xml:space="preserve">Reputational risk removed from FRB supervision</w:t>
            </w:r>
          </w:p>
        </w:tc>
        <w:tc>
          <w:tcPr>
            <w:tcW w:type="dxa" w:w="33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FRB announced (June 23, 2025) elimination of 'reputational risk' from examination programs; implemented via Oct. 1, 2025 revisions to SR 12-17, SR 14-8, and SR 08-8 (and other letters). Board governance duties otherwise intact.</w:t>
            </w:r>
          </w:p>
        </w:tc>
        <w:tc>
          <w:tcPr>
            <w:tcW w:type="dxa" w:w="2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Narrows scope of stresses/risks board oversight must address; symbolic of the deregulatory trajectory.</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2025-06</w:t>
            </w:r>
          </w:p>
        </w:tc>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Wells Fargo asset cap lifted</w:t>
            </w:r>
          </w:p>
        </w:tc>
        <w:tc>
          <w:tcPr>
            <w:tcW w:type="dxa" w:w="3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The 2018 board-effectiveness-linked Federal Reserve consent-order asset cap on Wells Fargo was lifted (June 2025).</w:t>
            </w:r>
          </w:p>
        </w:tc>
        <w:tc>
          <w:tcPr>
            <w:tcW w:type="dxa" w:w="2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Signals reduced supervisory posture on governance-remediation enforcement.</w:t>
            </w:r>
          </w:p>
        </w:tc>
      </w:tr>
      <w:tr>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5"/>
                <w:szCs w:val="15"/>
              </w:rPr>
              <w:t xml:space="preserve">2025-08-31</w:t>
            </w:r>
          </w:p>
        </w:tc>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5"/>
                <w:szCs w:val="15"/>
              </w:rPr>
              <w:t xml:space="preserve">FFIEC Cybersecurity Assessment Tool (CAT) sunset</w:t>
            </w:r>
          </w:p>
        </w:tc>
        <w:tc>
          <w:tcPr>
            <w:tcW w:type="dxa" w:w="33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CAT retired Aug. 31, 2025 (announced Aug. 29, 2024; SR 24-7; OCC Bulletin 2024-25). No 1:1 replacement; institutions pointed to NIST CSF 2.0, CRI Cyber Profile, CIS Controls, CISA CPGs.</w:t>
            </w:r>
          </w:p>
        </w:tc>
        <w:tc>
          <w:tcPr>
            <w:tcW w:type="dxa" w:w="2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Any board expectation premised on CAT completion/reporting is no longer current; IT Handbook and 12 CFR 30 App. B remain the baseline.</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2025-10-30</w:t>
            </w:r>
          </w:p>
        </w:tc>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FDIC/OCC 'unsafe or unsound practice' &amp; MRA NPRM</w:t>
            </w:r>
          </w:p>
        </w:tc>
        <w:tc>
          <w:tcPr>
            <w:tcW w:type="dxa" w:w="3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Joint NPRM (90 FR 48835 / OCC Bulletin 2025-29) would define 'unsafe or unsound practice' to require likely material financial harm — stating that acts relevant to management, governance, or controls will not be 'unsafe or unsound' absent likely financial impact — and constrain MRAs. Comments closed Dec. 29, 2025; finalization expected 2026.</w:t>
            </w:r>
          </w:p>
        </w:tc>
        <w:tc>
          <w:tcPr>
            <w:tcW w:type="dxa" w:w="2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If finalized, materially weakens the supervisory leverage behind governance-only board findings.</w:t>
            </w:r>
          </w:p>
        </w:tc>
      </w:tr>
      <w:tr>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5"/>
                <w:szCs w:val="15"/>
              </w:rPr>
              <w:t xml:space="preserve">2025-11-05</w:t>
            </w:r>
          </w:p>
        </w:tc>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5"/>
                <w:szCs w:val="15"/>
              </w:rPr>
              <w:t xml:space="preserve">LFI rating framework amended</w:t>
            </w:r>
          </w:p>
        </w:tc>
        <w:tc>
          <w:tcPr>
            <w:tcW w:type="dxa" w:w="33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FRB adopted (6-1) revisions to the SR 19-3 LFI rating framework: 'ascetic principle' repealed (a single Deficient-1, including in Governance &amp; Controls, no longer makes a firm 'not well managed'); enforcement presumption for Deficient-1 removed. Federal Register 90 FR 51329 (Nov. 17, 2025).</w:t>
            </w:r>
          </w:p>
        </w:tc>
        <w:tc>
          <w:tcPr>
            <w:tcW w:type="dxa" w:w="2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Substantially lowers the consequence weight of board/governance findings for GSIBs.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2025-11-18</w:t>
            </w:r>
          </w:p>
        </w:tc>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FRB Supervisory Operating Principles</w:t>
            </w:r>
          </w:p>
        </w:tc>
        <w:tc>
          <w:tcPr>
            <w:tcW w:type="dxa" w:w="3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Examiners directed to focus on material financial risk, not processes/procedures/documentation that do not threaten safety and soundness; MRA/MRIA issuance standard tightened; nonbinding supervisory observations reinstated.</w:t>
            </w:r>
          </w:p>
        </w:tc>
        <w:tc>
          <w:tcPr>
            <w:tcW w:type="dxa" w:w="2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Functionally narrows enforcement of SR 21-3's process-oriented board expectations.</w:t>
            </w:r>
          </w:p>
        </w:tc>
      </w:tr>
      <w:tr>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5"/>
                <w:szCs w:val="15"/>
              </w:rPr>
              <w:t xml:space="preserve">2025-11-21</w:t>
            </w:r>
          </w:p>
        </w:tc>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5"/>
                <w:szCs w:val="15"/>
              </w:rPr>
              <w:t xml:space="preserve">CFPB 'Humility in Supervision Pledge'</w:t>
            </w:r>
          </w:p>
        </w:tc>
        <w:tc>
          <w:tcPr>
            <w:tcW w:type="dxa" w:w="33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CFPB Supervision Division announced a 'fundamentally different' 2026 exam cycle: ~50% fewer supervisory events, narrower scope, focus on servicemembers/veterans and clear statutory authority, MRAs limited to pattern-and-practice violations with identifiable consumer harm, deference to other regulators, all-virtual/shorter exams.</w:t>
            </w:r>
          </w:p>
        </w:tc>
        <w:tc>
          <w:tcPr>
            <w:tcW w:type="dxa" w:w="2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CFPB CMS/CMR board expectations remain on the books but are lightly enforced; prudential regulators now carry the operative consumer-compliance board pressure on GSIB IDIs.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2025-12-23</w:t>
            </w:r>
          </w:p>
        </w:tc>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OCC Heightened Standards threshold NPRM</w:t>
            </w:r>
          </w:p>
        </w:tc>
        <w:tc>
          <w:tcPr>
            <w:tcW w:type="dxa" w:w="3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OCC Bulletin 2025-51 proposes raising the 'covered bank' threshold for 12 CFR 30 App. D from $50B to $700B and invites comment on reducing prescriptiveness.</w:t>
            </w:r>
          </w:p>
        </w:tc>
        <w:tc>
          <w:tcPr>
            <w:tcW w:type="dxa" w:w="2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All eight GSIB lead IDIs would remain covered; mid-size banks ($50B-$700B) would fall out. Possible substantive softening of Section III board standards.</w:t>
            </w:r>
          </w:p>
        </w:tc>
      </w:tr>
      <w:tr>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5"/>
                <w:szCs w:val="15"/>
              </w:rPr>
              <w:t xml:space="preserve">2026-02-04</w:t>
            </w:r>
          </w:p>
        </w:tc>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5"/>
                <w:szCs w:val="15"/>
              </w:rPr>
              <w:t xml:space="preserve">Stress Capital Buffer frozen</w:t>
            </w:r>
          </w:p>
        </w:tc>
        <w:tc>
          <w:tcPr>
            <w:tcW w:type="dxa" w:w="33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FRB voted to maintain current SCB requirements until 2027, when new requirements will be calculated on models revised after public feedback. Oct. 2025 stress-test transparency NPRs and Apr. 2025 SCB-volatility proposal affect process/calculation, not board duties.</w:t>
            </w:r>
          </w:p>
        </w:tc>
        <w:tc>
          <w:tcPr>
            <w:tcW w:type="dxa" w:w="2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Holds constant the requirement the board's post-stress capital goals must clear; board approval/oversight duties unchanged.</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2026-04-01</w:t>
            </w:r>
          </w:p>
        </w:tc>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OCC recovery-planning guidelines (App. E) rescinded</w:t>
            </w:r>
          </w:p>
        </w:tc>
        <w:tc>
          <w:tcPr>
            <w:tcW w:type="dxa" w:w="3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Final rule 91 FR 16156 (Apr. 1, 2026), effective May 1, 2026; OCC Bulletin 2026-10 also rescinded the Comptroller's Handbook 'Recovery Planning' booklet and OCC Bulletins 2025-35, 2024-31, 2024-16, 2018-47. OCC will no longer require or examine for recovery-planning documentation.</w:t>
            </w:r>
          </w:p>
        </w:tc>
        <w:tc>
          <w:tcPr>
            <w:tcW w:type="dxa" w:w="2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Eliminates the OCC IDI-level board duty to review/approve the recovery plan. BHC-level recovery planning continues under FRB SR 14-8.</w:t>
            </w:r>
          </w:p>
        </w:tc>
      </w:tr>
      <w:tr>
        <w:tc>
          <w:tcPr>
            <w:tcW w:type="dxa" w:w="1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5"/>
                <w:szCs w:val="15"/>
              </w:rPr>
              <w:t xml:space="preserve">2026-04-10</w:t>
            </w:r>
          </w:p>
        </w:tc>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5"/>
                <w:szCs w:val="15"/>
              </w:rPr>
              <w:t xml:space="preserve">AML/CFT program-rule reproposal</w:t>
            </w:r>
          </w:p>
        </w:tc>
        <w:tc>
          <w:tcPr>
            <w:tcW w:type="dxa" w:w="33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FinCEN NPRM (91 FR 18704) plus companion banking-agency NPRMs (FR Doc. 2026-06948) reproposed the AML/CFT program rule; the 2024 NPRM is withdrawn/superseded. Comments due June 9, 2026. The reproposal restores flexibility on who approves the program (board, equivalent governing body, or senior management).</w:t>
            </w:r>
          </w:p>
        </w:tc>
        <w:tc>
          <w:tcPr>
            <w:tcW w:type="dxa" w:w="2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No change to current obligations (existing board-approval + minute-notation rules remain in force); watch for a final rule after June 9, 2026.</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2026-04-17</w:t>
            </w:r>
          </w:p>
        </w:tc>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Model risk management guidance replaced</w:t>
            </w:r>
          </w:p>
        </w:tc>
        <w:tc>
          <w:tcPr>
            <w:tcW w:type="dxa" w:w="3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SR 26-2 / OCC Bulletin 2026-13 superseded SR 11-7, SR 21-8, OCC 2011-12, OCC 2021-19, OCC 1997-24, and the OCC MRM Handbook booklet with a principles-based, &gt;$30B-scoped framework that does not set enforceable standards.</w:t>
            </w:r>
          </w:p>
        </w:tc>
        <w:tc>
          <w:tcPr>
            <w:tcW w:type="dxa" w:w="2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Eliminates SR 11-7's explicit board-level model-risk duties (board approval of MRM policy, board-set model-risk tolerance, mandatory board reporting).</w:t>
            </w:r>
          </w:p>
        </w:tc>
      </w:tr>
    </w:tbl>
    <w:p>
      <w:r>
        <w:br w:type="page"/>
      </w:r>
    </w:p>
    <w:p>
      <w:pPr>
        <w:pStyle w:val="Heading1"/>
      </w:pPr>
      <w:r>
        <w:t xml:space="preserve">6. Cross-cutting observations for reform</w:t>
      </w:r>
    </w:p>
    <w:p>
      <w:pPr>
        <w:pStyle w:val="Heading2"/>
      </w:pPr>
      <w:r>
        <w:t xml:space="preserve">6.1 Duplication of the same underlying board act across domains and agencies</w:t>
      </w:r>
    </w:p>
    <w:p>
      <w:pPr>
        <w:spacing w:after="120" w:before="0"/>
      </w:pPr>
      <w:r>
        <w:rPr>
          <w:rFonts w:ascii="Arial" w:cs="Arial" w:eastAsia="Arial" w:hAnsi="Arial"/>
          <w:sz w:val="22"/>
          <w:szCs w:val="22"/>
        </w:rPr>
        <w:t xml:space="preserve">Several board behaviors recur, under separately citable sources, across most domains. Approval of a risk-appetite or risk-tolerance statement is independently required by SR 21-3 (enterprise risk appetite), the OCC Heightened Standards (annual risk-appetite statement), Regulation YY (liquidity risk tolerance), and the interagency operational-resilience paper (tolerance for disruption) — four separate sources for one conceptual act. Approval of a written program or policy appears for the capital plan (SR 21-3; SR 15-18; 12 CFR 225.8), the information security program (FFIEC IT Handbook; 12 CFR part 30 Appendix B), the BSA/AML program (FFIEC manual; agency program rules), the consumer-compliance management system (OCC and FDIC manuals; SR 08-8), the third-party risk-management policies (SR 23-4), and incentive-compensation policies (2010 interagency guidance; OCC Appendix D). Periodic receipt of management reporting is separately specified for capital (quarterly), liquidity (quarterly and semi-annual), risk profile versus appetite (quarterly), information security (annual), BSA status, and consumer compliance. Consolidating these into a single, cross-referenced statement of recurring board acts would reduce citation burden without reducing substantive oversight.</w:t>
      </w:r>
    </w:p>
    <w:p>
      <w:pPr>
        <w:pStyle w:val="Heading2"/>
      </w:pPr>
      <w:r>
        <w:t xml:space="preserve">6.2 Inconsistent allocation between the full board and committees</w:t>
      </w:r>
    </w:p>
    <w:p>
      <w:pPr>
        <w:spacing w:after="120" w:before="0"/>
      </w:pPr>
      <w:r>
        <w:rPr>
          <w:rFonts w:ascii="Arial" w:cs="Arial" w:eastAsia="Arial" w:hAnsi="Arial"/>
          <w:sz w:val="22"/>
          <w:szCs w:val="22"/>
        </w:rPr>
        <w:t xml:space="preserve">Guidance allocates conceptually similar duties to different bodies. The contingency funding plan must be approved by the risk committee (Regulation YY 252.34(b)); the capital policy may be approved by ‘the board or a designated committee’ (SR 15-18; 225.8); the recovery plan was to be approved by ‘the board or an appropriate committee’ (former OCC Appendix E; FRB SR 14-8); the information security program may be approved by ‘the board or an appropriate committee’ (12 CFR part 30 Appendix B); and incentive-compensation oversight runs to ‘the board or its compensation committee’ (2010 guidance). The result is that the same firm must map an inconsistent patchwork of ‘board,’ ‘board or committee,’ and ‘named committee’ requirements onto its committee charters. A uniform default — e.g., permitting delegation to a designated committee unless a specific safety-and-soundness reason requires full-board action — would rationalize the structure.</w:t>
      </w:r>
    </w:p>
    <w:p>
      <w:pPr>
        <w:pStyle w:val="Heading2"/>
      </w:pPr>
      <w:r>
        <w:t xml:space="preserve">6.3 Fragmented director-independence and inside/outside expectations</w:t>
      </w:r>
    </w:p>
    <w:p>
      <w:pPr>
        <w:spacing w:after="120" w:before="0"/>
      </w:pPr>
      <w:r>
        <w:rPr>
          <w:rFonts w:ascii="Arial" w:cs="Arial" w:eastAsia="Arial" w:hAnsi="Arial"/>
          <w:sz w:val="22"/>
          <w:szCs w:val="22"/>
        </w:rPr>
        <w:t xml:space="preserve">Director-independence expectations are neither uniform nor consolidated. The OCC Heightened Standards require at least two independent directors and that each director exercise independent judgment (12 CFR part 30 Appendix D, III.C–D); Regulation YY requires the risk committee to include at least one independent director with risk-management experience (252.33); and SR 21-3 calls for an empowered lead independent director or independent chair to check executive (inside) directors. The FDIC director materials emphasize each director’s independence and the avoidance of insider transactions. Beyond these, most supervisory expectations speak to ‘the board of directors’ as a body and draw no inside/outside distinction. A single consolidated independence standard for Category I boards would eliminate the need to reconcile three differently worded requirements.</w:t>
      </w:r>
    </w:p>
    <w:p>
      <w:pPr>
        <w:pStyle w:val="Heading2"/>
      </w:pPr>
      <w:r>
        <w:t xml:space="preserve">6.4 The 2025–2026 deregulatory thinning</w:t>
      </w:r>
    </w:p>
    <w:p>
      <w:pPr>
        <w:spacing w:after="120" w:before="0"/>
      </w:pPr>
      <w:r>
        <w:rPr>
          <w:rFonts w:ascii="Arial" w:cs="Arial" w:eastAsia="Arial" w:hAnsi="Arial"/>
          <w:sz w:val="22"/>
          <w:szCs w:val="22"/>
        </w:rPr>
        <w:t xml:space="preserve">Much of the recent change operates not by deleting board duties but by reducing their consequence. The LFI rating recalibration means a governance deficiency alone no longer makes a firm ‘not well managed’; the Supervisory Operating Principles steer examiners away from process-and-documentation findings; and the proposed redefinition of ‘unsafe or unsound practice’ would require likely material financial harm before a governance or controls matter can support criticism. Where duties were deleted outright — the OCC recovery-planning board approval and the explicit board duties in the former model-risk guidance — a residual expectation often survives through the OCC Heightened Standards risk-governance framework and firms’ own SR 21-3 practices, so the practical reduction in board work may be smaller than the formal rescissions suggest. Reform efforts should therefore distinguish formal repeal from changes in supervisory intensity, and should consider whether residual cross-references re-impose the same expectation.</w:t>
      </w:r>
    </w:p>
    <w:p>
      <w:pPr>
        <w:pStyle w:val="Heading2"/>
      </w:pPr>
      <w:r>
        <w:t xml:space="preserve">6.5 Candidates for consolidation or elimination</w:t>
      </w:r>
    </w:p>
    <w:p>
      <w:pPr>
        <w:pStyle w:val="ListParagraph"/>
        <w:numPr>
          <w:ilvl w:val="0"/>
          <w:numId w:val="2"/>
        </w:numPr>
        <w:spacing w:after="80"/>
      </w:pPr>
      <w:r>
        <w:rPr>
          <w:rFonts w:ascii="Arial" w:cs="Arial" w:eastAsia="Arial" w:hAnsi="Arial"/>
          <w:sz w:val="22"/>
          <w:szCs w:val="22"/>
        </w:rPr>
        <w:t xml:space="preserve">Risk-appetite approval: consolidate the four separate sources (SR 21-3, OCC Appendix D, Regulation YY, operational-resilience paper) into one cross-referenced board duty.</w:t>
      </w:r>
    </w:p>
    <w:p>
      <w:pPr>
        <w:pStyle w:val="ListParagraph"/>
        <w:numPr>
          <w:ilvl w:val="0"/>
          <w:numId w:val="2"/>
        </w:numPr>
        <w:spacing w:after="80"/>
      </w:pPr>
      <w:r>
        <w:rPr>
          <w:rFonts w:ascii="Arial" w:cs="Arial" w:eastAsia="Arial" w:hAnsi="Arial"/>
          <w:sz w:val="22"/>
          <w:szCs w:val="22"/>
        </w:rPr>
        <w:t xml:space="preserve">Program/policy approval and periodic reporting: replace domain-by-domain restatements with a single schedule of board approvals and reporting cadences.</w:t>
      </w:r>
    </w:p>
    <w:p>
      <w:pPr>
        <w:pStyle w:val="ListParagraph"/>
        <w:numPr>
          <w:ilvl w:val="0"/>
          <w:numId w:val="2"/>
        </w:numPr>
        <w:spacing w:after="80"/>
      </w:pPr>
      <w:r>
        <w:rPr>
          <w:rFonts w:ascii="Arial" w:cs="Arial" w:eastAsia="Arial" w:hAnsi="Arial"/>
          <w:sz w:val="22"/>
          <w:szCs w:val="22"/>
        </w:rPr>
        <w:t xml:space="preserve">Committee-allocation language: adopt a uniform ‘board or designated committee’ default across guidance, reserving full-board action for narrowly identified items.</w:t>
      </w:r>
    </w:p>
    <w:p>
      <w:pPr>
        <w:pStyle w:val="ListParagraph"/>
        <w:numPr>
          <w:ilvl w:val="0"/>
          <w:numId w:val="2"/>
        </w:numPr>
        <w:spacing w:after="80"/>
      </w:pPr>
      <w:r>
        <w:rPr>
          <w:rFonts w:ascii="Arial" w:cs="Arial" w:eastAsia="Arial" w:hAnsi="Arial"/>
          <w:sz w:val="22"/>
          <w:szCs w:val="22"/>
        </w:rPr>
        <w:t xml:space="preserve">Director independence: issue one consolidated independence expectation for Category I boards, superseding the OCC, Regulation YY, and SR 21-3 fragments.</w:t>
      </w:r>
    </w:p>
    <w:p>
      <w:pPr>
        <w:pStyle w:val="ListParagraph"/>
        <w:numPr>
          <w:ilvl w:val="0"/>
          <w:numId w:val="2"/>
        </w:numPr>
        <w:spacing w:after="80"/>
      </w:pPr>
      <w:r>
        <w:rPr>
          <w:rFonts w:ascii="Arial" w:cs="Arial" w:eastAsia="Arial" w:hAnsi="Arial"/>
          <w:sz w:val="22"/>
          <w:szCs w:val="22"/>
        </w:rPr>
        <w:t xml:space="preserve">Residual cross-references: after any rescission (e.g., model risk, recovery planning), confirm whether the Heightened Standards or LFI framework re-impose the same board expectation indirectly.</w:t>
      </w:r>
    </w:p>
    <w:p>
      <w:pPr>
        <w:pStyle w:val="Heading2"/>
      </w:pPr>
      <w:r>
        <w:t xml:space="preserve">6.6 The holding-company / IDI-subsidiary board tension</w:t>
      </w:r>
    </w:p>
    <w:p>
      <w:pPr>
        <w:spacing w:after="120" w:before="0"/>
      </w:pPr>
      <w:r>
        <w:rPr>
          <w:rFonts w:ascii="Arial" w:cs="Arial" w:eastAsia="Arial" w:hAnsi="Arial"/>
          <w:sz w:val="22"/>
          <w:szCs w:val="22"/>
        </w:rPr>
        <w:t xml:space="preserve">A structural feature distinct to the GSIB group is that supervisory expectations attach separately at the top-tier holding company (Federal Reserve) and at each insured-depository-institution subsidiary (OCC or FDIC). The OCC Director's Book makes the subsidiary bank board's primary duty the safe and sound operation of the bank, and instructs that the bank's interests must not be subordinated to the parent — to the point of dissenting on the record, retaining independent counsel or accountants, and contacting regulators where the parent's policies may harm the bank. Because GSIB directors frequently sit on both the parent and the bank boards, the same individuals carry potentially divergent duties, and the duty of loyalty runs to the bank. For reform, this raises two questions: whether parallel board-approval and oversight expectations at the parent and the IDI are duplicative when the boards substantially overlap, and whether the conflict-management expectations (dissent, independent advice) should be consolidated and clarified rather than left implicit across multiple sources.</w:t>
      </w:r>
    </w:p>
    <w:p>
      <w:r>
        <w:br w:type="page"/>
      </w:r>
    </w:p>
    <w:p>
      <w:pPr>
        <w:pStyle w:val="Heading1"/>
      </w:pPr>
      <w:r>
        <w:t xml:space="preserve">7. Inconsistencies, conflicts, and the examination-manual gap</w:t>
      </w:r>
    </w:p>
    <w:p>
      <w:pPr>
        <w:spacing w:after="120" w:before="0"/>
      </w:pPr>
      <w:r>
        <w:rPr>
          <w:rFonts w:ascii="Arial" w:cs="Arial" w:eastAsia="Arial" w:hAnsi="Arial"/>
          <w:sz w:val="22"/>
          <w:szCs w:val="22"/>
        </w:rPr>
        <w:t xml:space="preserve">Beyond duplication (Section 6.1), the guidance corpus contains genuine inconsistencies — places where two live sources state the board's duty differently, or where a source has been disclaimed for supervisory use without being withdrawn. For a reform effort, these are higher-value targets than mere repetition, because they create uncertainty about the actual standard of conduct.</w:t>
      </w:r>
    </w:p>
    <w:p>
      <w:pPr>
        <w:pStyle w:val="Heading2"/>
      </w:pPr>
      <w:r>
        <w:t xml:space="preserve">7.1 The intra-agency 'ensure' versus 'oversee' tension</w:t>
      </w:r>
    </w:p>
    <w:p>
      <w:pPr>
        <w:spacing w:after="120" w:before="0"/>
      </w:pPr>
      <w:r>
        <w:rPr>
          <w:rFonts w:ascii="Arial" w:cs="Arial" w:eastAsia="Arial" w:hAnsi="Arial"/>
          <w:sz w:val="22"/>
          <w:szCs w:val="22"/>
        </w:rPr>
        <w:t xml:space="preserve">The Federal Reserve's own corpus embeds an unresolved standard-of-conduct conflict. SR 12-17 describes board duties in outcome-oriented terms — the board should 'ensure' that senior management has the required expertise, 'ensure' that control functions are effective and independent, and 'maintain' a corporate culture — language that implies the board must guarantee results. SR 21-3 deliberately reframed the board's role in oversight terms: the board 'oversees,' 'sets direction,' and 'holds senior management accountable.' Critically, the SR 21-4 cleanup retained SR 12-17 without revision. The result is an open question — is robust oversight sufficient (SR 21-3), or must the board guarantee outcomes (SR 12-17)? The same fault line appeared in the OCC's heightened-standards rulemaking, where commenters objected that 'ensure' implied a guarantee and day-to-day involvement, leading the OCC to change 'ensure' to 'require' to align with the board's traditional strategic and oversight role. Harmonizing SR 12-17's verbs with SR 21-3 is a discrete, high-value reform.</w:t>
      </w:r>
    </w:p>
    <w:p>
      <w:pPr>
        <w:pStyle w:val="Heading2"/>
      </w:pPr>
      <w:r>
        <w:t xml:space="preserve">7.2 Examination manuals: disclaimed but not withdrawn</w:t>
      </w:r>
    </w:p>
    <w:p>
      <w:pPr>
        <w:spacing w:after="120" w:before="0"/>
      </w:pPr>
      <w:r>
        <w:rPr>
          <w:rFonts w:ascii="Arial" w:cs="Arial" w:eastAsia="Arial" w:hAnsi="Arial"/>
          <w:sz w:val="22"/>
          <w:szCs w:val="22"/>
        </w:rPr>
        <w:t xml:space="preserve">SR 21-4 instructed that firms should not rely on the examination manuals for board expectations and that examiners should not refer to them in governance assessments — yet the manuals were not formally withdrawn, and stale sections remain published. This creates an asymmetric-information gap between the published text and actual supervisory practice, compounded by the migration of examination procedures into non-public Examination Documentation modules. The Commercial Bank Examination Manual revision is in progress but incomplete: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Item</w:t>
            </w:r>
          </w:p>
        </w:tc>
        <w:tc>
          <w:tcPr>
            <w:tcW w:type="dxa" w:w="6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Detail</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SR 21-4 / CA 21-2 governing instruction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Firms should not rely on the examination manuals for board expectations, and examiners should not refer to them in governance assessments — but the manuals were not formally withdrawn, producing an 'asymmetric information' gap between published text and supervisory practice.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5"/>
                <w:szCs w:val="15"/>
              </w:rPr>
              <w:t xml:space="preserve">CBEM Supplement 53 (May 2021)</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5"/>
                <w:szCs w:val="15"/>
              </w:rPr>
              <w:t xml:space="preserve">Reorganized the Commercial Bank Examination Manual to align with CAMELS; removed Complex Wholesale Borrowings sections (SR 01-8 inactivated).</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CBEM Supplement 54 (May 2022)</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Eliminated numerous examination-procedure sections and migrated them to non-public Examination Documentation (ED) modules — reducing transparency of examiner criteria.</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5"/>
                <w:szCs w:val="15"/>
              </w:rPr>
              <w:t xml:space="preserve">CBEM Supplement 55 (Oct 2023)</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5"/>
                <w:szCs w:val="15"/>
              </w:rPr>
              <w:t xml:space="preserve">Revised Sections 1200.1 (CAMELS/Risk-Management Rating), 4012.1 (Risk-Management Processes for firms &gt;$100B), and 5300.1 (IT) to better reflect board and senior-management roles.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CBEM Supplement 56 (Feb 2026)</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Removed reputational risk from examination programs and further aligned content with SR 21-3 across capital, liquidity, credit-risk review, third-party, IT, and payment systems; confirmed reliance on ED modules and current interagency statements.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5"/>
                <w:szCs w:val="15"/>
              </w:rPr>
              <w:t xml:space="preserve">Stale sections not yet revised</w:t>
            </w:r>
          </w:p>
        </w:tc>
        <w:tc>
          <w:tcPr>
            <w:tcW w:type="dxa" w:w="6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5"/>
                <w:szCs w:val="15"/>
              </w:rPr>
              <w:t xml:space="preserve">CBEM 4000.1 (Apr 2020), 4000.2 (Nov 1995), and 4000.3 (Nov 2003) predate SR 21-3 and remain published but, per SR 21-4, should not be relied upon for board expectations; the BHC Supervision Manual lacks comparable published revision information.</w:t>
            </w:r>
          </w:p>
        </w:tc>
      </w:tr>
    </w:tbl>
    <w:p>
      <w:pPr>
        <w:pStyle w:val="Heading2"/>
      </w:pPr>
      <w:r>
        <w:t xml:space="preserve">7.3 Director-independence threshold divergence</w:t>
      </w:r>
    </w:p>
    <w:p>
      <w:pPr>
        <w:spacing w:after="120" w:before="0"/>
      </w:pPr>
      <w:r>
        <w:rPr>
          <w:rFonts w:ascii="Arial" w:cs="Arial" w:eastAsia="Arial" w:hAnsi="Arial"/>
          <w:sz w:val="22"/>
          <w:szCs w:val="22"/>
        </w:rPr>
        <w:t xml:space="preserve">Independence requirements differ across frameworks and organizational levels, so a single GSIB must reconcile multiple, non-uniform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Framework</w:t>
            </w:r>
          </w:p>
        </w:tc>
        <w:tc>
          <w:tcPr>
            <w:tcW w:type="dxa" w:w="62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Minimum independence requirement</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Federal Reserve SR 21-3 / CA 21-1</w:t>
            </w:r>
          </w:p>
        </w:tc>
        <w:tc>
          <w:tcPr>
            <w:tcW w:type="dxa" w:w="6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No numerical minimum; qualitative empowerment standard (empowered lead independent director or independent chair where the chair is an executive).</w:t>
            </w:r>
          </w:p>
        </w:tc>
      </w:tr>
      <w:tr>
        <w:tc>
          <w:tcPr>
            <w:tcW w:type="dxa" w:w="3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5"/>
                <w:szCs w:val="15"/>
              </w:rPr>
              <w:t xml:space="preserve">OCC Heightened Standards (12 CFR 30 App. D, III.D)</w:t>
            </w:r>
          </w:p>
        </w:tc>
        <w:tc>
          <w:tcPr>
            <w:tcW w:type="dxa" w:w="62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5"/>
                <w:szCs w:val="15"/>
              </w:rPr>
              <w:t xml:space="preserve">At least two independent directors (3-year no-officer/employee test; no immediate-family executive tie; independent under a national exchange's listing standards).</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Regulation YY (12 CFR 252.33)</w:t>
            </w:r>
          </w:p>
        </w:tc>
        <w:tc>
          <w:tcPr>
            <w:tcW w:type="dxa" w:w="6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Risk committee must include at least one independent director with risk-management experience.</w:t>
            </w:r>
          </w:p>
        </w:tc>
      </w:tr>
      <w:tr>
        <w:tc>
          <w:tcPr>
            <w:tcW w:type="dxa" w:w="3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5"/>
                <w:szCs w:val="15"/>
              </w:rPr>
              <w:t xml:space="preserve">12 CFR part 363 (IDI audit committee, &gt;=$1B)</w:t>
            </w:r>
          </w:p>
        </w:tc>
        <w:tc>
          <w:tcPr>
            <w:tcW w:type="dxa" w:w="62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5"/>
                <w:szCs w:val="15"/>
              </w:rPr>
              <w:t xml:space="preserve">Audit committee composed entirely of outside directors independent of management; for &gt;$3B, members with banking/financial expertise, access to outside counsel, and no large-customer members.</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5"/>
                <w:szCs w:val="15"/>
              </w:rPr>
              <w:t xml:space="preserve">FDIC 2023 proposed corporate-governance guidelines (WITHDRAWN March 2025)</w:t>
            </w:r>
          </w:p>
        </w:tc>
        <w:tc>
          <w:tcPr>
            <w:tcW w:type="dxa" w:w="6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5"/>
                <w:szCs w:val="15"/>
              </w:rPr>
              <w:t xml:space="preserve">Would have required a board majority independent of the bank and parent — withdrawn; never in force.</w:t>
            </w:r>
          </w:p>
        </w:tc>
      </w:tr>
    </w:tbl>
    <w:p>
      <w:pPr>
        <w:pStyle w:val="Heading2"/>
      </w:pPr>
      <w:r>
        <w:t xml:space="preserve">7.4 The FDIC withdrawn guidelines and the board/management boundary</w:t>
      </w:r>
    </w:p>
    <w:p>
      <w:pPr>
        <w:spacing w:after="120" w:before="0"/>
      </w:pPr>
      <w:r>
        <w:rPr>
          <w:rFonts w:ascii="Arial" w:cs="Arial" w:eastAsia="Arial" w:hAnsi="Arial"/>
          <w:sz w:val="22"/>
          <w:szCs w:val="22"/>
        </w:rPr>
        <w:t xml:space="preserve">In October 2023 the FDIC proposed corporate-governance and risk-management guidelines that would have imposed a notably stricter board standard — including a duty to 'confirm' compliance with all laws and regulations and a board majority independent of the bank and parent. Directors McKernan and Hill dissented, arguing that SR 21-3 and SR 16-11 — which place primary compliance responsibility with management and the board in an oversight role — were the appropriate standard. The FDIC withdrew the proposal in March 2025. The episode is instructive for reform: it shows an agency briefly proposing an outcome-guarantee board standard and then retreating, reinforcing the oversight (not outcome) model. A related, still-open gap is the Federal Reserve's companion guidance on senior-management responsibilities, which was proposed but never finalized — leaving the board/management boundary that SR 21-3 presupposes incompletely drawn.</w:t>
      </w:r>
    </w:p>
    <w:p>
      <w:pPr>
        <w:pStyle w:val="Heading2"/>
      </w:pPr>
      <w:r>
        <w:t xml:space="preserve">7.5 The holding-company / IDI split and the source-of-strength frame</w:t>
      </w:r>
    </w:p>
    <w:p>
      <w:pPr>
        <w:spacing w:after="120" w:before="0"/>
      </w:pPr>
      <w:r>
        <w:rPr>
          <w:rFonts w:ascii="Arial" w:cs="Arial" w:eastAsia="Arial" w:hAnsi="Arial"/>
          <w:sz w:val="22"/>
          <w:szCs w:val="22"/>
        </w:rPr>
        <w:t xml:space="preserve">The clearest structural tension is cross-level. The top-tier holding company is assessed by the Federal Reserve under the LFI rating framework while each IDI subsidiary is assessed by the OCC or FDIC under CAMELS — dual-track governance assessments of the same group, a structural feature of the Bank Holding Company Act rather than a drafting error. Two doctrines pull in opposite directions: the source-of-strength doctrine expects the parent (and its board) to support the subsidiary bank, while the OCC's 'sanctity of the charter' principle requires the IDI board to independently evaluate whether the parent's governance framework serves the bank's safety and soundness — to the point of dissenting and seeking independent advice (see entry SUB-01). Because GSIB directors frequently sit on both boards, the same individuals carry these competing duties simultaneously.</w:t>
      </w:r>
    </w:p>
    <w:p>
      <w:pPr>
        <w:pStyle w:val="Heading2"/>
      </w:pPr>
      <w:r>
        <w:t xml:space="preserve">7.6 Summary conflict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260"/>
        <w:gridCol w:w="160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Type</w:t>
            </w:r>
          </w:p>
        </w:tc>
        <w:tc>
          <w:tcPr>
            <w:tcW w:type="dxa" w:w="25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Sources in conflict</w:t>
            </w:r>
          </w:p>
        </w:tc>
        <w:tc>
          <w:tcPr>
            <w:tcW w:type="dxa" w:w="32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Nature</w:t>
            </w:r>
          </w:p>
        </w:tc>
        <w:tc>
          <w:tcPr>
            <w:tcW w:type="dxa" w:w="1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jc w:val="center"/>
            </w:pPr>
            <w:r>
              <w:rPr>
                <w:rFonts w:ascii="Arial" w:cs="Arial" w:eastAsia="Arial" w:hAnsi="Arial"/>
                <w:b/>
                <w:bCs/>
                <w:color w:val="FFFFFF"/>
                <w:sz w:val="17"/>
                <w:szCs w:val="17"/>
              </w:rPr>
              <w:t xml:space="preserve">Status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4"/>
                <w:szCs w:val="14"/>
              </w:rPr>
              <w:t xml:space="preserve">Inconsistent (intra-agency)</w:t>
            </w:r>
          </w:p>
        </w:tc>
        <w:tc>
          <w:tcPr>
            <w:tcW w:type="dxa" w:w="2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SR 12-17 ('ensure') vs. SR 21-3 ('oversee')</w:t>
            </w:r>
          </w:p>
        </w:tc>
        <w:tc>
          <w:tcPr>
            <w:tcW w:type="dxa" w:w="3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Different board obligation standard: outcome-oriented 'ensure/maintain' vs. oversight-focused 'oversee/hold accountable.' SR 21-4 retained SR 12-17 without revision.</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Unresolved</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4"/>
                <w:szCs w:val="14"/>
              </w:rPr>
              <w:t xml:space="preserve">Partially displaced (intra-agency)</w:t>
            </w:r>
          </w:p>
        </w:tc>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Fed examination manuals (CBEM/BHCSM) vs. SR 21-4</w:t>
            </w:r>
          </w:p>
        </w:tc>
        <w:tc>
          <w:tcPr>
            <w:tcW w:type="dxa" w:w="32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SR 21-4 directs firms not to rely on the manuals for board expectations and examiners not to refer to them in governance assessments, but the manuals are not formally withdrawn; stale sections remain published.</w:t>
            </w:r>
          </w:p>
        </w:tc>
        <w:tc>
          <w:tcPr>
            <w:tcW w:type="dxa" w:w="1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Revision ongoing; incomplete</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4"/>
                <w:szCs w:val="14"/>
              </w:rPr>
              <w:t xml:space="preserve">Unresolved (intra-agency)</w:t>
            </w:r>
          </w:p>
        </w:tc>
        <w:tc>
          <w:tcPr>
            <w:tcW w:type="dxa" w:w="2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SR 21-3 vs. absent senior-management companion guidance</w:t>
            </w:r>
          </w:p>
        </w:tc>
        <w:tc>
          <w:tcPr>
            <w:tcW w:type="dxa" w:w="3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The Fed proposed but has not finalized companion guidance on senior-management responsibilities, leaving the board/management boundary incompletely defined contrary to SR 21-3's design.</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Pending finalization</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4"/>
                <w:szCs w:val="14"/>
              </w:rPr>
              <w:t xml:space="preserve">Inconsistent (cross-agency)</w:t>
            </w:r>
          </w:p>
        </w:tc>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OCC (&gt;=2 independent directors) vs. Federal Reserve (qualitative empowerment)</w:t>
            </w:r>
          </w:p>
        </w:tc>
        <w:tc>
          <w:tcPr>
            <w:tcW w:type="dxa" w:w="32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Director-independence threshold divergence between the OCC Heightened Standards and SR 21-3.</w:t>
            </w:r>
          </w:p>
        </w:tc>
        <w:tc>
          <w:tcPr>
            <w:tcW w:type="dxa" w:w="1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Unresolved</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4"/>
                <w:szCs w:val="14"/>
              </w:rPr>
              <w:t xml:space="preserve">Misalignment (intra-agency)</w:t>
            </w:r>
          </w:p>
        </w:tc>
        <w:tc>
          <w:tcPr>
            <w:tcW w:type="dxa" w:w="2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Prior LFI 'well managed' methodology vs. other rating systems</w:t>
            </w:r>
          </w:p>
        </w:tc>
        <w:tc>
          <w:tcPr>
            <w:tcW w:type="dxa" w:w="3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Inconsistent 'well managed' determination methodology.</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Partially addressed by the Jan. 2026 LFI revision</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b/>
                <w:bCs/>
                <w:sz w:val="14"/>
                <w:szCs w:val="14"/>
              </w:rPr>
              <w:t xml:space="preserve">Duplicative (cross-level)</w:t>
            </w:r>
          </w:p>
        </w:tc>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Holding-company LFI framework vs. IDI CAMELS</w:t>
            </w:r>
          </w:p>
        </w:tc>
        <w:tc>
          <w:tcPr>
            <w:tcW w:type="dxa" w:w="32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Dual-track governance assessments of the same group — a structural feature of the Bank Holding Company Act and the separate-charter supervision model.</w:t>
            </w:r>
          </w:p>
        </w:tc>
        <w:tc>
          <w:tcPr>
            <w:tcW w:type="dxa" w:w="1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jc w:val="left"/>
            </w:pPr>
            <w:r>
              <w:rPr>
                <w:rFonts w:ascii="Arial" w:cs="Arial" w:eastAsia="Arial" w:hAnsi="Arial"/>
                <w:sz w:val="14"/>
                <w:szCs w:val="14"/>
              </w:rPr>
              <w:t xml:space="preserve">Structural</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b/>
                <w:bCs/>
                <w:sz w:val="14"/>
                <w:szCs w:val="14"/>
              </w:rPr>
              <w:t xml:space="preserve">Resolved overlap (note)</w:t>
            </w:r>
          </w:p>
        </w:tc>
        <w:tc>
          <w:tcPr>
            <w:tcW w:type="dxa" w:w="2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SR 13-19/CA 13-21 vs. 2023 Interagency TPRM Guidance</w:t>
            </w:r>
          </w:p>
        </w:tc>
        <w:tc>
          <w:tcPr>
            <w:tcW w:type="dxa" w:w="3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A prior analysis flagged concurrent TPRM board expectations; in fact SR 23-4 (2023) expressly rescinded SR 13-19/CA 13-21 (and OCC 2013-29, FDIC FIL-44-2008), so this overlap is resolved, not live.</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spacing w:after="0"/>
              <w:jc w:val="left"/>
            </w:pPr>
            <w:r>
              <w:rPr>
                <w:rFonts w:ascii="Arial" w:cs="Arial" w:eastAsia="Arial" w:hAnsi="Arial"/>
                <w:sz w:val="14"/>
                <w:szCs w:val="14"/>
              </w:rPr>
              <w:t xml:space="preserve">Resolved by SR 23-4 rescission</w:t>
            </w:r>
          </w:p>
        </w:tc>
      </w:tr>
    </w:tbl>
    <w:p>
      <w:pPr>
        <w:spacing w:after="120" w:before="0"/>
      </w:pPr>
      <w:r>
        <w:rPr>
          <w:rFonts w:ascii="Arial" w:cs="Arial" w:eastAsia="Arial" w:hAnsi="Arial"/>
          <w:i/>
          <w:iCs/>
          <w:color w:val="595959"/>
          <w:sz w:val="20"/>
          <w:szCs w:val="20"/>
        </w:rPr>
        <w:t xml:space="preserve">Note on a resolved overlap: a prior analysis flagged SR 13-19/CA 13-21 as a concurrent third-party-risk source overlapping the 2023 interagency guidance. In fact SR 23-4 (2023) expressly rescinded SR 13-19/CA 13-21 (and OCC Bulletin 2013-29 and FDIC FIL-44-2008), so that particular overlap is resolved rather than live — an example of why currency verification matters for the conflict analysis.</w:t>
      </w:r>
    </w:p>
    <w:p>
      <w:pPr>
        <w:pStyle w:val="Heading2"/>
      </w:pPr>
      <w:r>
        <w:t xml:space="preserve">7.7 Proportionality as the organizing reform principle</w:t>
      </w:r>
    </w:p>
    <w:p>
      <w:pPr>
        <w:spacing w:after="120" w:before="0"/>
      </w:pPr>
      <w:r>
        <w:rPr>
          <w:rFonts w:ascii="Arial" w:cs="Arial" w:eastAsia="Arial" w:hAnsi="Arial"/>
          <w:sz w:val="22"/>
          <w:szCs w:val="22"/>
        </w:rPr>
        <w:t xml:space="preserve">The 2025-2026 proposals share a common thread the agencies have made explicit: proportionality — calibrating supervisory expectations to an institution's actual risk profile, complexity, and activities. The proposed LFI framework revisions and the FDIC's proposed Rule 305.1 both adopt this principle, and the Vice Chair for Supervision framed the LFI proposal as aligning ratings with 'core, material financial risks.' Adopting proportionality as the explicit organizing principle for board-level expectations would supply a principled basis for distinguishing expectations tied to material safety-and-soundness risk from those that impose process burden without commensurate supervisory benefit — the precise line the redefinition of 'unsafe or unsound practice' (Currency Log) also tries to draw.</w:t>
      </w:r>
    </w:p>
    <w:p>
      <w:r>
        <w:br w:type="page"/>
      </w:r>
    </w:p>
    <w:p>
      <w:pPr>
        <w:pStyle w:val="Heading1"/>
      </w:pPr>
      <w:r>
        <w:t xml:space="preserve">8. Principal sources</w:t>
      </w:r>
    </w:p>
    <w:p>
      <w:pPr>
        <w:pStyle w:val="ListParagraph"/>
        <w:numPr>
          <w:ilvl w:val="0"/>
          <w:numId w:val="3"/>
        </w:numPr>
        <w:spacing w:after="60"/>
      </w:pPr>
      <w:r>
        <w:rPr>
          <w:rFonts w:ascii="Arial" w:cs="Arial" w:eastAsia="Arial" w:hAnsi="Arial"/>
          <w:sz w:val="19"/>
          <w:szCs w:val="19"/>
        </w:rPr>
        <w:t xml:space="preserve">Federal Reserve SR 21-3 / CA 21-1, Supervisory Guidance on Board of Directors' Effectiveness (Feb. 26, 2021).</w:t>
      </w:r>
    </w:p>
    <w:p>
      <w:pPr>
        <w:pStyle w:val="ListParagraph"/>
        <w:numPr>
          <w:ilvl w:val="0"/>
          <w:numId w:val="3"/>
        </w:numPr>
        <w:spacing w:after="60"/>
      </w:pPr>
      <w:r>
        <w:rPr>
          <w:rFonts w:ascii="Arial" w:cs="Arial" w:eastAsia="Arial" w:hAnsi="Arial"/>
          <w:sz w:val="19"/>
          <w:szCs w:val="19"/>
        </w:rPr>
        <w:t xml:space="preserve">Federal Reserve SR 12-17 / CA 12-14, Consolidated Supervision Framework for Large Financial Institutions (Dec. 17, 2012; rev. Oct. 1, 2025).</w:t>
      </w:r>
    </w:p>
    <w:p>
      <w:pPr>
        <w:pStyle w:val="ListParagraph"/>
        <w:numPr>
          <w:ilvl w:val="0"/>
          <w:numId w:val="3"/>
        </w:numPr>
        <w:spacing w:after="60"/>
      </w:pPr>
      <w:r>
        <w:rPr>
          <w:rFonts w:ascii="Arial" w:cs="Arial" w:eastAsia="Arial" w:hAnsi="Arial"/>
          <w:sz w:val="19"/>
          <w:szCs w:val="19"/>
        </w:rPr>
        <w:t xml:space="preserve">Federal Reserve SR 19-3 / CA 19-2, Large Financial Institution (LFI) Rating System (Feb. 26, 2019; framework amended Nov. 5, 2025; 90 FR 51329).</w:t>
      </w:r>
    </w:p>
    <w:p>
      <w:pPr>
        <w:pStyle w:val="ListParagraph"/>
        <w:numPr>
          <w:ilvl w:val="0"/>
          <w:numId w:val="3"/>
        </w:numPr>
        <w:spacing w:after="60"/>
      </w:pPr>
      <w:r>
        <w:rPr>
          <w:rFonts w:ascii="Arial" w:cs="Arial" w:eastAsia="Arial" w:hAnsi="Arial"/>
          <w:sz w:val="19"/>
          <w:szCs w:val="19"/>
        </w:rPr>
        <w:t xml:space="preserve">Federal Reserve SR 95-51, Rating the Adequacy of Risk Management Processes and Internal Controls (Nov. 1995).</w:t>
      </w:r>
    </w:p>
    <w:p>
      <w:pPr>
        <w:pStyle w:val="ListParagraph"/>
        <w:numPr>
          <w:ilvl w:val="0"/>
          <w:numId w:val="3"/>
        </w:numPr>
        <w:spacing w:after="60"/>
      </w:pPr>
      <w:r>
        <w:rPr>
          <w:rFonts w:ascii="Arial" w:cs="Arial" w:eastAsia="Arial" w:hAnsi="Arial"/>
          <w:sz w:val="19"/>
          <w:szCs w:val="19"/>
        </w:rPr>
        <w:t xml:space="preserve">Federal Reserve SR 15-18, Supervisory Assessment of Capital Planning and Positions for Firms Subject to Category I Standards (Dec. 18, 2015; rev. Jan. 15, 2021).</w:t>
      </w:r>
    </w:p>
    <w:p>
      <w:pPr>
        <w:pStyle w:val="ListParagraph"/>
        <w:numPr>
          <w:ilvl w:val="0"/>
          <w:numId w:val="3"/>
        </w:numPr>
        <w:spacing w:after="60"/>
      </w:pPr>
      <w:r>
        <w:rPr>
          <w:rFonts w:ascii="Arial" w:cs="Arial" w:eastAsia="Arial" w:hAnsi="Arial"/>
          <w:sz w:val="19"/>
          <w:szCs w:val="19"/>
        </w:rPr>
        <w:t xml:space="preserve">Capital plan rule, 12 CFR 225.8 (Reg Y); SLHC parallel 12 CFR part 238 subpart S; Stress Capital Buffer, 12 CFR 217.11.</w:t>
      </w:r>
    </w:p>
    <w:p>
      <w:pPr>
        <w:pStyle w:val="ListParagraph"/>
        <w:numPr>
          <w:ilvl w:val="0"/>
          <w:numId w:val="3"/>
        </w:numPr>
        <w:spacing w:after="60"/>
      </w:pPr>
      <w:r>
        <w:rPr>
          <w:rFonts w:ascii="Arial" w:cs="Arial" w:eastAsia="Arial" w:hAnsi="Arial"/>
          <w:sz w:val="19"/>
          <w:szCs w:val="19"/>
        </w:rPr>
        <w:t xml:space="preserve">Federal Reserve SR 09-4 (superseded for SR 15-18 firms).</w:t>
      </w:r>
    </w:p>
    <w:p>
      <w:pPr>
        <w:pStyle w:val="ListParagraph"/>
        <w:numPr>
          <w:ilvl w:val="0"/>
          <w:numId w:val="3"/>
        </w:numPr>
        <w:spacing w:after="60"/>
      </w:pPr>
      <w:r>
        <w:rPr>
          <w:rFonts w:ascii="Arial" w:cs="Arial" w:eastAsia="Arial" w:hAnsi="Arial"/>
          <w:sz w:val="19"/>
          <w:szCs w:val="19"/>
        </w:rPr>
        <w:t xml:space="preserve">Regulation YY enhanced prudential standards, 12 CFR 252.33 and 252.34; internal liquidity stress testing, 12 CFR 252.35.</w:t>
      </w:r>
    </w:p>
    <w:p>
      <w:pPr>
        <w:pStyle w:val="ListParagraph"/>
        <w:numPr>
          <w:ilvl w:val="0"/>
          <w:numId w:val="3"/>
        </w:numPr>
        <w:spacing w:after="60"/>
      </w:pPr>
      <w:r>
        <w:rPr>
          <w:rFonts w:ascii="Arial" w:cs="Arial" w:eastAsia="Arial" w:hAnsi="Arial"/>
          <w:sz w:val="19"/>
          <w:szCs w:val="19"/>
        </w:rPr>
        <w:t xml:space="preserve">Interagency SR 10-6, Interagency Policy Statement on Funding and Liquidity Risk Management (Mar. 17, 2010; CFP addendum Aug. 1, 2023; OCC Bulletin 2023-25; FDIC FIL-39-2023).</w:t>
      </w:r>
    </w:p>
    <w:p>
      <w:pPr>
        <w:pStyle w:val="ListParagraph"/>
        <w:numPr>
          <w:ilvl w:val="0"/>
          <w:numId w:val="3"/>
        </w:numPr>
        <w:spacing w:after="60"/>
      </w:pPr>
      <w:r>
        <w:rPr>
          <w:rFonts w:ascii="Arial" w:cs="Arial" w:eastAsia="Arial" w:hAnsi="Arial"/>
          <w:sz w:val="19"/>
          <w:szCs w:val="19"/>
        </w:rPr>
        <w:t xml:space="preserve">FRB &amp; FDIC, Final Guidance for the 2019 and Subsequent Resolution Plan Submissions by the Eight Largest, Complex U.S. Banking Organizations (84 FR 1438, Feb. 4, 2019).</w:t>
      </w:r>
    </w:p>
    <w:p>
      <w:pPr>
        <w:pStyle w:val="ListParagraph"/>
        <w:numPr>
          <w:ilvl w:val="0"/>
          <w:numId w:val="3"/>
        </w:numPr>
        <w:spacing w:after="60"/>
      </w:pPr>
      <w:r>
        <w:rPr>
          <w:rFonts w:ascii="Arial" w:cs="Arial" w:eastAsia="Arial" w:hAnsi="Arial"/>
          <w:sz w:val="19"/>
          <w:szCs w:val="19"/>
        </w:rPr>
        <w:t xml:space="preserve">FDIC IDI Resolution Plan Rule, 12 CFR 360.10 (89 FR 56620, July 9, 2024); FIL-63-2025 (Dec. 31, 2025).</w:t>
      </w:r>
    </w:p>
    <w:p>
      <w:pPr>
        <w:pStyle w:val="ListParagraph"/>
        <w:numPr>
          <w:ilvl w:val="0"/>
          <w:numId w:val="3"/>
        </w:numPr>
        <w:spacing w:after="60"/>
      </w:pPr>
      <w:r>
        <w:rPr>
          <w:rFonts w:ascii="Arial" w:cs="Arial" w:eastAsia="Arial" w:hAnsi="Arial"/>
          <w:sz w:val="19"/>
          <w:szCs w:val="19"/>
        </w:rPr>
        <w:t xml:space="preserve">Federal Reserve SR 14-1 (Jan. 24, 2014) and SR 14-8 (Sept. 25, 2014; rev. Oct. 1, 2025).</w:t>
      </w:r>
    </w:p>
    <w:p>
      <w:pPr>
        <w:pStyle w:val="ListParagraph"/>
        <w:numPr>
          <w:ilvl w:val="0"/>
          <w:numId w:val="3"/>
        </w:numPr>
        <w:spacing w:after="60"/>
      </w:pPr>
      <w:r>
        <w:rPr>
          <w:rFonts w:ascii="Arial" w:cs="Arial" w:eastAsia="Arial" w:hAnsi="Arial"/>
          <w:sz w:val="19"/>
          <w:szCs w:val="19"/>
        </w:rPr>
        <w:t xml:space="preserve">OCC Guidelines Establishing Standards for Recovery Planning, 12 CFR part 30 Appendix E — RESCINDED, 91 FR 16156 (Apr. 1, 2026; eff. May 1, 2026; OCC Bulletin 2026-10).</w:t>
      </w:r>
    </w:p>
    <w:p>
      <w:pPr>
        <w:pStyle w:val="ListParagraph"/>
        <w:numPr>
          <w:ilvl w:val="0"/>
          <w:numId w:val="3"/>
        </w:numPr>
        <w:spacing w:after="60"/>
      </w:pPr>
      <w:r>
        <w:rPr>
          <w:rFonts w:ascii="Arial" w:cs="Arial" w:eastAsia="Arial" w:hAnsi="Arial"/>
          <w:sz w:val="19"/>
          <w:szCs w:val="19"/>
        </w:rPr>
        <w:t xml:space="preserve">Interagency, Sound Practices to Strengthen Operational Resilience (Oct. 30, 2020); FRB SR 20-24; OCC Bulletin 2020-94.</w:t>
      </w:r>
    </w:p>
    <w:p>
      <w:pPr>
        <w:pStyle w:val="ListParagraph"/>
        <w:numPr>
          <w:ilvl w:val="0"/>
          <w:numId w:val="3"/>
        </w:numPr>
        <w:spacing w:after="60"/>
      </w:pPr>
      <w:r>
        <w:rPr>
          <w:rFonts w:ascii="Arial" w:cs="Arial" w:eastAsia="Arial" w:hAnsi="Arial"/>
          <w:sz w:val="19"/>
          <w:szCs w:val="19"/>
        </w:rPr>
        <w:t xml:space="preserve">FFIEC IT Examination Handbook, Business Continuity Management booklet (Nov. 14, 2019); Information Security booklet; Management booklet.</w:t>
      </w:r>
    </w:p>
    <w:p>
      <w:pPr>
        <w:pStyle w:val="ListParagraph"/>
        <w:numPr>
          <w:ilvl w:val="0"/>
          <w:numId w:val="3"/>
        </w:numPr>
        <w:spacing w:after="60"/>
      </w:pPr>
      <w:r>
        <w:rPr>
          <w:rFonts w:ascii="Arial" w:cs="Arial" w:eastAsia="Arial" w:hAnsi="Arial"/>
          <w:sz w:val="19"/>
          <w:szCs w:val="19"/>
        </w:rPr>
        <w:t xml:space="preserve">Interagency SR 26-2 / OCC Bulletin 2026-13, Revised Guidance on Model Risk Management (Apr. 17, 2026) — superseding SR 11-7 / OCC 2011-12 / FDIC FIL-22-2017.</w:t>
      </w:r>
    </w:p>
    <w:p>
      <w:pPr>
        <w:pStyle w:val="ListParagraph"/>
        <w:numPr>
          <w:ilvl w:val="0"/>
          <w:numId w:val="3"/>
        </w:numPr>
        <w:spacing w:after="60"/>
      </w:pPr>
      <w:r>
        <w:rPr>
          <w:rFonts w:ascii="Arial" w:cs="Arial" w:eastAsia="Arial" w:hAnsi="Arial"/>
          <w:sz w:val="19"/>
          <w:szCs w:val="19"/>
        </w:rPr>
        <w:t xml:space="preserve">Interagency Guidance on Third-Party Relationships: Risk Management (88 FR 37920, June 9, 2023); FRB SR 23-4; OCC Bulletin 2023-17; FDIC FIL-29-2023.</w:t>
      </w:r>
    </w:p>
    <w:p>
      <w:pPr>
        <w:pStyle w:val="ListParagraph"/>
        <w:numPr>
          <w:ilvl w:val="0"/>
          <w:numId w:val="3"/>
        </w:numPr>
        <w:spacing w:after="60"/>
      </w:pPr>
      <w:r>
        <w:rPr>
          <w:rFonts w:ascii="Arial" w:cs="Arial" w:eastAsia="Arial" w:hAnsi="Arial"/>
          <w:sz w:val="19"/>
          <w:szCs w:val="19"/>
        </w:rPr>
        <w:t xml:space="preserve">Interagency Guidance on Sound Incentive Compensation Policies (75 FR 36395, June 25, 2010); OCC Bulletin 2010-24. Dodd-Frank sec. 956 rulemaking — proposed, not finalized.</w:t>
      </w:r>
    </w:p>
    <w:p>
      <w:pPr>
        <w:pStyle w:val="ListParagraph"/>
        <w:numPr>
          <w:ilvl w:val="0"/>
          <w:numId w:val="3"/>
        </w:numPr>
        <w:spacing w:after="60"/>
      </w:pPr>
      <w:r>
        <w:rPr>
          <w:rFonts w:ascii="Arial" w:cs="Arial" w:eastAsia="Arial" w:hAnsi="Arial"/>
          <w:sz w:val="19"/>
          <w:szCs w:val="19"/>
        </w:rPr>
        <w:t xml:space="preserve">OCC Guidelines Establishing Heightened Standards, 12 CFR part 30 Appendix D (79 FR 54545, Sept. 11, 2014); OCC Bulletin 2025-51 (threshold NPRM, Dec. 23, 2025). The Director's Book (2020); Comptroller's Handbook, Corporate and Risk Governance booklet.</w:t>
      </w:r>
    </w:p>
    <w:p>
      <w:pPr>
        <w:pStyle w:val="ListParagraph"/>
        <w:numPr>
          <w:ilvl w:val="0"/>
          <w:numId w:val="3"/>
        </w:numPr>
        <w:spacing w:after="60"/>
      </w:pPr>
      <w:r>
        <w:rPr>
          <w:rFonts w:ascii="Arial" w:cs="Arial" w:eastAsia="Arial" w:hAnsi="Arial"/>
          <w:sz w:val="19"/>
          <w:szCs w:val="19"/>
        </w:rPr>
        <w:t xml:space="preserve">Interagency Guidelines Establishing Information Security Standards, 12 CFR part 30 Appendix B / part 208 Appendix D-2 / part 225 Appendix F / part 364 Appendix B (GLBA sec. 501(b)); FIL-27-2005.</w:t>
      </w:r>
    </w:p>
    <w:p>
      <w:pPr>
        <w:pStyle w:val="ListParagraph"/>
        <w:numPr>
          <w:ilvl w:val="0"/>
          <w:numId w:val="3"/>
        </w:numPr>
        <w:spacing w:after="60"/>
      </w:pPr>
      <w:r>
        <w:rPr>
          <w:rFonts w:ascii="Arial" w:cs="Arial" w:eastAsia="Arial" w:hAnsi="Arial"/>
          <w:sz w:val="19"/>
          <w:szCs w:val="19"/>
        </w:rPr>
        <w:t xml:space="preserve">Computer-Security Incident Notification Rule (86 FR 66424, Nov. 23, 2021); OCC Bulletin 2021-55; FDIC FIL-74-2021. FFIEC Cybersecurity Assessment Tool — retired Aug. 31, 2025 (SR 24-7; OCC Bulletin 2024-25).</w:t>
      </w:r>
    </w:p>
    <w:p>
      <w:pPr>
        <w:pStyle w:val="ListParagraph"/>
        <w:numPr>
          <w:ilvl w:val="0"/>
          <w:numId w:val="3"/>
        </w:numPr>
        <w:spacing w:after="60"/>
      </w:pPr>
      <w:r>
        <w:rPr>
          <w:rFonts w:ascii="Arial" w:cs="Arial" w:eastAsia="Arial" w:hAnsi="Arial"/>
          <w:sz w:val="19"/>
          <w:szCs w:val="19"/>
        </w:rPr>
        <w:t xml:space="preserve">FFIEC BSA/AML Examination Manual; FinCEN FIN-2014-A007; FinCEN NPRM 91 FR 18704 (Apr. 10, 2026); banking-agency companion NPRM (FR Doc. 2026-06948).</w:t>
      </w:r>
    </w:p>
    <w:p>
      <w:pPr>
        <w:pStyle w:val="ListParagraph"/>
        <w:numPr>
          <w:ilvl w:val="0"/>
          <w:numId w:val="3"/>
        </w:numPr>
        <w:spacing w:after="60"/>
      </w:pPr>
      <w:r>
        <w:rPr>
          <w:rFonts w:ascii="Arial" w:cs="Arial" w:eastAsia="Arial" w:hAnsi="Arial"/>
          <w:sz w:val="19"/>
          <w:szCs w:val="19"/>
        </w:rPr>
        <w:t xml:space="preserve">OCC Comptroller's Handbook, Compliance Management Systems booklet (June 2018); FDIC Consumer Compliance Examination Manual sec. II-3.1; Federal Reserve SR 08-8 / CA 08-11 (Oct. 16, 2008; rev. Oct. 1, 2025).</w:t>
      </w:r>
    </w:p>
    <w:p>
      <w:pPr>
        <w:pStyle w:val="ListParagraph"/>
        <w:numPr>
          <w:ilvl w:val="0"/>
          <w:numId w:val="3"/>
        </w:numPr>
        <w:spacing w:after="60"/>
      </w:pPr>
      <w:r>
        <w:rPr>
          <w:rFonts w:ascii="Arial" w:cs="Arial" w:eastAsia="Arial" w:hAnsi="Arial"/>
          <w:sz w:val="19"/>
          <w:szCs w:val="19"/>
        </w:rPr>
        <w:t xml:space="preserve">CFPB Supervision and Examination Manual (Compliance Management Review); CFPB Humility in Supervision Pledge (Nov. 21, 2025).</w:t>
      </w:r>
    </w:p>
    <w:p>
      <w:pPr>
        <w:pStyle w:val="ListParagraph"/>
        <w:numPr>
          <w:ilvl w:val="0"/>
          <w:numId w:val="3"/>
        </w:numPr>
        <w:spacing w:after="60"/>
      </w:pPr>
      <w:r>
        <w:rPr>
          <w:rFonts w:ascii="Arial" w:cs="Arial" w:eastAsia="Arial" w:hAnsi="Arial"/>
          <w:sz w:val="19"/>
          <w:szCs w:val="19"/>
        </w:rPr>
        <w:t xml:space="preserve">Interagency Guidelines Establishing Standards for Safety and Soundness, 12 CFR part 30 Appendix A / part 364 Appendix A; FDIC Pocket Guide for Directors and Statement Concerning the Responsibilities of Bank Directors and Officers (updated Jan. 3, 2024).</w:t>
      </w:r>
    </w:p>
    <w:p>
      <w:pPr>
        <w:pStyle w:val="ListParagraph"/>
        <w:numPr>
          <w:ilvl w:val="0"/>
          <w:numId w:val="3"/>
        </w:numPr>
        <w:spacing w:after="60"/>
      </w:pPr>
      <w:r>
        <w:rPr>
          <w:rFonts w:ascii="Arial" w:cs="Arial" w:eastAsia="Arial" w:hAnsi="Arial"/>
          <w:sz w:val="19"/>
          <w:szCs w:val="19"/>
        </w:rPr>
        <w:t xml:space="preserve">Federal Reserve SR 12-7, Supervisory Guidance on Stress Testing for Banking Organizations with More Than $10 Billion in Total Consolidated Assets (May 14, 2012).</w:t>
      </w:r>
    </w:p>
    <w:p>
      <w:pPr>
        <w:pStyle w:val="ListParagraph"/>
        <w:numPr>
          <w:ilvl w:val="0"/>
          <w:numId w:val="3"/>
        </w:numPr>
        <w:spacing w:after="60"/>
      </w:pPr>
      <w:r>
        <w:rPr>
          <w:rFonts w:ascii="Arial" w:cs="Arial" w:eastAsia="Arial" w:hAnsi="Arial"/>
          <w:sz w:val="19"/>
          <w:szCs w:val="19"/>
        </w:rPr>
        <w:t xml:space="preserve">Federal Reserve SR 13-1 / CA 13-1, Supplemental Policy Statement on the Internal Audit Function and Its Outsourcing (Jan. 23, 2013).</w:t>
      </w:r>
    </w:p>
    <w:p>
      <w:pPr>
        <w:pStyle w:val="ListParagraph"/>
        <w:numPr>
          <w:ilvl w:val="0"/>
          <w:numId w:val="3"/>
        </w:numPr>
        <w:spacing w:after="60"/>
      </w:pPr>
      <w:r>
        <w:rPr>
          <w:rFonts w:ascii="Arial" w:cs="Arial" w:eastAsia="Arial" w:hAnsi="Arial"/>
          <w:sz w:val="19"/>
          <w:szCs w:val="19"/>
        </w:rPr>
        <w:t xml:space="preserve">OCC Comptroller's Handbook: Corporate and Risk Governance (v2.0, incl. Appendix C — Common Board Committees); Internal and External Audits (Appendix G; 12 CFR part 363); Liquidity (v1.2).</w:t>
      </w:r>
    </w:p>
    <w:p>
      <w:pPr>
        <w:pStyle w:val="ListParagraph"/>
        <w:numPr>
          <w:ilvl w:val="0"/>
          <w:numId w:val="3"/>
        </w:numPr>
        <w:spacing w:after="60"/>
      </w:pPr>
      <w:r>
        <w:rPr>
          <w:rFonts w:ascii="Arial" w:cs="Arial" w:eastAsia="Arial" w:hAnsi="Arial"/>
          <w:sz w:val="19"/>
          <w:szCs w:val="19"/>
        </w:rPr>
        <w:t xml:space="preserve">FDIC Risk Management Manual of Examination Policies (Management section; Uniform Financial Institutions Rating System / CAMELS).</w:t>
      </w:r>
    </w:p>
    <w:p>
      <w:pPr>
        <w:pStyle w:val="ListParagraph"/>
        <w:numPr>
          <w:ilvl w:val="0"/>
          <w:numId w:val="3"/>
        </w:numPr>
        <w:spacing w:after="60"/>
      </w:pPr>
      <w:r>
        <w:rPr>
          <w:rFonts w:ascii="Arial" w:cs="Arial" w:eastAsia="Arial" w:hAnsi="Arial"/>
          <w:sz w:val="19"/>
          <w:szCs w:val="19"/>
        </w:rPr>
        <w:t xml:space="preserve">OCC The Director's Book (2020) — subsidiary-bank board duty and overlapping-director provisions (cross-ref 12 USC 371c / 371c-1; Regulation W).</w:t>
      </w:r>
    </w:p>
    <w:p>
      <w:pPr>
        <w:pStyle w:val="ListParagraph"/>
        <w:numPr>
          <w:ilvl w:val="0"/>
          <w:numId w:val="3"/>
        </w:numPr>
        <w:spacing w:after="60"/>
      </w:pPr>
      <w:r>
        <w:rPr>
          <w:rFonts w:ascii="Arial" w:cs="Arial" w:eastAsia="Arial" w:hAnsi="Arial"/>
          <w:sz w:val="19"/>
          <w:szCs w:val="19"/>
        </w:rPr>
        <w:t xml:space="preserve">Agencies' withdrawal of the 2023 Interagency Principles for Climate-Related Financial Risk Management for Large Financial Institutions (2025).</w:t>
      </w:r>
    </w:p>
    <w:p>
      <w:pPr>
        <w:spacing w:after="120" w:before="160"/>
      </w:pPr>
      <w:r>
        <w:rPr>
          <w:rFonts w:ascii="Arial" w:cs="Arial" w:eastAsia="Arial" w:hAnsi="Arial"/>
          <w:i/>
          <w:iCs/>
          <w:color w:val="808080"/>
          <w:sz w:val="18"/>
          <w:szCs w:val="18"/>
        </w:rPr>
        <w:t xml:space="preserve">This document was prepared as a working policy-reform reference. It summarizes supervisory expectations and is not legal advice; confirm each citation and its current status against the issuing agency before reliance.</w:t>
      </w:r>
    </w:p>
    <w:sectPr>
      <w:footerReference w:type="default" r:id="rId9"/>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Supervisory Expectations of GSIB Boards — as of June 4, 2026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Supervisory Expectations of GSIB Boards — as of June 4, 2026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Supervisory Expectations of GSIB Boards — as of June 4, 2026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2026-06-05T11:09:58.433Z</dcterms:created>
  <dcterms:modified xsi:type="dcterms:W3CDTF">2026-06-05T11:09:58.433Z</dcterms:modified>
</cp:coreProperties>
</file>

<file path=docProps/custom.xml><?xml version="1.0" encoding="utf-8"?>
<Properties xmlns="http://schemas.openxmlformats.org/officeDocument/2006/custom-properties" xmlns:vt="http://schemas.openxmlformats.org/officeDocument/2006/docPropsVTypes"/>
</file>