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The Consolidated Board Duty Set for U.S. GSIBs</w:t>
      </w:r>
    </w:p>
    <w:p>
      <w:pPr>
        <w:spacing w:after="60"/>
      </w:pPr>
      <w:r>
        <w:rPr>
          <w:rFonts w:ascii="Arial" w:cs="Arial" w:eastAsia="Arial" w:hAnsi="Arial"/>
          <w:color w:val="1F3864"/>
          <w:sz w:val="28"/>
          <w:szCs w:val="28"/>
        </w:rPr>
        <w:t xml:space="preserve">A Proposal — v0.1, illustrative draft</w:t>
      </w:r>
    </w:p>
    <w:p>
      <w:pPr>
        <w:pBdr>
          <w:bottom w:val="single" w:color="1F3864" w:sz="6" w:space="1"/>
        </w:pBdr>
        <w:spacing w:after="24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July 2026 · Michael Hsu · produced with the BoardDistill pipeline</w:t>
      </w:r>
    </w:p>
    <w:p>
      <w:pPr>
        <w:spacing w:after="120"/>
      </w:pPr>
      <w:r>
        <w:rPr>
          <w:b/>
          <w:bCs/>
        </w:rPr>
        <w:t xml:space="preserve">Status. </w:t>
      </w:r>
      <w:r>
        <w:t xml:space="preserve">This document proposes a structure, not regulatory text. Every mapping in it is a reviewable, evidence-anchored finding; no agency has adopted any of it; quantitative values (thresholds, cycles, the reconciled independence test) are deliberately left to principals. It is written to be read cold — no prior context required.</w:t>
      </w:r>
    </w:p>
    <w:p>
      <w:pPr>
        <w:pStyle w:val="Heading1"/>
      </w:pPr>
      <w:r>
        <w:t xml:space="preserve">Executive summary</w:t>
      </w:r>
    </w:p>
    <w:p>
      <w:pPr>
        <w:spacing w:after="120"/>
      </w:pPr>
      <w:r>
        <w:t xml:space="preserve">Boards of the largest U.S. banks currently carry </w:t>
      </w:r>
      <w:r>
        <w:rPr>
          <w:b/>
          <w:bCs/>
        </w:rPr>
        <w:t xml:space="preserve">227 distinct duty statements</w:t>
      </w:r>
      <w:r>
        <w:t xml:space="preserve"> scattered across statutes, regulations, enforceable guidelines, supervisory guidance, and examination manuals issued by five agencies. Nearly every one is prudent alone; together they are cumulative policy sludge — burden from the pile, not from any rule.</w:t>
      </w:r>
    </w:p>
    <w:p>
      <w:pPr>
        <w:spacing w:after="120"/>
      </w:pPr>
      <w:r>
        <w:t xml:space="preserve">This proposal reorganizes those 227 statements into </w:t>
      </w:r>
      <w:r>
        <w:rPr>
          <w:b/>
          <w:bCs/>
        </w:rPr>
        <w:t xml:space="preserve">26</w:t>
      </w:r>
      <w:r>
        <w:t xml:space="preserve"> consolidated targets (drafted as six general governance mechanics stated once, plus twenty-four domain duties; four mechanics embed within the domain duties and several duties merge in the A→B crosswalk). Three moves do the work, and none of them weakens a safeguard: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Restatements become cross-references. Where guidance or a manual repeats a rule verbatim, the repeat becomes a citation to the rule (161 statements consolidate this way, in whole or part).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Parallel holding-company/bank duties become documented reliance. Both duties legally survive; the bank duty is satisfied by the parent framework where risk profiles are substantially the same, with a bank-specific addendum (11 statements fold).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recurring meta-duty is stated once. “Approve a framework, review it annually, receive reports” appears once as general mechanics instead of ~21 times.</w:t>
      </w:r>
    </w:p>
    <w:p>
      <w:pPr>
        <w:spacing w:after="120"/>
      </w:pPr>
      <w:r>
        <w:rPr>
          <w:b/>
          <w:bCs/>
        </w:rPr>
        <w:t xml:space="preserve">What does not change: </w:t>
      </w:r>
      <w:r>
        <w:t xml:space="preserve">all six statutory-floor obligations (risk committee, stress-testing oversight, resolution planning, audit-committee independence, annual audit/ICFR, BSA/AML program) survive intact; every parallel-but-justified regime (FDICIA vs. Sarbanes-Oxley, FDIC resolvability, Regulation O, consumer compliance) survives by explicit relation; and 44 statements are retained as-is, including the board’s irreducible duty to hold management accountable. One area (incentive compensation, 11 statements) awaits a policy decision that only principals can make.</w:t>
      </w:r>
    </w:p>
    <w:p>
      <w:pPr>
        <w:spacing w:after="120"/>
      </w:pPr>
      <w:r>
        <w:rPr>
          <w:b/>
          <w:bCs/>
        </w:rPr>
        <w:t xml:space="preserve">Why you can trust the mapping: </w:t>
      </w:r>
      <w:r>
        <w:t xml:space="preserve">142 of the 227 statements were verified against primary sources with pinned verbatim quotations; zero fabricated or invented duties were found across four independent audit passes; every consolidation is expressed as a typed, auditable operation; and every judgment was made by a human and logged. Section 5 explains the apparatus.</w:t>
      </w:r>
    </w:p>
    <w:p>
      <w:pPr>
        <w:pStyle w:val="Heading1"/>
      </w:pPr>
      <w:r>
        <w:t xml:space="preserve">1. How to read this proposal</w:t>
      </w:r>
    </w:p>
    <w:p>
      <w:pPr>
        <w:spacing w:after="120"/>
      </w:pPr>
      <w:r>
        <w:t xml:space="preserve">Part I lists the six general mechanics (G1–G6). Part II lists the twenty-four domain duties (1–24), grouped by subject; each entry names any statutory floor it rests on. Section 4 details what changed and what deliberately did not. Section 5 sets out the verification record and its limits. Appendix A summarizes the full crosswalk; two companion artifacts — a filterable spreadsheet and a searchable HTML explorer — map each of the 227 current statements to its proposed home, with citations and evidence.</w:t>
      </w:r>
    </w:p>
    <w:p>
      <w:pPr>
        <w:spacing w:after="60" w:before="120"/>
      </w:pPr>
      <w:r>
        <w:drawing>
          <wp:inline distT="0" distB="0" distL="0" distR="0">
            <wp:extent cx="6172200" cy="3467100"/>
            <wp:effectExtent t="0" r="0" b="0" l="0"/>
            <wp:docPr id="1" name="comparison" descr="DCCR vs RBI vs BoardDistill comparison" title="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Two predecessors shape this work: the D.C. Criminal Code Reform Commission supplied the method (every change classified and evidenced); the Reserve Bank of India’s Master Directions supplied the scale precedent. The new element here is cost: an audit trail once affordable only to a 40-person team.</w:t>
      </w:r>
    </w:p>
    <w:p>
      <w:r>
        <w:br w:type="page"/>
      </w:r>
    </w:p>
    <w:p>
      <w:pPr>
        <w:pStyle w:val="Heading1"/>
      </w:pPr>
      <w:r>
        <w:t xml:space="preserve">2. Part I — The General Part (six mechanics, stated once)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Mechanic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provides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G1 — Framework approval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 each enumerated framework or policy, the board (or its designated committee) approves initially and reviews on the stated cadence (default annual); the strictest applicable domain cadence prevails. Replaces the same sentence restated across ~21 clusters.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G2 — Reporting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board receives periodic management reporting per framework, sufficient in scope and detail; below-threshold matters flow as aggregate reports.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G3 — Delegation and reliance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Committee execution is permitted where composition rules are met. A subsidiary-bank duty is deemed satisfied by the parent enterprise framework where risk profiles are substantially the same, documented, with a bank-specific addendum. The bank board's independent legal responsibility survives.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G4 — Records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 documentation standard for board and committee minutes, materials, votes, and planning-process records.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G5 — Effectiveness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 annual board self-assessment satisfying both OCC Heightened Standards III.F and Federal Reserve SR 21-3.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G6 — Canonical definitions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 definition each, cross-referenced by all instruments: independent director (reconciled test), risk appetite, critical activity (quantitative; value to be set by principals), material activities.</w:t>
            </w:r>
          </w:p>
        </w:tc>
      </w:tr>
    </w:tbl>
    <w:p>
      <w:pPr>
        <w:pStyle w:val="Heading1"/>
      </w:pPr>
      <w:r>
        <w:t xml:space="preserve">3. Part II — The twenty-four domain duties</w:t>
      </w:r>
    </w:p>
    <w:p>
      <w:pPr>
        <w:pStyle w:val="Heading2"/>
      </w:pPr>
      <w:r>
        <w:t xml:space="preserve">Strategy &amp; risk governance</w:t>
      </w:r>
    </w:p>
    <w:p>
      <w:pPr>
        <w:spacing w:after="40" w:before="60"/>
      </w:pPr>
      <w:r>
        <w:rPr>
          <w:rFonts w:ascii="Arial" w:cs="Arial" w:eastAsia="Arial" w:hAnsi="Arial"/>
          <w:b/>
          <w:bCs/>
        </w:rPr>
        <w:t xml:space="preserve">1. Enterprise strategy &amp; risk-governance approval</w:t>
      </w:r>
    </w:p>
    <w:p>
      <w:pPr>
        <w:spacing w:after="140"/>
      </w:pPr>
      <w:r>
        <w:rPr>
          <w:rFonts w:ascii="Arial" w:cs="Arial" w:eastAsia="Arial" w:hAnsi="Arial"/>
        </w:rPr>
        <w:t xml:space="preserve">Approve the enterprise strategy and risk-governance framework, including the risk-appetite statement — one document, all risk dimensions, with liquidity tolerance and operational-disruption tolerance as distinct modules; subsidiary addendum via G3.</w:t>
      </w:r>
    </w:p>
    <w:p>
      <w:pPr>
        <w:spacing w:after="40" w:before="60"/>
      </w:pPr>
      <w:r>
        <w:rPr>
          <w:rFonts w:ascii="Arial" w:cs="Arial" w:eastAsia="Arial" w:hAnsi="Arial"/>
          <w:b/>
          <w:bCs/>
        </w:rPr>
        <w:t xml:space="preserve">2. Risk committee</w:t>
      </w:r>
    </w:p>
    <w:p>
      <w:pPr>
        <w:spacing w:after="40"/>
      </w:pPr>
      <w:r>
        <w:rPr>
          <w:rFonts w:ascii="Arial" w:cs="Arial" w:eastAsia="Arial" w:hAnsi="Arial"/>
        </w:rPr>
        <w:t xml:space="preserve">Maintain a risk committee meeting the single consolidated standard (charter, independent chair, quarterly CRO reporting); streamlined subsidiary certification.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1F3864"/>
          <w:sz w:val="19"/>
          <w:szCs w:val="19"/>
        </w:rPr>
        <w:t xml:space="preserve">Statutory floor: 12 U.S.C. 5365(h)</w:t>
      </w:r>
    </w:p>
    <w:p>
      <w:pPr>
        <w:spacing w:after="40" w:before="60"/>
      </w:pPr>
      <w:r>
        <w:rPr>
          <w:rFonts w:ascii="Arial" w:cs="Arial" w:eastAsia="Arial" w:hAnsi="Arial"/>
          <w:b/>
          <w:bCs/>
        </w:rPr>
        <w:t xml:space="preserve">3. CRO appointment &amp; compensation</w:t>
      </w:r>
    </w:p>
    <w:p>
      <w:pPr>
        <w:spacing w:after="140"/>
      </w:pPr>
      <w:r>
        <w:rPr>
          <w:rFonts w:ascii="Arial" w:cs="Arial" w:eastAsia="Arial" w:hAnsi="Arial"/>
        </w:rPr>
        <w:t xml:space="preserve">Approve the appointment, removal, and compensation of the Chief Risk Officer once (Regulation YY home; OCC incorporates by reference); the OCC-specific independence-of-risk-review control is retained.</w:t>
      </w:r>
    </w:p>
    <w:p>
      <w:pPr>
        <w:pStyle w:val="Heading2"/>
      </w:pPr>
      <w:r>
        <w:t xml:space="preserve">Audit &amp; financial reporting</w:t>
      </w:r>
    </w:p>
    <w:p>
      <w:pPr>
        <w:spacing w:after="40" w:before="60"/>
      </w:pPr>
      <w:r>
        <w:rPr>
          <w:rFonts w:ascii="Arial" w:cs="Arial" w:eastAsia="Arial" w:hAnsi="Arial"/>
          <w:b/>
          <w:bCs/>
        </w:rPr>
        <w:t xml:space="preserve">4. One audit committee</w:t>
      </w:r>
    </w:p>
    <w:p>
      <w:pPr>
        <w:spacing w:after="40"/>
      </w:pPr>
      <w:r>
        <w:rPr>
          <w:rFonts w:ascii="Arial" w:cs="Arial" w:eastAsia="Arial" w:hAnsi="Arial"/>
        </w:rPr>
        <w:t xml:space="preserve">Maintain one audit committee whose composition satisfies FDICIA/Part 363, Sarbanes-Oxley §301, and exchange standards under the single independence definition (G6).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1F3864"/>
          <w:sz w:val="19"/>
          <w:szCs w:val="19"/>
        </w:rPr>
        <w:t xml:space="preserve">Statutory floors: SOX §301; FDI Act §36</w:t>
      </w:r>
    </w:p>
    <w:p>
      <w:pPr>
        <w:spacing w:after="40" w:before="60"/>
      </w:pPr>
      <w:r>
        <w:rPr>
          <w:rFonts w:ascii="Arial" w:cs="Arial" w:eastAsia="Arial" w:hAnsi="Arial"/>
          <w:b/>
          <w:bCs/>
        </w:rPr>
        <w:t xml:space="preserve">5. Internal &amp; external audit oversight</w:t>
      </w:r>
    </w:p>
    <w:p>
      <w:pPr>
        <w:spacing w:after="140"/>
      </w:pPr>
      <w:r>
        <w:rPr>
          <w:rFonts w:ascii="Arial" w:cs="Arial" w:eastAsia="Arial" w:hAnsi="Arial"/>
        </w:rPr>
        <w:t xml:space="preserve">Through the audit committee: oversee internal audit (chief audit executive appointment, plan, budget, remediation) and the external audit relationship.</w:t>
      </w:r>
    </w:p>
    <w:p>
      <w:pPr>
        <w:spacing w:after="40" w:before="60"/>
      </w:pPr>
      <w:r>
        <w:rPr>
          <w:rFonts w:ascii="Arial" w:cs="Arial" w:eastAsia="Arial" w:hAnsi="Arial"/>
          <w:b/>
          <w:bCs/>
        </w:rPr>
        <w:t xml:space="preserve">6. ICFR oversight</w:t>
      </w:r>
    </w:p>
    <w:p>
      <w:pPr>
        <w:spacing w:after="40"/>
      </w:pPr>
      <w:r>
        <w:rPr>
          <w:rFonts w:ascii="Arial" w:cs="Arial" w:eastAsia="Arial" w:hAnsi="Arial"/>
        </w:rPr>
        <w:t xml:space="preserve">Oversee management's internal-control assessment, with the SOX 404(b) attestation deemed to satisfy the Part 363 assessment; designated-laws compliance retained as an annex; cycles aligned.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1F3864"/>
          <w:sz w:val="19"/>
          <w:szCs w:val="19"/>
        </w:rPr>
        <w:t xml:space="preserve">Floor satisfied, not deleted: FDI Act §36</w:t>
      </w:r>
    </w:p>
    <w:p>
      <w:pPr>
        <w:spacing w:after="40" w:before="60"/>
      </w:pPr>
      <w:r>
        <w:rPr>
          <w:rFonts w:ascii="Arial" w:cs="Arial" w:eastAsia="Arial" w:hAnsi="Arial"/>
          <w:b/>
          <w:bCs/>
        </w:rPr>
        <w:t xml:space="preserve">7. Fiduciary audit</w:t>
      </w:r>
    </w:p>
    <w:p>
      <w:pPr>
        <w:spacing w:after="140"/>
      </w:pPr>
      <w:r>
        <w:rPr>
          <w:rFonts w:ascii="Arial" w:cs="Arial" w:eastAsia="Arial" w:hAnsi="Arial"/>
        </w:rPr>
        <w:t xml:space="preserve">Where trust powers exist, the audit committee may satisfy the fiduciary-audit duty where composition overlaps (the existing 12 CFR 9.9 pattern, generalized).</w:t>
      </w:r>
    </w:p>
    <w:p>
      <w:pPr>
        <w:pStyle w:val="Heading2"/>
      </w:pPr>
      <w:r>
        <w:t xml:space="preserve">Capital &amp; liquidity</w:t>
      </w:r>
    </w:p>
    <w:p>
      <w:pPr>
        <w:spacing w:after="40" w:before="60"/>
      </w:pPr>
      <w:r>
        <w:rPr>
          <w:rFonts w:ascii="Arial" w:cs="Arial" w:eastAsia="Arial" w:hAnsi="Arial"/>
          <w:b/>
          <w:bCs/>
        </w:rPr>
        <w:t xml:space="preserve">8. Capital plan, policy &amp; actions</w:t>
      </w:r>
    </w:p>
    <w:p>
      <w:pPr>
        <w:spacing w:after="40"/>
      </w:pPr>
      <w:r>
        <w:rPr>
          <w:rFonts w:ascii="Arial" w:cs="Arial" w:eastAsia="Arial" w:hAnsi="Arial"/>
        </w:rPr>
        <w:t xml:space="preserve">Approve the capital plan, capital policy, and capital actions; receive stress-test methodology (scenario design, model limitations) as reporting, not approval items.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1F3864"/>
          <w:sz w:val="19"/>
          <w:szCs w:val="19"/>
        </w:rPr>
        <w:t xml:space="preserve">Statutory floor: 12 U.S.C. 5365(i)</w:t>
      </w:r>
    </w:p>
    <w:p>
      <w:pPr>
        <w:spacing w:after="40" w:before="60"/>
      </w:pPr>
      <w:r>
        <w:rPr>
          <w:rFonts w:ascii="Arial" w:cs="Arial" w:eastAsia="Arial" w:hAnsi="Arial"/>
          <w:b/>
          <w:bCs/>
        </w:rPr>
        <w:t xml:space="preserve">9. Liquidity risk tolerance</w:t>
      </w:r>
    </w:p>
    <w:p>
      <w:pPr>
        <w:spacing w:after="140"/>
      </w:pPr>
      <w:r>
        <w:rPr>
          <w:rFonts w:ascii="Arial" w:cs="Arial" w:eastAsia="Arial" w:hAnsi="Arial"/>
        </w:rPr>
        <w:t xml:space="preserve">Approve the liquidity risk tolerance — one approval satisfying both Regulation YY and guidance.</w:t>
      </w:r>
    </w:p>
    <w:p>
      <w:pPr>
        <w:pStyle w:val="Heading2"/>
      </w:pPr>
      <w:r>
        <w:t xml:space="preserve">Resilience</w:t>
      </w:r>
    </w:p>
    <w:p>
      <w:pPr>
        <w:spacing w:after="40" w:before="60"/>
      </w:pPr>
      <w:r>
        <w:rPr>
          <w:rFonts w:ascii="Arial" w:cs="Arial" w:eastAsia="Arial" w:hAnsi="Arial"/>
          <w:b/>
          <w:bCs/>
        </w:rPr>
        <w:t xml:space="preserve">10. One resilience-planning cycle</w:t>
      </w:r>
    </w:p>
    <w:p>
      <w:pPr>
        <w:spacing w:after="40"/>
      </w:pPr>
      <w:r>
        <w:rPr>
          <w:rFonts w:ascii="Arial" w:cs="Arial" w:eastAsia="Arial" w:hAnsi="Arial"/>
        </w:rPr>
        <w:t xml:space="preserve">Run one annual board cycle covering recovery planning, contingency funding, and resolution content as modules; approve the shared resolution submission with an FDIC-interest subsidiary annex.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1F3864"/>
          <w:sz w:val="19"/>
          <w:szCs w:val="19"/>
        </w:rPr>
        <w:t xml:space="preserve">Statutory floor: 12 U.S.C. 5365(d) — submission survives; only the format is shared</w:t>
      </w:r>
    </w:p>
    <w:p>
      <w:pPr>
        <w:pStyle w:val="Heading2"/>
      </w:pPr>
      <w:r>
        <w:t xml:space="preserve">Credit &amp; counterparty</w:t>
      </w:r>
    </w:p>
    <w:p>
      <w:pPr>
        <w:spacing w:after="40" w:before="60"/>
      </w:pPr>
      <w:r>
        <w:rPr>
          <w:rFonts w:ascii="Arial" w:cs="Arial" w:eastAsia="Arial" w:hAnsi="Arial"/>
          <w:b/>
          <w:bCs/>
        </w:rPr>
        <w:t xml:space="preserve">11. Credit-risk governance</w:t>
      </w:r>
    </w:p>
    <w:p>
      <w:pPr>
        <w:spacing w:after="140"/>
      </w:pPr>
      <w:r>
        <w:rPr>
          <w:rFonts w:ascii="Arial" w:cs="Arial" w:eastAsia="Arial" w:hAnsi="Arial"/>
        </w:rPr>
        <w:t xml:space="preserve">Approve the credit-risk governance framework (one interagency real-estate-lending standard; allowance and credit-review oversight folded into the risk-committee credit cycle).</w:t>
      </w:r>
    </w:p>
    <w:p>
      <w:pPr>
        <w:spacing w:after="40" w:before="60"/>
      </w:pPr>
      <w:r>
        <w:rPr>
          <w:rFonts w:ascii="Arial" w:cs="Arial" w:eastAsia="Arial" w:hAnsi="Arial"/>
          <w:b/>
          <w:bCs/>
        </w:rPr>
        <w:t xml:space="preserve">12. Insider &amp; affiliate duties — retained</w:t>
      </w:r>
    </w:p>
    <w:p>
      <w:pPr>
        <w:spacing w:after="40"/>
      </w:pPr>
      <w:r>
        <w:rPr>
          <w:rFonts w:ascii="Arial" w:cs="Arial" w:eastAsia="Arial" w:hAnsi="Arial"/>
        </w:rPr>
        <w:t xml:space="preserve">Regulation O and Sections 23A/23B review processes are retained and coordinated, not merged: distinct statutory purposes.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1F3864"/>
          <w:sz w:val="19"/>
          <w:szCs w:val="19"/>
        </w:rPr>
        <w:t xml:space="preserve">Retained by design</w:t>
      </w:r>
    </w:p>
    <w:p>
      <w:pPr>
        <w:pStyle w:val="Heading2"/>
      </w:pPr>
      <w:r>
        <w:t xml:space="preserve">Operations &amp; technology</w:t>
      </w:r>
    </w:p>
    <w:p>
      <w:pPr>
        <w:spacing w:after="40" w:before="60"/>
      </w:pPr>
      <w:r>
        <w:rPr>
          <w:rFonts w:ascii="Arial" w:cs="Arial" w:eastAsia="Arial" w:hAnsi="Arial"/>
          <w:b/>
          <w:bCs/>
        </w:rPr>
        <w:t xml:space="preserve">13. Information security</w:t>
      </w:r>
    </w:p>
    <w:p>
      <w:pPr>
        <w:spacing w:after="140"/>
      </w:pPr>
      <w:r>
        <w:rPr>
          <w:rFonts w:ascii="Arial" w:cs="Arial" w:eastAsia="Arial" w:hAnsi="Arial"/>
        </w:rPr>
        <w:t xml:space="preserve">Approve one enterprise information-security program (replacing four parallel appendix approvals); one operational incident-notification standard (timeline selection is a principals' decision).</w:t>
      </w:r>
    </w:p>
    <w:p>
      <w:pPr>
        <w:spacing w:after="40" w:before="60"/>
      </w:pPr>
      <w:r>
        <w:rPr>
          <w:rFonts w:ascii="Arial" w:cs="Arial" w:eastAsia="Arial" w:hAnsi="Arial"/>
          <w:b/>
          <w:bCs/>
        </w:rPr>
        <w:t xml:space="preserve">14. Third-party risk</w:t>
      </w:r>
    </w:p>
    <w:p>
      <w:pPr>
        <w:spacing w:after="140"/>
      </w:pPr>
      <w:r>
        <w:rPr>
          <w:rFonts w:ascii="Arial" w:cs="Arial" w:eastAsia="Arial" w:hAnsi="Arial"/>
        </w:rPr>
        <w:t xml:space="preserve">Board attention only for relationships above the quantitative critical-activity threshold (G6; value to be set by principals); management approval plus aggregate board reporting below it; consumer service-provider oversight retained.</w:t>
      </w:r>
    </w:p>
    <w:p>
      <w:pPr>
        <w:spacing w:after="40" w:before="60"/>
      </w:pPr>
      <w:r>
        <w:rPr>
          <w:rFonts w:ascii="Arial" w:cs="Arial" w:eastAsia="Arial" w:hAnsi="Arial"/>
          <w:b/>
          <w:bCs/>
        </w:rPr>
        <w:t xml:space="preserve">15. Operational resilience</w:t>
      </w:r>
    </w:p>
    <w:p>
      <w:pPr>
        <w:spacing w:after="140"/>
      </w:pPr>
      <w:r>
        <w:rPr>
          <w:rFonts w:ascii="Arial" w:cs="Arial" w:eastAsia="Arial" w:hAnsi="Arial"/>
        </w:rPr>
        <w:t xml:space="preserve">Folded into the risk-appetite approval (duty 1) as a module — not a separate board cycle.</w:t>
      </w:r>
    </w:p>
    <w:p>
      <w:pPr>
        <w:spacing w:after="40" w:before="60"/>
      </w:pPr>
      <w:r>
        <w:rPr>
          <w:rFonts w:ascii="Arial" w:cs="Arial" w:eastAsia="Arial" w:hAnsi="Arial"/>
          <w:b/>
          <w:bCs/>
        </w:rPr>
        <w:t xml:space="preserve">16. Model risk</w:t>
      </w:r>
    </w:p>
    <w:p>
      <w:pPr>
        <w:spacing w:after="140"/>
      </w:pPr>
      <w:r>
        <w:rPr>
          <w:rFonts w:ascii="Arial" w:cs="Arial" w:eastAsia="Arial" w:hAnsi="Arial"/>
        </w:rPr>
        <w:t xml:space="preserve">Framework approval via the General-Part mechanic (G1); no separate board-level restatement.</w:t>
      </w:r>
    </w:p>
    <w:p>
      <w:pPr>
        <w:pStyle w:val="Heading2"/>
      </w:pPr>
      <w:r>
        <w:t xml:space="preserve">Financial crime &amp; consumer</w:t>
      </w:r>
    </w:p>
    <w:p>
      <w:pPr>
        <w:spacing w:after="40" w:before="60"/>
      </w:pPr>
      <w:r>
        <w:rPr>
          <w:rFonts w:ascii="Arial" w:cs="Arial" w:eastAsia="Arial" w:hAnsi="Arial"/>
          <w:b/>
          <w:bCs/>
        </w:rPr>
        <w:t xml:space="preserve">17. BSA/AML program — retained</w:t>
      </w:r>
    </w:p>
    <w:p>
      <w:pPr>
        <w:spacing w:after="40"/>
      </w:pPr>
      <w:r>
        <w:rPr>
          <w:rFonts w:ascii="Arial" w:cs="Arial" w:eastAsia="Arial" w:hAnsi="Arial"/>
        </w:rPr>
        <w:t xml:space="preserve">Approve the BSA/AML compliance program, unchanged; the examination manual cross-references the rule rather than restating it.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1F3864"/>
          <w:sz w:val="19"/>
          <w:szCs w:val="19"/>
        </w:rPr>
        <w:t xml:space="preserve">Statutory floor: 31 U.S.C. 5318(h); 12 U.S.C. 1818(s)</w:t>
      </w:r>
    </w:p>
    <w:p>
      <w:pPr>
        <w:spacing w:after="40" w:before="60"/>
      </w:pPr>
      <w:r>
        <w:rPr>
          <w:rFonts w:ascii="Arial" w:cs="Arial" w:eastAsia="Arial" w:hAnsi="Arial"/>
          <w:b/>
          <w:bCs/>
        </w:rPr>
        <w:t xml:space="preserve">18. Consumer compliance — retained</w:t>
      </w:r>
    </w:p>
    <w:p>
      <w:pPr>
        <w:spacing w:after="40"/>
      </w:pPr>
      <w:r>
        <w:rPr>
          <w:rFonts w:ascii="Arial" w:cs="Arial" w:eastAsia="Arial" w:hAnsi="Arial"/>
        </w:rPr>
        <w:t xml:space="preserve">Consumer-compliance oversight retained and coordinated; no consolidation (distinct statutory regime).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1F3864"/>
          <w:sz w:val="19"/>
          <w:szCs w:val="19"/>
        </w:rPr>
        <w:t xml:space="preserve">Retained by design</w:t>
      </w:r>
    </w:p>
    <w:p>
      <w:pPr>
        <w:pStyle w:val="Heading2"/>
      </w:pPr>
      <w:r>
        <w:t xml:space="preserve">People &amp; governance</w:t>
      </w:r>
    </w:p>
    <w:p>
      <w:pPr>
        <w:spacing w:after="40" w:before="60"/>
      </w:pPr>
      <w:r>
        <w:rPr>
          <w:rFonts w:ascii="Arial" w:cs="Arial" w:eastAsia="Arial" w:hAnsi="Arial"/>
          <w:b/>
          <w:bCs/>
        </w:rPr>
        <w:t xml:space="preserve">19. Incentive compensation</w:t>
      </w:r>
    </w:p>
    <w:p>
      <w:pPr>
        <w:spacing w:after="40"/>
      </w:pPr>
      <w:r>
        <w:rPr>
          <w:rFonts w:ascii="Arial" w:cs="Arial" w:eastAsia="Arial" w:hAnsi="Arial"/>
        </w:rPr>
        <w:t xml:space="preserve">The compensation committee oversees incentive-compensation arrangements. The Dodd-Frank §956 disposition (finalize a rule, rely on guidance, or repeal) is an open policy choice for principals; both regulatory branches are fully specified.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1F3864"/>
          <w:sz w:val="19"/>
          <w:szCs w:val="19"/>
        </w:rPr>
        <w:t xml:space="preserve">Open policy branch</w:t>
      </w:r>
    </w:p>
    <w:p>
      <w:pPr>
        <w:spacing w:after="40" w:before="60"/>
      </w:pPr>
      <w:r>
        <w:rPr>
          <w:rFonts w:ascii="Arial" w:cs="Arial" w:eastAsia="Arial" w:hAnsi="Arial"/>
          <w:b/>
          <w:bCs/>
        </w:rPr>
        <w:t xml:space="preserve">20. CEO &amp; senior-officer performance and succession</w:t>
      </w:r>
    </w:p>
    <w:p>
      <w:pPr>
        <w:spacing w:after="140"/>
      </w:pPr>
      <w:r>
        <w:rPr>
          <w:rFonts w:ascii="Arial" w:cs="Arial" w:eastAsia="Arial" w:hAnsi="Arial"/>
        </w:rPr>
        <w:t xml:space="preserve">Set CEO objectives and accountability; oversee succession for the CEO and, per firm, the CRO and chief audit executive.</w:t>
      </w:r>
    </w:p>
    <w:p>
      <w:pPr>
        <w:spacing w:after="40" w:before="60"/>
      </w:pPr>
      <w:r>
        <w:rPr>
          <w:rFonts w:ascii="Arial" w:cs="Arial" w:eastAsia="Arial" w:hAnsi="Arial"/>
          <w:b/>
          <w:bCs/>
        </w:rPr>
        <w:t xml:space="preserve">21. Director nomination, eligibility &amp; continuity</w:t>
      </w:r>
    </w:p>
    <w:p>
      <w:pPr>
        <w:spacing w:after="140"/>
      </w:pPr>
      <w:r>
        <w:rPr>
          <w:rFonts w:ascii="Arial" w:cs="Arial" w:eastAsia="Arial" w:hAnsi="Arial"/>
        </w:rPr>
        <w:t xml:space="preserve">One nomination and eligibility process; one interagency change-in-director notice procedure.</w:t>
      </w:r>
    </w:p>
    <w:p>
      <w:pPr>
        <w:spacing w:after="40" w:before="60"/>
      </w:pPr>
      <w:r>
        <w:rPr>
          <w:rFonts w:ascii="Arial" w:cs="Arial" w:eastAsia="Arial" w:hAnsi="Arial"/>
          <w:b/>
          <w:bCs/>
        </w:rPr>
        <w:t xml:space="preserve">22. Director training</w:t>
      </w:r>
    </w:p>
    <w:p>
      <w:pPr>
        <w:spacing w:after="40"/>
      </w:pPr>
      <w:r>
        <w:rPr>
          <w:rFonts w:ascii="Arial" w:cs="Arial" w:eastAsia="Arial" w:hAnsi="Arial"/>
        </w:rPr>
        <w:t xml:space="preserve">One consolidated training program, with the BSA module deemed to satisfy the statutory training pillar.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1F3864"/>
          <w:sz w:val="19"/>
          <w:szCs w:val="19"/>
        </w:rPr>
        <w:t xml:space="preserve">Floor satisfied via module</w:t>
      </w:r>
    </w:p>
    <w:p>
      <w:pPr>
        <w:spacing w:after="40" w:before="60"/>
      </w:pPr>
      <w:r>
        <w:rPr>
          <w:rFonts w:ascii="Arial" w:cs="Arial" w:eastAsia="Arial" w:hAnsi="Arial"/>
          <w:b/>
          <w:bCs/>
        </w:rPr>
        <w:t xml:space="preserve">23. Board structure</w:t>
      </w:r>
    </w:p>
    <w:p>
      <w:pPr>
        <w:spacing w:after="140"/>
      </w:pPr>
      <w:r>
        <w:rPr>
          <w:rFonts w:ascii="Arial" w:cs="Arial" w:eastAsia="Arial" w:hAnsi="Arial"/>
        </w:rPr>
        <w:t xml:space="preserve">Leadership, executive-committee limits, and committee charters through the General-Part mechanics, stated once.</w:t>
      </w:r>
    </w:p>
    <w:p>
      <w:pPr>
        <w:spacing w:after="40" w:before="60"/>
      </w:pPr>
      <w:r>
        <w:rPr>
          <w:rFonts w:ascii="Arial" w:cs="Arial" w:eastAsia="Arial" w:hAnsi="Arial"/>
          <w:b/>
          <w:bCs/>
        </w:rPr>
        <w:t xml:space="preserve">24. Hold management accountable</w:t>
      </w:r>
    </w:p>
    <w:p>
      <w:pPr>
        <w:spacing w:after="40"/>
      </w:pPr>
      <w:r>
        <w:rPr>
          <w:rFonts w:ascii="Arial" w:cs="Arial" w:eastAsia="Arial" w:hAnsi="Arial"/>
        </w:rPr>
        <w:t xml:space="preserve">The board's irreducible baseline duty — active oversight of management, retained verbatim and consolidated into nothing.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1F3864"/>
          <w:sz w:val="19"/>
          <w:szCs w:val="19"/>
        </w:rPr>
        <w:t xml:space="preserve">Retained by design</w:t>
      </w:r>
    </w:p>
    <w:p>
      <w:pPr>
        <w:pStyle w:val="Heading1"/>
      </w:pPr>
      <w:r>
        <w:t xml:space="preserve">4. What changed — and what deliberately did not</w:t>
      </w:r>
    </w:p>
    <w:p>
      <w:pPr>
        <w:spacing w:after="120"/>
      </w:pPr>
      <w:r>
        <w:rPr>
          <w:b/>
          <w:bCs/>
        </w:rPr>
        <w:t xml:space="preserve">Changed. </w:t>
      </w:r>
      <w:r>
        <w:t xml:space="preserve">Roughly 190 of the 227 statements cease to exist as separate obligations: restatements collapse into citations; mirror pairs become documented reliance; already-superseded remnants are formally repealed with a logged signal (fixing the silent-retraction pattern the underlying study identified).</w:t>
      </w:r>
    </w:p>
    <w:p>
      <w:pPr>
        <w:spacing w:after="120"/>
      </w:pPr>
      <w:r>
        <w:rPr>
          <w:b/>
          <w:bCs/>
        </w:rPr>
        <w:t xml:space="preserve">Not changed. </w:t>
      </w:r>
      <w:r>
        <w:t xml:space="preserve">No statutory obligation is deleted or diluted. Binding force is conserved everywhere except one declared conversion (codifying the SR 12-17 governance expectations into Regulation YY — a deliberate, disclosed decision to draw the mandatory/guidance line, requiring notice-and-comment). Where two regimes serve distinct statutory purposes, both survive with the relationship stated rather than one absorbed.</w:t>
      </w:r>
    </w:p>
    <w:p>
      <w:pPr>
        <w:spacing w:after="120"/>
      </w:pPr>
      <w:r>
        <w:rPr>
          <w:b/>
          <w:bCs/>
        </w:rPr>
        <w:t xml:space="preserve">Left to principals. </w:t>
      </w:r>
      <w:r>
        <w:t xml:space="preserve">The critical-activity threshold value; the resilience-cycle cadence; the exact reconciled independence formulation; the incentive-compensation branch; the incident-notification timeline. The method surfaces and frames these; it never decides them.</w:t>
      </w:r>
    </w:p>
    <w:p>
      <w:pPr>
        <w:pStyle w:val="Heading1"/>
      </w:pPr>
      <w:r>
        <w:t xml:space="preserve">5. Why you can rely on this — and where its limits are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Citation-verified: 142 of 227 statements verified against primary sources (eCFR, U.S. Code, agency releases) with verbatim quotations pinned and cached; re-verification is replayable.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Zero fabrications: across four increasingly strict audit passes, no invented or fabricated duty was found in the inventory; the machine layer also caught and quarantined its own over-reach (unanchored claims never became findings).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Floors enforced in code: a consolidation that would delete a statutory obligation is mechanically blocked, not merely discouraged.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Human-decided: every consolidation carries a typed operation, an effect classification, and a logged human disposition; nothing reached final status by machine action.</w:t>
      </w:r>
    </w:p>
    <w:p>
      <w:pPr>
        <w:spacing w:after="120"/>
      </w:pPr>
      <w:r>
        <w:rPr>
          <w:b/>
          <w:bCs/>
        </w:rPr>
        <w:t xml:space="preserve">Limits. </w:t>
      </w:r>
      <w:r>
        <w:t xml:space="preserve">85 statements — mostly examination-manual and guidance paraphrases — remain unverified against primary text and carry proportionally lower evidentiary weight (each is flagged in the crosswalk). The proposal reflects publicly available instruments only; confidential supervisory expectations are outside its evidence base. And the target-state drafting here is illustrative: converting it to operative text is a rulemaking exercise for agencies, with the legal pathways (joint rulemaking, interagency statements, one statutory item) identified per duty in the companion roadmap.</w:t>
      </w:r>
    </w:p>
    <w:p>
      <w:pPr>
        <w:pStyle w:val="Heading1"/>
      </w:pPr>
      <w:r>
        <w:t xml:space="preserve">6. Companion artifacts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Crosswalk spreadsheet (gsib-board-duties_crosswalk_A-to-B_v0.1.xlsx): all 227 statements, filterable, each mapped to its target duty with citation, verification status, operation, and disposition.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A→B explorer (gsib-board-duties_A-to-B_explorer.html): a searchable single-file viewer of the same mapping — search by citation, topic, or duty.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Reform roadmap: every consolidation lever with the agency holding authority, the legal instrument required, and a feasibility ranking.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Full audit trail: verification caches, operation records, and decision logs in the project repository.</w:t>
      </w:r>
    </w:p>
    <w:p>
      <w:r>
        <w:br w:type="page"/>
      </w:r>
    </w:p>
    <w:p>
      <w:pPr>
        <w:pStyle w:val="Heading1"/>
      </w:pPr>
      <w:r>
        <w:t xml:space="preserve">Appendix A — Crosswalk summary by consolidated duty</w:t>
      </w:r>
    </w:p>
    <w:p>
      <w:pPr>
        <w:spacing w:after="120"/>
        <w:rPr>
          <w:color w:val="6B7280"/>
          <w:sz w:val="19"/>
          <w:szCs w:val="19"/>
        </w:rPr>
      </w:pPr>
      <w:r>
        <w:rPr>
          <w:color w:val="6B7280"/>
          <w:sz w:val="19"/>
          <w:szCs w:val="19"/>
        </w:rPr>
        <w:t xml:space="preserve">Counts of today’s duty statements mapped to each proposed duty. Row-level detail (citations, quotes, operations) is in the spreadsheet and explorer.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00"/>
        <w:gridCol w:w="800"/>
        <w:gridCol w:w="1000"/>
        <w:gridCol w:w="16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Consolidated duty (proposed)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Rows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Verified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Disposition(s)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Enterprise strategy, risk-governance framework &amp; risk-appetite approval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Consolidated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Enterprise strategy, risk-governance framework &amp; risk-appetite approval …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Folded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Risk committee — one consolidated standard + IDI certification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Consolidated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 appointment, removal &amp; compensation (one approval; CRE independence …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Consolidated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T4-5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 audit committee (single independence test); internal &amp; external audi…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Consolidated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ICFR oversight — SOX 404(b) deemed to satisfy Part 363, designated-laws …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Consolidated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Fiduciary audit via the audit committee where composition overlaps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Consolidated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Capital plan, policy &amp; actions approval; methodology as reporting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Consolidated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T9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Liquidity risk-tolerance approval — one approval satisfies rule and guid…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Consolidated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T10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 annual resilience-planning cycle; shared submission with IDI annex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Consolidated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T11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Credit-risk governance framework approval (one RE-lending standard)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Consolidated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T12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Insider/affiliate duties retained (Reg O / 23A-23B) — coordinated, not m…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Retained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T13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 enterprise information-security program approval; single incident st…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Consolidated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T14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Third-party oversight above quantitative critical-activity threshold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Consolidated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T16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Model-risk framework via General-Part approval mechanic (G1)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Folded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T17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BSA/AML program approval retained; manual cross-references the rule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Retained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T18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Consumer-compliance oversight retained — coordinated, not consolidated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Retained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T19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Incentive-compensation oversight; DFA 956 branch = open policy choice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 branch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T21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Director nomination, eligibility &amp; continuity — one process, one notice …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Consolidated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T22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 consolidated director-training program (BSA module preserves the flo…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Consolidated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T23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Board structure &amp; committee mechanics — stated once (G1/G4)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Folded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T24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Hold management accountable — the irreducible baseline duty, retained ve…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Retained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General Part: one annual board self-assessment (App. D III.F + SR 21-3)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Consolidated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General Part: one canonical independent-director definition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Consolidated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Source-of-strength / charter-sanctity — statutory, retained as-is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Retained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Personal-liability provisions — retained as-is (not a consolidation targ…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Retained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Consolidated Board Duty Set v0.1 (draft) —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d104261188504692f4d1f385e7499434d68ac27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2026-07-04T12:28:54.397Z</dcterms:created>
  <dcterms:modified xsi:type="dcterms:W3CDTF">2026-07-04T12:28:54.397Z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