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GSIB Board Duties — Reform Roadmap</w:t>
      </w:r>
    </w:p>
    <w:p>
      <w:pPr>
        <w:pBdr>
          <w:bottom w:val="single" w:color="1F3864" w:sz="6" w:space="1"/>
        </w:pBdr>
        <w:spacing w:after="2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v2.1 · July 2026 · three views: feasibility, agency, timeline · companion to the Consolidated Board Duty Set (v0.1, illustrative draft)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What this is. </w:t>
      </w:r>
      <w:r>
        <w:rPr>
          <w:rFonts w:ascii="Arial" w:cs="Arial" w:eastAsia="Arial" w:hAnsi="Arial"/>
        </w:rPr>
        <w:t xml:space="preserve">All 31 consolidation levers from the 227-statement corpus, presented three ways: by legal feasibility (View 1 — what is easiest), by agency (View 2 — each regulator's work program), and by timeline (View 3 — the sequence, with dependencies). The same levers appear in each view; pick the view that matches your question. Nothing here is adopted policy; “ready” means fully specified and evidence-anchored, not agreed.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The sequencing logic in one paragraph. </w:t>
      </w:r>
      <w:r>
        <w:rPr>
          <w:rFonts w:ascii="Arial" w:cs="Arial" w:eastAsia="Arial" w:hAnsi="Arial"/>
        </w:rPr>
        <w:t xml:space="preserve">Single-agency actions go first because they need no coordination and build momentum. The interagency statements phase runs next and includes the one gating item — the General-Part framework statement — which every later instrument cross-references. Joint rulemakings follow, consuming the definitions and templates the statements produced. The structural prize — letting a bank board rely on the parent enterprise framework — comes last, because it only works once consolidated enterprise standards exist to rely on. Two threads run on their own clocks: the independence definition starts early because SEC coordination is the longest pole, and the §956 branch is a principals’ decision that can land any time.</w:t>
      </w:r>
    </w:p>
    <w:p>
      <w:pPr>
        <w:spacing w:after="40" w:before="120"/>
      </w:pPr>
      <w:r>
        <w:drawing>
          <wp:inline distT="0" distB="0" distL="0" distR="0">
            <wp:extent cx="6172200" cy="5057775"/>
            <wp:effectExtent t="0" r="0" b="0" l="0"/>
            <wp:docPr id="1" name="timeline" descr="Implementation timeline Gantt" title="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View 1 — By feasibility (what is legally easiest)</w:t>
      </w:r>
    </w:p>
    <w:p>
      <w:pPr>
        <w:pStyle w:val="Heading2"/>
      </w:pPr>
      <w:r>
        <w:t xml:space="preserve">Tier 1 — Guidance consolidation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Capital planning &amp; stress testing — </w:t>
      </w:r>
      <w:r>
        <w:rPr>
          <w:rFonts w:ascii="Arial" w:cs="Arial" w:eastAsia="Arial" w:hAnsi="Arial"/>
          <w:b/>
          <w:bCs/>
        </w:rPr>
        <w:t xml:space="preserve">Separate board capital-action decisions from technical methodology reporting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0–6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guidance action plus conforming rule note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 coordination needed; guidance action + conforming note.</w:t>
      </w:r>
    </w:p>
    <w:p>
      <w:pPr>
        <w:pStyle w:val="Heading2"/>
      </w:pPr>
      <w:r>
        <w:t xml:space="preserve">Tier 2 — Interagency statements &amp; coordination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Audit committee &amp; independence — </w:t>
      </w:r>
      <w:r>
        <w:rPr>
          <w:rFonts w:ascii="Arial" w:cs="Arial" w:eastAsia="Arial" w:hAnsi="Arial"/>
          <w:b/>
          <w:bCs/>
        </w:rPr>
        <w:t xml:space="preserve">Single 'independent director' definition; one audit committee satisfies all regimes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plus SEC coordination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Independence definition.  Finalizes the Phase 2 definition work into rules/listing-standard cross-refs.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Board self-assessment / effectiveness — </w:t>
      </w:r>
      <w:r>
        <w:rPr>
          <w:rFonts w:ascii="Arial" w:cs="Arial" w:eastAsia="Arial" w:hAnsi="Arial"/>
          <w:b/>
          <w:bCs/>
        </w:rPr>
        <w:t xml:space="preserve">Single interagency board-effectiveness assessment.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6–12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Joint statement; near-identical source texts.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independence (cross-cutting) — </w:t>
      </w:r>
      <w:r>
        <w:rPr>
          <w:rFonts w:ascii="Arial" w:cs="Arial" w:eastAsia="Arial" w:hAnsi="Arial"/>
          <w:b/>
          <w:bCs/>
        </w:rPr>
        <w:t xml:space="preserve">Single cross-referenced prudential independence definition.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6–24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Start early — SEC coordination is the longest pole; finalizes in Phase 3.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training — </w:t>
      </w:r>
      <w:r>
        <w:rPr>
          <w:rFonts w:ascii="Arial" w:cs="Arial" w:eastAsia="Arial" w:hAnsi="Arial"/>
          <w:b/>
          <w:bCs/>
        </w:rPr>
        <w:t xml:space="preserve">One consolidated director-training program covering all topics.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9–18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FRB+OCC+FDIC+FinCEN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Statement; BSA module preserves the statutory training pillar.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Insider / affiliate / related-party — </w:t>
      </w:r>
      <w:r>
        <w:rPr>
          <w:rFonts w:ascii="Arial" w:cs="Arial" w:eastAsia="Arial" w:hAnsi="Arial"/>
          <w:b/>
          <w:bCs/>
        </w:rPr>
        <w:t xml:space="preserve">Coordinate related-party review processes.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Coordination only; no consolidation (distinct statutes).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Liquidity risk management — </w:t>
      </w:r>
      <w:r>
        <w:rPr>
          <w:rFonts w:ascii="Arial" w:cs="Arial" w:eastAsia="Arial" w:hAnsi="Arial"/>
          <w:b/>
          <w:bCs/>
        </w:rPr>
        <w:t xml:space="preserve">One board liquidity approval satisfies rule and guidance.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6–15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 Deem-satisfied statement citing the General-Part mechanics.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 appetite statement — </w:t>
      </w:r>
      <w:r>
        <w:rPr>
          <w:rFonts w:ascii="Arial" w:cs="Arial" w:eastAsia="Arial" w:hAnsi="Arial"/>
          <w:b/>
          <w:bCs/>
        </w:rPr>
        <w:t xml:space="preserve">Interagency risk-appetite template + safe harbor that one board-approved statement satisfies all.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 Template published with the framework statement; safe harbor may need a conforming rule note (Phase 3).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Risk-governance framework / strategy — </w:t>
      </w:r>
      <w:r>
        <w:rPr>
          <w:rFonts w:ascii="Arial" w:cs="Arial" w:eastAsia="Arial" w:hAnsi="Arial"/>
          <w:b/>
          <w:bCs/>
        </w:rPr>
        <w:t xml:space="preserve">One enterprise framework approval with an IDI addendum (expanded App. D reliance accommodation)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9–18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plus rule safe harbor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 Statement + safe harbor now; feeds the Phase 4 structural expansion.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Risk-governance framework / strategy — </w:t>
      </w:r>
      <w:r>
        <w:rPr>
          <w:rFonts w:ascii="Arial" w:cs="Arial" w:eastAsia="Arial" w:hAnsi="Arial"/>
          <w:b/>
          <w:bCs/>
        </w:rPr>
        <w:t xml:space="preserve">Single interagency board-effectiveness assessment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6–12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codify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Duplicate lever entry (MVP D7) — same action.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Third-party risk management — </w:t>
      </w:r>
      <w:r>
        <w:rPr>
          <w:rFonts w:ascii="Arial" w:cs="Arial" w:eastAsia="Arial" w:hAnsi="Arial"/>
          <w:b/>
          <w:bCs/>
        </w:rPr>
        <w:t xml:space="preserve">Quantitative 'critical activity' threshold for board attention; management approval + aggregate reporting othe…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9–18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Threshold value (principals).  Amends the 2023 interagency guidance; threshold value is a principals decision.</w:t>
      </w:r>
    </w:p>
    <w:p>
      <w:pPr>
        <w:pStyle w:val="Heading2"/>
      </w:pPr>
      <w:r>
        <w:t xml:space="preserve">Tier 3 — Rule harmonization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BSA/AML program — </w:t>
      </w:r>
      <w:r>
        <w:rPr>
          <w:rFonts w:ascii="Arial" w:cs="Arial" w:eastAsia="Arial" w:hAnsi="Arial"/>
          <w:b/>
          <w:bCs/>
        </w:rPr>
        <w:t xml:space="preserve">Cross-reference manual to the rule; avoid restating. v2.1: resolve the two unreconciled pending rewrites (2024…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FinCEN+FBAs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apa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Reconcile the two pending BSA rewrites before layering compounds; then manual cross-references.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 / CRE appointment &amp; compensation — </w:t>
      </w:r>
      <w:r>
        <w:rPr>
          <w:rFonts w:ascii="Arial" w:cs="Arial" w:eastAsia="Arial" w:hAnsi="Arial"/>
          <w:b/>
          <w:bCs/>
        </w:rPr>
        <w:t xml:space="preserve">Consolidate into Reg YY; OCC incorporates by reference.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12–27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standard.  CRO/CRE rides the same Reg YY amendment cycle.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Credit risk governance — </w:t>
      </w:r>
      <w:r>
        <w:rPr>
          <w:rFonts w:ascii="Arial" w:cs="Arial" w:eastAsia="Arial" w:hAnsi="Arial"/>
          <w:b/>
          <w:bCs/>
        </w:rPr>
        <w:t xml:space="preserve">One interagency real-estate-lending standard; fold ACL/credit-review into the risk-committee credit cycle.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15–30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standard.  Credit cycle folds into the consolidated committee standard.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eligibility &amp; continuity — </w:t>
      </w:r>
      <w:r>
        <w:rPr>
          <w:rFonts w:ascii="Arial" w:cs="Arial" w:eastAsia="Arial" w:hAnsi="Arial"/>
          <w:b/>
          <w:bCs/>
        </w:rPr>
        <w:t xml:space="preserve">Single interagency change-in-director notice procedure.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12–24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Modest joint rulemaking.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Fiduciary (trust) governance — </w:t>
      </w:r>
      <w:r>
        <w:rPr>
          <w:rFonts w:ascii="Arial" w:cs="Arial" w:eastAsia="Arial" w:hAnsi="Arial"/>
          <w:b/>
          <w:bCs/>
        </w:rPr>
        <w:t xml:space="preserve">Permit the §36/Part 363 audit committee to satisfy the fiduciary-audit duty where composition overlaps.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0–9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apa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Single-agency 12 CFR 9 amendment.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Information security &amp; cybersecurity — </w:t>
      </w:r>
      <w:r>
        <w:rPr>
          <w:rFonts w:ascii="Arial" w:cs="Arial" w:eastAsia="Arial" w:hAnsi="Arial"/>
          <w:b/>
          <w:bCs/>
        </w:rPr>
        <w:t xml:space="preserve">One enterprise info-security program approval; joint SEC/banking statement on cyber oversight. v2.1: the 36-ho…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Timeline selection (principals).  Conform four appendices; the incident-timeline choice is a principals decision.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Internal control over financial reporting — </w:t>
      </w:r>
      <w:r>
        <w:rPr>
          <w:rFonts w:ascii="Arial" w:cs="Arial" w:eastAsia="Arial" w:hAnsi="Arial"/>
          <w:b/>
          <w:bCs/>
        </w:rPr>
        <w:t xml:space="preserve">SOX 404(b) satisfies FDICIA ICFR by cross-reference; align cycles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0–12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amendment(Part 363)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Single-agency Part 363 amendment; start immediately, lands in Phase 2 window.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Operational resilience / business continuity — </w:t>
      </w:r>
      <w:r>
        <w:rPr>
          <w:rFonts w:ascii="Arial" w:cs="Arial" w:eastAsia="Arial" w:hAnsi="Arial"/>
          <w:b/>
          <w:bCs/>
        </w:rPr>
        <w:t xml:space="preserve">Fold into the enterprise risk-appetite approval.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12–24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codify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Risk-appetite template.  Operational-resilience fold rides the risk-appetite instruments.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Resolution, recovery &amp; contingency funding — </w:t>
      </w:r>
      <w:r>
        <w:rPr>
          <w:rFonts w:ascii="Arial" w:cs="Arial" w:eastAsia="Arial" w:hAnsi="Arial"/>
          <w:b/>
          <w:bCs/>
        </w:rPr>
        <w:t xml:space="preserve">Single 'resilience planning' board cycle; shared resolution submission with an IDI annex.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15–33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 Joint rulemaking; FDIC annex preserves the distinct resolvability interest.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 committee architecture — </w:t>
      </w:r>
      <w:r>
        <w:rPr>
          <w:rFonts w:ascii="Arial" w:cs="Arial" w:eastAsia="Arial" w:hAnsi="Arial"/>
          <w:b/>
          <w:bCs/>
        </w:rPr>
        <w:t xml:space="preserve">One risk-committee standard at the consolidated level + streamlined IDI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Independence definition.  Joint rulemaking; App. D cross-references Reg YY; certification template from Phase 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Risk-governance framework / strategy — </w:t>
      </w:r>
      <w:r>
        <w:rPr>
          <w:rFonts w:ascii="Arial" w:cs="Arial" w:eastAsia="Arial" w:hAnsi="Arial"/>
          <w:b/>
          <w:bCs/>
        </w:rPr>
        <w:t xml:space="preserve">Codify SR 12-17 governance content into Reg YY; retire the letter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15–30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amendment notice and comment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 Notice-and-comment; the declared guidance-to-rule conversion; retires the letter with a logged signal.</w:t>
      </w:r>
    </w:p>
    <w:p>
      <w:pPr>
        <w:pStyle w:val="Heading2"/>
      </w:pPr>
      <w:r>
        <w:t xml:space="preserve">Tier 5 — Vertical rationalization (structural)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cross-cutting (largest structural lever) — </w:t>
      </w:r>
      <w:r>
        <w:rPr>
          <w:rFonts w:ascii="Arial" w:cs="Arial" w:eastAsia="Arial" w:hAnsi="Arial"/>
          <w:b/>
          <w:bCs/>
        </w:rPr>
        <w:t xml:space="preserve">Vertical HC/IDI rationalization via expanded reliance accommodation (schema, per mirror pair)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24–48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rulemaking possibly statutory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standard; Risk-appetite template; Enterprise framework statement.  The structural prize; requires consolidated enterprise standards in force first; statutory at the margin.</w:t>
      </w:r>
    </w:p>
    <w:p>
      <w:pPr>
        <w:pStyle w:val="Heading2"/>
      </w:pPr>
      <w:r>
        <w:t xml:space="preserve">Tier 6 — Retained, open, and non-target items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Consumer compliance (CMS) — </w:t>
      </w:r>
      <w:r>
        <w:rPr>
          <w:rFonts w:ascii="Arial" w:cs="Arial" w:eastAsia="Arial" w:hAnsi="Arial"/>
          <w:b/>
          <w:bCs/>
        </w:rPr>
        <w:t xml:space="preserve">Coordinate CMS expectations; CFPB now lightly enforced (2026).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9–18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FBAs+CFPB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Coordination item.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Incentive compensation — </w:t>
      </w:r>
      <w:r>
        <w:rPr>
          <w:rFonts w:ascii="Arial" w:cs="Arial" w:eastAsia="Arial" w:hAnsi="Arial"/>
          <w:b/>
          <w:bCs/>
        </w:rPr>
        <w:t xml:space="preserve">Finalize one 956 framework or rely on guidance; SEC independence satisfies the prudential element.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0–48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6 agencies (principals)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open branch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Open policy branch; either branch slots into Phase 3 mechanics once decided.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Model risk governance — </w:t>
      </w:r>
      <w:r>
        <w:rPr>
          <w:rFonts w:ascii="Arial" w:cs="Arial" w:eastAsia="Arial" w:hAnsi="Arial"/>
          <w:b/>
          <w:bCs/>
        </w:rPr>
        <w:t xml:space="preserve">Confirm the Heightened Standards do not re-impose the dropped board duty. v2.1: SR 26-2 and OCC Bulletin 2026-…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 implementation action (retained / documented non-target).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Personal &amp; individual-director liability — </w:t>
      </w:r>
      <w:r>
        <w:rPr>
          <w:rFonts w:ascii="Arial" w:cs="Arial" w:eastAsia="Arial" w:hAnsi="Arial"/>
          <w:b/>
          <w:bCs/>
        </w:rPr>
        <w:t xml:space="preserve">Not a consolidation target; documented to show how personal liability compounds the cost of duplicative mandat…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 implementation action (retained / documented non-target).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Safety-and-soundness baseline — </w:t>
      </w:r>
      <w:r>
        <w:rPr>
          <w:rFonts w:ascii="Arial" w:cs="Arial" w:eastAsia="Arial" w:hAnsi="Arial"/>
          <w:b/>
          <w:bCs/>
        </w:rPr>
        <w:t xml:space="preserve">Treat as baseline; avoid re-imposing in domain rules.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 implementation action (retained / documented non-target).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Source of strength / charter sanctity — </w:t>
      </w:r>
      <w:r>
        <w:rPr>
          <w:rFonts w:ascii="Arial" w:cs="Arial" w:eastAsia="Arial" w:hAnsi="Arial"/>
          <w:b/>
          <w:bCs/>
        </w:rPr>
        <w:t xml:space="preserve">Clarify the interaction for overlapping directors.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 implementation action (retained / documented non-target).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Unique structural duties — </w:t>
      </w:r>
      <w:r>
        <w:rPr>
          <w:rFonts w:ascii="Arial" w:cs="Arial" w:eastAsia="Arial" w:hAnsi="Arial"/>
          <w:b/>
          <w:bCs/>
        </w:rPr>
        <w:t xml:space="preserve">Retain; distinct purpose.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 implementation action (retained / documented non-target).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cross-cutting — </w:t>
      </w:r>
      <w:r>
        <w:rPr>
          <w:rFonts w:ascii="Arial" w:cs="Arial" w:eastAsia="Arial" w:hAnsi="Arial"/>
          <w:b/>
          <w:bCs/>
        </w:rPr>
        <w:t xml:space="preserve">Recurring meta-duty (approve framework / review annually / receive reports) -&gt; General Part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6–15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fill_gap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Interagency WG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varies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THE G-PART STATEMENT: the framework statement each later instrument cross-references. Gating item for Phases 2-4.</w:t>
      </w:r>
    </w:p>
    <w:p>
      <w:r>
        <w:br w:type="page"/>
      </w:r>
    </w:p>
    <w:p>
      <w:pPr>
        <w:pStyle w:val="Heading1"/>
      </w:pPr>
      <w:r>
        <w:t xml:space="preserve">View 2 — By agency (each regulator's work program)</w:t>
      </w:r>
    </w:p>
    <w:p>
      <w:pPr>
        <w:spacing w:after="120"/>
        <w:rPr>
          <w:i/>
          <w:iCs/>
          <w:color w:val="6B7280"/>
          <w:sz w:val="19"/>
          <w:szCs w:val="19"/>
        </w:rPr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Actions each agency can start alone, then what it must do jointly. An agency reading only its own section sees its complete program.</w:t>
      </w:r>
    </w:p>
    <w:p>
      <w:pPr>
        <w:pStyle w:val="Heading2"/>
      </w:pPr>
      <w:r>
        <w:t xml:space="preserve">FRB  (24 actions)</w:t>
      </w:r>
    </w:p>
    <w:p>
      <w:pPr>
        <w:spacing w:after="120"/>
        <w:rPr>
          <w:b/>
          <w:bCs/>
          <w:color w:val="2E7D6B"/>
          <w:sz w:val="20"/>
          <w:szCs w:val="20"/>
        </w:rPr>
      </w:pPr>
      <w:r>
        <w:rPr>
          <w:rFonts w:ascii="Arial" w:cs="Arial" w:eastAsia="Arial" w:hAnsi="Arial"/>
          <w:b/>
          <w:bCs/>
          <w:color w:val="2E7D6B"/>
          <w:sz w:val="20"/>
          <w:szCs w:val="20"/>
        </w:rPr>
        <w:t xml:space="preserve">Can act alone: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Capital planning &amp; stress testing — </w:t>
      </w:r>
      <w:r>
        <w:rPr>
          <w:rFonts w:ascii="Arial" w:cs="Arial" w:eastAsia="Arial" w:hAnsi="Arial"/>
          <w:b/>
          <w:bCs/>
        </w:rPr>
        <w:t xml:space="preserve">Separate board capital-action decisions from technical methodology reporting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0–6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guidance action plus conforming rule note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 coordination needed; guidance action + conforming note.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Risk-governance framework / strategy — </w:t>
      </w:r>
      <w:r>
        <w:rPr>
          <w:rFonts w:ascii="Arial" w:cs="Arial" w:eastAsia="Arial" w:hAnsi="Arial"/>
          <w:b/>
          <w:bCs/>
        </w:rPr>
        <w:t xml:space="preserve">Codify SR 12-17 governance content into Reg YY; retire the letter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15–30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amendment notice and comment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 Notice-and-comment; the declared guidance-to-rule conversion; retires the letter with a logged signal.</w:t>
      </w:r>
    </w:p>
    <w:p>
      <w:pPr>
        <w:spacing w:after="120"/>
        <w:rPr>
          <w:b/>
          <w:bCs/>
          <w:color w:val="1F3864"/>
          <w:sz w:val="20"/>
          <w:szCs w:val="20"/>
        </w:rPr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Joint actions: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Incentive compensation — </w:t>
      </w:r>
      <w:r>
        <w:rPr>
          <w:rFonts w:ascii="Arial" w:cs="Arial" w:eastAsia="Arial" w:hAnsi="Arial"/>
          <w:b/>
          <w:bCs/>
        </w:rPr>
        <w:t xml:space="preserve">Finalize one 956 framework or rely on guidance; SEC independence satisfies the prudential element.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0–48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6 agencies (principals)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open branch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Open policy branch; either branch slots into Phase 3 mechanics once decided.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Board self-assessment / effectiveness — </w:t>
      </w:r>
      <w:r>
        <w:rPr>
          <w:rFonts w:ascii="Arial" w:cs="Arial" w:eastAsia="Arial" w:hAnsi="Arial"/>
          <w:b/>
          <w:bCs/>
        </w:rPr>
        <w:t xml:space="preserve">Single interagency board-effectiveness assessment.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6–12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Joint statement; near-identical source texts.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independence (cross-cutting) — </w:t>
      </w:r>
      <w:r>
        <w:rPr>
          <w:rFonts w:ascii="Arial" w:cs="Arial" w:eastAsia="Arial" w:hAnsi="Arial"/>
          <w:b/>
          <w:bCs/>
        </w:rPr>
        <w:t xml:space="preserve">Single cross-referenced prudential independence definition.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6–24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Start early — SEC coordination is the longest pole; finalizes in Phase 3.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Insider / affiliate / related-party — </w:t>
      </w:r>
      <w:r>
        <w:rPr>
          <w:rFonts w:ascii="Arial" w:cs="Arial" w:eastAsia="Arial" w:hAnsi="Arial"/>
          <w:b/>
          <w:bCs/>
        </w:rPr>
        <w:t xml:space="preserve">Coordinate related-party review processes.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Coordination only; no consolidation (distinct statutes).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Liquidity risk management — </w:t>
      </w:r>
      <w:r>
        <w:rPr>
          <w:rFonts w:ascii="Arial" w:cs="Arial" w:eastAsia="Arial" w:hAnsi="Arial"/>
          <w:b/>
          <w:bCs/>
        </w:rPr>
        <w:t xml:space="preserve">One board liquidity approval satisfies rule and guidance.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6–15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 Deem-satisfied statement citing the General-Part mechanics.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 appetite statement — </w:t>
      </w:r>
      <w:r>
        <w:rPr>
          <w:rFonts w:ascii="Arial" w:cs="Arial" w:eastAsia="Arial" w:hAnsi="Arial"/>
          <w:b/>
          <w:bCs/>
        </w:rPr>
        <w:t xml:space="preserve">Interagency risk-appetite template + safe harbor that one board-approved statement satisfies all.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 Template published with the framework statement; safe harbor may need a conforming rule note (Phase 3).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Risk-governance framework / strategy — </w:t>
      </w:r>
      <w:r>
        <w:rPr>
          <w:rFonts w:ascii="Arial" w:cs="Arial" w:eastAsia="Arial" w:hAnsi="Arial"/>
          <w:b/>
          <w:bCs/>
        </w:rPr>
        <w:t xml:space="preserve">Single interagency board-effectiveness assessment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6–12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codify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Duplicate lever entry (MVP D7) — same action.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BSA/AML program — </w:t>
      </w:r>
      <w:r>
        <w:rPr>
          <w:rFonts w:ascii="Arial" w:cs="Arial" w:eastAsia="Arial" w:hAnsi="Arial"/>
          <w:b/>
          <w:bCs/>
        </w:rPr>
        <w:t xml:space="preserve">Cross-reference manual to the rule; avoid restating. v2.1: resolve the two unreconciled pending rewrites (2024…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FinCEN+FBAs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apa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Reconcile the two pending BSA rewrites before layering compounds; then manual cross-references.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cross-cutting — </w:t>
      </w:r>
      <w:r>
        <w:rPr>
          <w:rFonts w:ascii="Arial" w:cs="Arial" w:eastAsia="Arial" w:hAnsi="Arial"/>
          <w:b/>
          <w:bCs/>
        </w:rPr>
        <w:t xml:space="preserve">Recurring meta-duty (approve framework / review annually / receive reports) -&gt; General Part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6–15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fill_gap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Interagency WG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varies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THE G-PART STATEMENT: the framework statement each later instrument cross-references. Gating item for Phases 2-4.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training — </w:t>
      </w:r>
      <w:r>
        <w:rPr>
          <w:rFonts w:ascii="Arial" w:cs="Arial" w:eastAsia="Arial" w:hAnsi="Arial"/>
          <w:b/>
          <w:bCs/>
        </w:rPr>
        <w:t xml:space="preserve">One consolidated director-training program covering all topics.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9–18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FRB+OCC+FDIC+FinCEN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Statement; BSA module preserves the statutory training pillar.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Risk-governance framework / strategy — </w:t>
      </w:r>
      <w:r>
        <w:rPr>
          <w:rFonts w:ascii="Arial" w:cs="Arial" w:eastAsia="Arial" w:hAnsi="Arial"/>
          <w:b/>
          <w:bCs/>
        </w:rPr>
        <w:t xml:space="preserve">One enterprise framework approval with an IDI addendum (expanded App. D reliance accommodation)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9–18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plus rule safe harbor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 Statement + safe harbor now; feeds the Phase 4 structural expansion.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Third-party risk management — </w:t>
      </w:r>
      <w:r>
        <w:rPr>
          <w:rFonts w:ascii="Arial" w:cs="Arial" w:eastAsia="Arial" w:hAnsi="Arial"/>
          <w:b/>
          <w:bCs/>
        </w:rPr>
        <w:t xml:space="preserve">Quantitative 'critical activity' threshold for board attention; management approval + aggregate reporting othe…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9–18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Threshold value (principals).  Amends the 2023 interagency guidance; threshold value is a principals decision.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Consumer compliance (CMS) — </w:t>
      </w:r>
      <w:r>
        <w:rPr>
          <w:rFonts w:ascii="Arial" w:cs="Arial" w:eastAsia="Arial" w:hAnsi="Arial"/>
          <w:b/>
          <w:bCs/>
        </w:rPr>
        <w:t xml:space="preserve">Coordinate CMS expectations; CFPB now lightly enforced (2026).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9–18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FBAs+CFPB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Coordination item.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Audit committee &amp; independence — </w:t>
      </w:r>
      <w:r>
        <w:rPr>
          <w:rFonts w:ascii="Arial" w:cs="Arial" w:eastAsia="Arial" w:hAnsi="Arial"/>
          <w:b/>
          <w:bCs/>
        </w:rPr>
        <w:t xml:space="preserve">Single 'independent director' definition; one audit committee satisfies all regimes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plus SEC coordination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Independence definition.  Finalizes the Phase 2 definition work into rules/listing-standard cross-refs.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 / CRE appointment &amp; compensation — </w:t>
      </w:r>
      <w:r>
        <w:rPr>
          <w:rFonts w:ascii="Arial" w:cs="Arial" w:eastAsia="Arial" w:hAnsi="Arial"/>
          <w:b/>
          <w:bCs/>
        </w:rPr>
        <w:t xml:space="preserve">Consolidate into Reg YY; OCC incorporates by reference.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12–27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standard.  CRO/CRE rides the same Reg YY amendment cycle.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eligibility &amp; continuity — </w:t>
      </w:r>
      <w:r>
        <w:rPr>
          <w:rFonts w:ascii="Arial" w:cs="Arial" w:eastAsia="Arial" w:hAnsi="Arial"/>
          <w:b/>
          <w:bCs/>
        </w:rPr>
        <w:t xml:space="preserve">Single interagency change-in-director notice procedure.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12–24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Modest joint rulemaking.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Information security &amp; cybersecurity — </w:t>
      </w:r>
      <w:r>
        <w:rPr>
          <w:rFonts w:ascii="Arial" w:cs="Arial" w:eastAsia="Arial" w:hAnsi="Arial"/>
          <w:b/>
          <w:bCs/>
        </w:rPr>
        <w:t xml:space="preserve">One enterprise info-security program approval; joint SEC/banking statement on cyber oversight. v2.1: the 36-ho…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Timeline selection (principals).  Conform four appendices; the incident-timeline choice is a principals decision.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Operational resilience / business continuity — </w:t>
      </w:r>
      <w:r>
        <w:rPr>
          <w:rFonts w:ascii="Arial" w:cs="Arial" w:eastAsia="Arial" w:hAnsi="Arial"/>
          <w:b/>
          <w:bCs/>
        </w:rPr>
        <w:t xml:space="preserve">Fold into the enterprise risk-appetite approval.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12–24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codify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Risk-appetite template.  Operational-resilience fold rides the risk-appetite instruments.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 committee architecture — </w:t>
      </w:r>
      <w:r>
        <w:rPr>
          <w:rFonts w:ascii="Arial" w:cs="Arial" w:eastAsia="Arial" w:hAnsi="Arial"/>
          <w:b/>
          <w:bCs/>
        </w:rPr>
        <w:t xml:space="preserve">One risk-committee standard at the consolidated level + streamlined IDI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Independence definition.  Joint rulemaking; App. D cross-references Reg YY; certification template from Phase 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Credit risk governance — </w:t>
      </w:r>
      <w:r>
        <w:rPr>
          <w:rFonts w:ascii="Arial" w:cs="Arial" w:eastAsia="Arial" w:hAnsi="Arial"/>
          <w:b/>
          <w:bCs/>
        </w:rPr>
        <w:t xml:space="preserve">One interagency real-estate-lending standard; fold ACL/credit-review into the risk-committee credit cycle.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15–30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standard.  Credit cycle folds into the consolidated committee standard.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Resolution, recovery &amp; contingency funding — </w:t>
      </w:r>
      <w:r>
        <w:rPr>
          <w:rFonts w:ascii="Arial" w:cs="Arial" w:eastAsia="Arial" w:hAnsi="Arial"/>
          <w:b/>
          <w:bCs/>
        </w:rPr>
        <w:t xml:space="preserve">Single 'resilience planning' board cycle; shared resolution submission with an IDI annex.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15–33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 Joint rulemaking; FDIC annex preserves the distinct resolvability interest.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cross-cutting (largest structural lever) — </w:t>
      </w:r>
      <w:r>
        <w:rPr>
          <w:rFonts w:ascii="Arial" w:cs="Arial" w:eastAsia="Arial" w:hAnsi="Arial"/>
          <w:b/>
          <w:bCs/>
        </w:rPr>
        <w:t xml:space="preserve">Vertical HC/IDI rationalization via expanded reliance accommodation (schema, per mirror pair)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24–48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rulemaking possibly statutory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standard; Risk-appetite template; Enterprise framework statement.  The structural prize; requires consolidated enterprise standards in force first; statutory at the margin.</w:t>
      </w:r>
    </w:p>
    <w:p>
      <w:pPr>
        <w:pStyle w:val="Heading2"/>
      </w:pPr>
      <w:r>
        <w:t xml:space="preserve">OCC  (21 actions)</w:t>
      </w:r>
    </w:p>
    <w:p>
      <w:pPr>
        <w:spacing w:after="120"/>
        <w:rPr>
          <w:b/>
          <w:bCs/>
          <w:color w:val="2E7D6B"/>
          <w:sz w:val="20"/>
          <w:szCs w:val="20"/>
        </w:rPr>
      </w:pPr>
      <w:r>
        <w:rPr>
          <w:rFonts w:ascii="Arial" w:cs="Arial" w:eastAsia="Arial" w:hAnsi="Arial"/>
          <w:b/>
          <w:bCs/>
          <w:color w:val="2E7D6B"/>
          <w:sz w:val="20"/>
          <w:szCs w:val="20"/>
        </w:rPr>
        <w:t xml:space="preserve">Can act alone: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Fiduciary (trust) governance — </w:t>
      </w:r>
      <w:r>
        <w:rPr>
          <w:rFonts w:ascii="Arial" w:cs="Arial" w:eastAsia="Arial" w:hAnsi="Arial"/>
          <w:b/>
          <w:bCs/>
        </w:rPr>
        <w:t xml:space="preserve">Permit the §36/Part 363 audit committee to satisfy the fiduciary-audit duty where composition overlaps.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0–9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apa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Single-agency 12 CFR 9 amendment.</w:t>
      </w:r>
    </w:p>
    <w:p>
      <w:pPr>
        <w:spacing w:after="120"/>
        <w:rPr>
          <w:b/>
          <w:bCs/>
          <w:color w:val="1F3864"/>
          <w:sz w:val="20"/>
          <w:szCs w:val="20"/>
        </w:rPr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Joint actions: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Incentive compensation — </w:t>
      </w:r>
      <w:r>
        <w:rPr>
          <w:rFonts w:ascii="Arial" w:cs="Arial" w:eastAsia="Arial" w:hAnsi="Arial"/>
          <w:b/>
          <w:bCs/>
        </w:rPr>
        <w:t xml:space="preserve">Finalize one 956 framework or rely on guidance; SEC independence satisfies the prudential element.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0–48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6 agencies (principals)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open branch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Open policy branch; either branch slots into Phase 3 mechanics once decided.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Board self-assessment / effectiveness — </w:t>
      </w:r>
      <w:r>
        <w:rPr>
          <w:rFonts w:ascii="Arial" w:cs="Arial" w:eastAsia="Arial" w:hAnsi="Arial"/>
          <w:b/>
          <w:bCs/>
        </w:rPr>
        <w:t xml:space="preserve">Single interagency board-effectiveness assessment.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6–12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Joint statement; near-identical source texts.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independence (cross-cutting) — </w:t>
      </w:r>
      <w:r>
        <w:rPr>
          <w:rFonts w:ascii="Arial" w:cs="Arial" w:eastAsia="Arial" w:hAnsi="Arial"/>
          <w:b/>
          <w:bCs/>
        </w:rPr>
        <w:t xml:space="preserve">Single cross-referenced prudential independence definition.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6–24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Start early — SEC coordination is the longest pole; finalizes in Phase 3.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Liquidity risk management — </w:t>
      </w:r>
      <w:r>
        <w:rPr>
          <w:rFonts w:ascii="Arial" w:cs="Arial" w:eastAsia="Arial" w:hAnsi="Arial"/>
          <w:b/>
          <w:bCs/>
        </w:rPr>
        <w:t xml:space="preserve">One board liquidity approval satisfies rule and guidance.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6–15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 Deem-satisfied statement citing the General-Part mechanics.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 appetite statement — </w:t>
      </w:r>
      <w:r>
        <w:rPr>
          <w:rFonts w:ascii="Arial" w:cs="Arial" w:eastAsia="Arial" w:hAnsi="Arial"/>
          <w:b/>
          <w:bCs/>
        </w:rPr>
        <w:t xml:space="preserve">Interagency risk-appetite template + safe harbor that one board-approved statement satisfies all.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 Template published with the framework statement; safe harbor may need a conforming rule note (Phase 3).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Risk-governance framework / strategy — </w:t>
      </w:r>
      <w:r>
        <w:rPr>
          <w:rFonts w:ascii="Arial" w:cs="Arial" w:eastAsia="Arial" w:hAnsi="Arial"/>
          <w:b/>
          <w:bCs/>
        </w:rPr>
        <w:t xml:space="preserve">Single interagency board-effectiveness assessment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6–12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codify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Duplicate lever entry (MVP D7) — same action.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BSA/AML program — </w:t>
      </w:r>
      <w:r>
        <w:rPr>
          <w:rFonts w:ascii="Arial" w:cs="Arial" w:eastAsia="Arial" w:hAnsi="Arial"/>
          <w:b/>
          <w:bCs/>
        </w:rPr>
        <w:t xml:space="preserve">Cross-reference manual to the rule; avoid restating. v2.1: resolve the two unreconciled pending rewrites (2024…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FinCEN+FBAs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apa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Reconcile the two pending BSA rewrites before layering compounds; then manual cross-references.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cross-cutting — </w:t>
      </w:r>
      <w:r>
        <w:rPr>
          <w:rFonts w:ascii="Arial" w:cs="Arial" w:eastAsia="Arial" w:hAnsi="Arial"/>
          <w:b/>
          <w:bCs/>
        </w:rPr>
        <w:t xml:space="preserve">Recurring meta-duty (approve framework / review annually / receive reports) -&gt; General Part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6–15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fill_gap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Interagency WG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varies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THE G-PART STATEMENT: the framework statement each later instrument cross-references. Gating item for Phases 2-4.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training — </w:t>
      </w:r>
      <w:r>
        <w:rPr>
          <w:rFonts w:ascii="Arial" w:cs="Arial" w:eastAsia="Arial" w:hAnsi="Arial"/>
          <w:b/>
          <w:bCs/>
        </w:rPr>
        <w:t xml:space="preserve">One consolidated director-training program covering all topics.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9–18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FRB+OCC+FDIC+FinCEN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Statement; BSA module preserves the statutory training pillar.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Risk-governance framework / strategy — </w:t>
      </w:r>
      <w:r>
        <w:rPr>
          <w:rFonts w:ascii="Arial" w:cs="Arial" w:eastAsia="Arial" w:hAnsi="Arial"/>
          <w:b/>
          <w:bCs/>
        </w:rPr>
        <w:t xml:space="preserve">One enterprise framework approval with an IDI addendum (expanded App. D reliance accommodation)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9–18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plus rule safe harbor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 Statement + safe harbor now; feeds the Phase 4 structural expansion.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Third-party risk management — </w:t>
      </w:r>
      <w:r>
        <w:rPr>
          <w:rFonts w:ascii="Arial" w:cs="Arial" w:eastAsia="Arial" w:hAnsi="Arial"/>
          <w:b/>
          <w:bCs/>
        </w:rPr>
        <w:t xml:space="preserve">Quantitative 'critical activity' threshold for board attention; management approval + aggregate reporting othe…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9–18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Threshold value (principals).  Amends the 2023 interagency guidance; threshold value is a principals decision.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Consumer compliance (CMS) — </w:t>
      </w:r>
      <w:r>
        <w:rPr>
          <w:rFonts w:ascii="Arial" w:cs="Arial" w:eastAsia="Arial" w:hAnsi="Arial"/>
          <w:b/>
          <w:bCs/>
        </w:rPr>
        <w:t xml:space="preserve">Coordinate CMS expectations; CFPB now lightly enforced (2026).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9–18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FBAs+CFPB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Coordination item.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Audit committee &amp; independence — </w:t>
      </w:r>
      <w:r>
        <w:rPr>
          <w:rFonts w:ascii="Arial" w:cs="Arial" w:eastAsia="Arial" w:hAnsi="Arial"/>
          <w:b/>
          <w:bCs/>
        </w:rPr>
        <w:t xml:space="preserve">Single 'independent director' definition; one audit committee satisfies all regimes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plus SEC coordination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Independence definition.  Finalizes the Phase 2 definition work into rules/listing-standard cross-refs.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 / CRE appointment &amp; compensation — </w:t>
      </w:r>
      <w:r>
        <w:rPr>
          <w:rFonts w:ascii="Arial" w:cs="Arial" w:eastAsia="Arial" w:hAnsi="Arial"/>
          <w:b/>
          <w:bCs/>
        </w:rPr>
        <w:t xml:space="preserve">Consolidate into Reg YY; OCC incorporates by reference.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12–27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standard.  CRO/CRE rides the same Reg YY amendment cycle.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eligibility &amp; continuity — </w:t>
      </w:r>
      <w:r>
        <w:rPr>
          <w:rFonts w:ascii="Arial" w:cs="Arial" w:eastAsia="Arial" w:hAnsi="Arial"/>
          <w:b/>
          <w:bCs/>
        </w:rPr>
        <w:t xml:space="preserve">Single interagency change-in-director notice procedure.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12–24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Modest joint rulemaking.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Information security &amp; cybersecurity — </w:t>
      </w:r>
      <w:r>
        <w:rPr>
          <w:rFonts w:ascii="Arial" w:cs="Arial" w:eastAsia="Arial" w:hAnsi="Arial"/>
          <w:b/>
          <w:bCs/>
        </w:rPr>
        <w:t xml:space="preserve">One enterprise info-security program approval; joint SEC/banking statement on cyber oversight. v2.1: the 36-ho…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Timeline selection (principals).  Conform four appendices; the incident-timeline choice is a principals decision.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Operational resilience / business continuity — </w:t>
      </w:r>
      <w:r>
        <w:rPr>
          <w:rFonts w:ascii="Arial" w:cs="Arial" w:eastAsia="Arial" w:hAnsi="Arial"/>
          <w:b/>
          <w:bCs/>
        </w:rPr>
        <w:t xml:space="preserve">Fold into the enterprise risk-appetite approval.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12–24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codify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Risk-appetite template.  Operational-resilience fold rides the risk-appetite instruments.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 committee architecture — </w:t>
      </w:r>
      <w:r>
        <w:rPr>
          <w:rFonts w:ascii="Arial" w:cs="Arial" w:eastAsia="Arial" w:hAnsi="Arial"/>
          <w:b/>
          <w:bCs/>
        </w:rPr>
        <w:t xml:space="preserve">One risk-committee standard at the consolidated level + streamlined IDI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Independence definition.  Joint rulemaking; App. D cross-references Reg YY; certification template from Phase 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Credit risk governance — </w:t>
      </w:r>
      <w:r>
        <w:rPr>
          <w:rFonts w:ascii="Arial" w:cs="Arial" w:eastAsia="Arial" w:hAnsi="Arial"/>
          <w:b/>
          <w:bCs/>
        </w:rPr>
        <w:t xml:space="preserve">One interagency real-estate-lending standard; fold ACL/credit-review into the risk-committee credit cycle.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15–30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standard.  Credit cycle folds into the consolidated committee standard.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cross-cutting (largest structural lever) — </w:t>
      </w:r>
      <w:r>
        <w:rPr>
          <w:rFonts w:ascii="Arial" w:cs="Arial" w:eastAsia="Arial" w:hAnsi="Arial"/>
          <w:b/>
          <w:bCs/>
        </w:rPr>
        <w:t xml:space="preserve">Vertical HC/IDI rationalization via expanded reliance accommodation (schema, per mirror pair)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24–48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rulemaking possibly statutory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standard; Risk-appetite template; Enterprise framework statement.  The structural prize; requires consolidated enterprise standards in force first; statutory at the margin.</w:t>
      </w:r>
    </w:p>
    <w:p>
      <w:pPr>
        <w:pStyle w:val="Heading2"/>
      </w:pPr>
      <w:r>
        <w:t xml:space="preserve">FDIC  (13 actions)</w:t>
      </w:r>
    </w:p>
    <w:p>
      <w:pPr>
        <w:spacing w:after="120"/>
        <w:rPr>
          <w:b/>
          <w:bCs/>
          <w:color w:val="2E7D6B"/>
          <w:sz w:val="20"/>
          <w:szCs w:val="20"/>
        </w:rPr>
      </w:pPr>
      <w:r>
        <w:rPr>
          <w:rFonts w:ascii="Arial" w:cs="Arial" w:eastAsia="Arial" w:hAnsi="Arial"/>
          <w:b/>
          <w:bCs/>
          <w:color w:val="2E7D6B"/>
          <w:sz w:val="20"/>
          <w:szCs w:val="20"/>
        </w:rPr>
        <w:t xml:space="preserve">Can act alone: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Internal control over financial reporting — </w:t>
      </w:r>
      <w:r>
        <w:rPr>
          <w:rFonts w:ascii="Arial" w:cs="Arial" w:eastAsia="Arial" w:hAnsi="Arial"/>
          <w:b/>
          <w:bCs/>
        </w:rPr>
        <w:t xml:space="preserve">SOX 404(b) satisfies FDICIA ICFR by cross-reference; align cycles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0–12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amendment(Part 363)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Single-agency Part 363 amendment; start immediately, lands in Phase 2 window.</w:t>
      </w:r>
    </w:p>
    <w:p>
      <w:pPr>
        <w:spacing w:after="120"/>
        <w:rPr>
          <w:b/>
          <w:bCs/>
          <w:color w:val="1F3864"/>
          <w:sz w:val="20"/>
          <w:szCs w:val="20"/>
        </w:rPr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Joint actions: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Incentive compensation — </w:t>
      </w:r>
      <w:r>
        <w:rPr>
          <w:rFonts w:ascii="Arial" w:cs="Arial" w:eastAsia="Arial" w:hAnsi="Arial"/>
          <w:b/>
          <w:bCs/>
        </w:rPr>
        <w:t xml:space="preserve">Finalize one 956 framework or rely on guidance; SEC independence satisfies the prudential element.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0–48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6 agencies (principals)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open branch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Open policy branch; either branch slots into Phase 3 mechanics once decided.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independence (cross-cutting) — </w:t>
      </w:r>
      <w:r>
        <w:rPr>
          <w:rFonts w:ascii="Arial" w:cs="Arial" w:eastAsia="Arial" w:hAnsi="Arial"/>
          <w:b/>
          <w:bCs/>
        </w:rPr>
        <w:t xml:space="preserve">Single cross-referenced prudential independence definition.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6–24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Start early — SEC coordination is the longest pole; finalizes in Phase 3.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BSA/AML program — </w:t>
      </w:r>
      <w:r>
        <w:rPr>
          <w:rFonts w:ascii="Arial" w:cs="Arial" w:eastAsia="Arial" w:hAnsi="Arial"/>
          <w:b/>
          <w:bCs/>
        </w:rPr>
        <w:t xml:space="preserve">Cross-reference manual to the rule; avoid restating. v2.1: resolve the two unreconciled pending rewrites (2024…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FinCEN+FBAs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apa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Reconcile the two pending BSA rewrites before layering compounds; then manual cross-references.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cross-cutting — </w:t>
      </w:r>
      <w:r>
        <w:rPr>
          <w:rFonts w:ascii="Arial" w:cs="Arial" w:eastAsia="Arial" w:hAnsi="Arial"/>
          <w:b/>
          <w:bCs/>
        </w:rPr>
        <w:t xml:space="preserve">Recurring meta-duty (approve framework / review annually / receive reports) -&gt; General Part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6–15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fill_gap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Interagency WG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varies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THE G-PART STATEMENT: the framework statement each later instrument cross-references. Gating item for Phases 2-4.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training — </w:t>
      </w:r>
      <w:r>
        <w:rPr>
          <w:rFonts w:ascii="Arial" w:cs="Arial" w:eastAsia="Arial" w:hAnsi="Arial"/>
          <w:b/>
          <w:bCs/>
        </w:rPr>
        <w:t xml:space="preserve">One consolidated director-training program covering all topics.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9–18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FRB+OCC+FDIC+FinCEN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Statement; BSA module preserves the statutory training pillar.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Third-party risk management — </w:t>
      </w:r>
      <w:r>
        <w:rPr>
          <w:rFonts w:ascii="Arial" w:cs="Arial" w:eastAsia="Arial" w:hAnsi="Arial"/>
          <w:b/>
          <w:bCs/>
        </w:rPr>
        <w:t xml:space="preserve">Quantitative 'critical activity' threshold for board attention; management approval + aggregate reporting othe…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9–18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Threshold value (principals).  Amends the 2023 interagency guidance; threshold value is a principals decision.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Consumer compliance (CMS) — </w:t>
      </w:r>
      <w:r>
        <w:rPr>
          <w:rFonts w:ascii="Arial" w:cs="Arial" w:eastAsia="Arial" w:hAnsi="Arial"/>
          <w:b/>
          <w:bCs/>
        </w:rPr>
        <w:t xml:space="preserve">Coordinate CMS expectations; CFPB now lightly enforced (2026).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9–18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FBAs+CFPB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Coordination item.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Audit committee &amp; independence — </w:t>
      </w:r>
      <w:r>
        <w:rPr>
          <w:rFonts w:ascii="Arial" w:cs="Arial" w:eastAsia="Arial" w:hAnsi="Arial"/>
          <w:b/>
          <w:bCs/>
        </w:rPr>
        <w:t xml:space="preserve">Single 'independent director' definition; one audit committee satisfies all regimes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plus SEC coordination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Independence definition.  Finalizes the Phase 2 definition work into rules/listing-standard cross-refs.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Information security &amp; cybersecurity — </w:t>
      </w:r>
      <w:r>
        <w:rPr>
          <w:rFonts w:ascii="Arial" w:cs="Arial" w:eastAsia="Arial" w:hAnsi="Arial"/>
          <w:b/>
          <w:bCs/>
        </w:rPr>
        <w:t xml:space="preserve">One enterprise info-security program approval; joint SEC/banking statement on cyber oversight. v2.1: the 36-ho…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Timeline selection (principals).  Conform four appendices; the incident-timeline choice is a principals decision.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Credit risk governance — </w:t>
      </w:r>
      <w:r>
        <w:rPr>
          <w:rFonts w:ascii="Arial" w:cs="Arial" w:eastAsia="Arial" w:hAnsi="Arial"/>
          <w:b/>
          <w:bCs/>
        </w:rPr>
        <w:t xml:space="preserve">One interagency real-estate-lending standard; fold ACL/credit-review into the risk-committee credit cycle.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15–30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standard.  Credit cycle folds into the consolidated committee standard.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Resolution, recovery &amp; contingency funding — </w:t>
      </w:r>
      <w:r>
        <w:rPr>
          <w:rFonts w:ascii="Arial" w:cs="Arial" w:eastAsia="Arial" w:hAnsi="Arial"/>
          <w:b/>
          <w:bCs/>
        </w:rPr>
        <w:t xml:space="preserve">Single 'resilience planning' board cycle; shared resolution submission with an IDI annex.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15–33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 Joint rulemaking; FDIC annex preserves the distinct resolvability interest.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cross-cutting (largest structural lever) — </w:t>
      </w:r>
      <w:r>
        <w:rPr>
          <w:rFonts w:ascii="Arial" w:cs="Arial" w:eastAsia="Arial" w:hAnsi="Arial"/>
          <w:b/>
          <w:bCs/>
        </w:rPr>
        <w:t xml:space="preserve">Vertical HC/IDI rationalization via expanded reliance accommodation (schema, per mirror pair)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24–48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rulemaking possibly statutory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standard; Risk-appetite template; Enterprise framework statement.  The structural prize; requires consolidated enterprise standards in force first; statutory at the margin.</w:t>
      </w:r>
    </w:p>
    <w:p>
      <w:pPr>
        <w:pStyle w:val="Heading2"/>
      </w:pPr>
      <w:r>
        <w:t xml:space="preserve">SEC  (5 actions)</w:t>
      </w:r>
    </w:p>
    <w:p>
      <w:pPr>
        <w:spacing w:after="120"/>
        <w:rPr>
          <w:b/>
          <w:bCs/>
          <w:color w:val="1F3864"/>
          <w:sz w:val="20"/>
          <w:szCs w:val="20"/>
        </w:rPr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Joint actions: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Incentive compensation — </w:t>
      </w:r>
      <w:r>
        <w:rPr>
          <w:rFonts w:ascii="Arial" w:cs="Arial" w:eastAsia="Arial" w:hAnsi="Arial"/>
          <w:b/>
          <w:bCs/>
        </w:rPr>
        <w:t xml:space="preserve">Finalize one 956 framework or rely on guidance; SEC independence satisfies the prudential element.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0–48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6 agencies (principals)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open branch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Open policy branch; either branch slots into Phase 3 mechanics once decided.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independence (cross-cutting) — </w:t>
      </w:r>
      <w:r>
        <w:rPr>
          <w:rFonts w:ascii="Arial" w:cs="Arial" w:eastAsia="Arial" w:hAnsi="Arial"/>
          <w:b/>
          <w:bCs/>
        </w:rPr>
        <w:t xml:space="preserve">Single cross-referenced prudential independence definition.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6–24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Start early — SEC coordination is the longest pole; finalizes in Phase 3.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Insider / affiliate / related-party — </w:t>
      </w:r>
      <w:r>
        <w:rPr>
          <w:rFonts w:ascii="Arial" w:cs="Arial" w:eastAsia="Arial" w:hAnsi="Arial"/>
          <w:b/>
          <w:bCs/>
        </w:rPr>
        <w:t xml:space="preserve">Coordinate related-party review processes.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Coordination only; no consolidation (distinct statutes).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Audit committee &amp; independence — </w:t>
      </w:r>
      <w:r>
        <w:rPr>
          <w:rFonts w:ascii="Arial" w:cs="Arial" w:eastAsia="Arial" w:hAnsi="Arial"/>
          <w:b/>
          <w:bCs/>
        </w:rPr>
        <w:t xml:space="preserve">Single 'independent director' definition; one audit committee satisfies all regimes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plus SEC coordination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Independence definition.  Finalizes the Phase 2 definition work into rules/listing-standard cross-refs.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Information security &amp; cybersecurity — </w:t>
      </w:r>
      <w:r>
        <w:rPr>
          <w:rFonts w:ascii="Arial" w:cs="Arial" w:eastAsia="Arial" w:hAnsi="Arial"/>
          <w:b/>
          <w:bCs/>
        </w:rPr>
        <w:t xml:space="preserve">One enterprise info-security program approval; joint SEC/banking statement on cyber oversight. v2.1: the 36-ho…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Timeline selection (principals).  Conform four appendices; the incident-timeline choice is a principals decision.</w:t>
      </w:r>
    </w:p>
    <w:p>
      <w:pPr>
        <w:pStyle w:val="Heading2"/>
      </w:pPr>
      <w:r>
        <w:t xml:space="preserve">FinCEN  (2 actions)</w:t>
      </w:r>
    </w:p>
    <w:p>
      <w:pPr>
        <w:spacing w:after="120"/>
        <w:rPr>
          <w:b/>
          <w:bCs/>
          <w:color w:val="1F3864"/>
          <w:sz w:val="20"/>
          <w:szCs w:val="20"/>
        </w:rPr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Joint actions: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BSA/AML program — </w:t>
      </w:r>
      <w:r>
        <w:rPr>
          <w:rFonts w:ascii="Arial" w:cs="Arial" w:eastAsia="Arial" w:hAnsi="Arial"/>
          <w:b/>
          <w:bCs/>
        </w:rPr>
        <w:t xml:space="preserve">Cross-reference manual to the rule; avoid restating. v2.1: resolve the two unreconciled pending rewrites (2024…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FinCEN+FBAs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apa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Reconcile the two pending BSA rewrites before layering compounds; then manual cross-references.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training — </w:t>
      </w:r>
      <w:r>
        <w:rPr>
          <w:rFonts w:ascii="Arial" w:cs="Arial" w:eastAsia="Arial" w:hAnsi="Arial"/>
          <w:b/>
          <w:bCs/>
        </w:rPr>
        <w:t xml:space="preserve">One consolidated director-training program covering all topics.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9–18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FRB+OCC+FDIC+FinCEN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Statement; BSA module preserves the statutory training pillar.</w:t>
      </w:r>
    </w:p>
    <w:p>
      <w:pPr>
        <w:pStyle w:val="Heading2"/>
      </w:pPr>
      <w:r>
        <w:t xml:space="preserve">CFPB  (1 actions)</w:t>
      </w:r>
    </w:p>
    <w:p>
      <w:pPr>
        <w:spacing w:after="120"/>
        <w:rPr>
          <w:b/>
          <w:bCs/>
          <w:color w:val="1F3864"/>
          <w:sz w:val="20"/>
          <w:szCs w:val="20"/>
        </w:rPr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Joint actions: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Consumer compliance (CMS) — </w:t>
      </w:r>
      <w:r>
        <w:rPr>
          <w:rFonts w:ascii="Arial" w:cs="Arial" w:eastAsia="Arial" w:hAnsi="Arial"/>
          <w:b/>
          <w:bCs/>
        </w:rPr>
        <w:t xml:space="preserve">Coordinate CMS expectations; CFPB now lightly enforced (2026).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9–18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FBAs+CFPB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Coordination item.</w:t>
      </w:r>
    </w:p>
    <w:p>
      <w:r>
        <w:br w:type="page"/>
      </w:r>
    </w:p>
    <w:p>
      <w:pPr>
        <w:pStyle w:val="Heading1"/>
      </w:pPr>
      <w:r>
        <w:t xml:space="preserve">View 3 — By timeline (the sequence and its dependencies)</w:t>
      </w:r>
    </w:p>
    <w:p>
      <w:pPr>
        <w:pStyle w:val="Heading2"/>
      </w:pPr>
      <w:r>
        <w:t xml:space="preserve">Phase 1 — Single-agency actions (months 0–6)</w:t>
      </w:r>
    </w:p>
    <w:p>
      <w:pPr>
        <w:spacing w:after="120"/>
        <w:rPr>
          <w:i/>
          <w:iCs/>
          <w:color w:val="6B7280"/>
          <w:sz w:val="19"/>
          <w:szCs w:val="19"/>
        </w:rPr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Three agencies act unilaterally; the interagency working group stands up in parallel. Nothing waits on anyone.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Capital planning &amp; stress testing — </w:t>
      </w:r>
      <w:r>
        <w:rPr>
          <w:rFonts w:ascii="Arial" w:cs="Arial" w:eastAsia="Arial" w:hAnsi="Arial"/>
          <w:b/>
          <w:bCs/>
        </w:rPr>
        <w:t xml:space="preserve">Separate board capital-action decisions from technical methodology reporting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0–6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guidance action plus conforming rule note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 coordination needed; guidance action + conforming note.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Fiduciary (trust) governance — </w:t>
      </w:r>
      <w:r>
        <w:rPr>
          <w:rFonts w:ascii="Arial" w:cs="Arial" w:eastAsia="Arial" w:hAnsi="Arial"/>
          <w:b/>
          <w:bCs/>
        </w:rPr>
        <w:t xml:space="preserve">Permit the §36/Part 363 audit committee to satisfy the fiduciary-audit duty where composition overlaps.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0–9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apa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Single-agency 12 CFR 9 amendment.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Internal control over financial reporting — </w:t>
      </w:r>
      <w:r>
        <w:rPr>
          <w:rFonts w:ascii="Arial" w:cs="Arial" w:eastAsia="Arial" w:hAnsi="Arial"/>
          <w:b/>
          <w:bCs/>
        </w:rPr>
        <w:t xml:space="preserve">SOX 404(b) satisfies FDICIA ICFR by cross-reference; align cycles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0–12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amendment(Part 363)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Single-agency Part 363 amendment; start immediately, lands in Phase 2 window.</w:t>
      </w:r>
    </w:p>
    <w:p>
      <w:pPr>
        <w:pStyle w:val="Heading2"/>
      </w:pPr>
      <w:r>
        <w:t xml:space="preserve">Phase 2 — Interagency statements &amp; safe harbors (months 6–18)</w:t>
      </w:r>
    </w:p>
    <w:p>
      <w:pPr>
        <w:spacing w:after="120"/>
        <w:rPr>
          <w:i/>
          <w:iCs/>
          <w:color w:val="6B7280"/>
          <w:sz w:val="19"/>
          <w:szCs w:val="19"/>
        </w:rPr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The gating item lands here: the General-Part framework statement, which every later instrument cross-references. Statements, templates, and safe harbors that need no rule text.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Board self-assessment / effectiveness — </w:t>
      </w:r>
      <w:r>
        <w:rPr>
          <w:rFonts w:ascii="Arial" w:cs="Arial" w:eastAsia="Arial" w:hAnsi="Arial"/>
          <w:b/>
          <w:bCs/>
        </w:rPr>
        <w:t xml:space="preserve">Single interagency board-effectiveness assessment.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6–12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Joint statement; near-identical source texts.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Risk-governance framework / strategy — </w:t>
      </w:r>
      <w:r>
        <w:rPr>
          <w:rFonts w:ascii="Arial" w:cs="Arial" w:eastAsia="Arial" w:hAnsi="Arial"/>
          <w:b/>
          <w:bCs/>
        </w:rPr>
        <w:t xml:space="preserve">Single interagency board-effectiveness assessment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6–12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codify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Duplicate lever entry (MVP D7) — same action.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Liquidity risk management — </w:t>
      </w:r>
      <w:r>
        <w:rPr>
          <w:rFonts w:ascii="Arial" w:cs="Arial" w:eastAsia="Arial" w:hAnsi="Arial"/>
          <w:b/>
          <w:bCs/>
        </w:rPr>
        <w:t xml:space="preserve">One board liquidity approval satisfies rule and guidance.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6–15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 Deem-satisfied statement citing the General-Part mechanics.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cross-cutting — </w:t>
      </w:r>
      <w:r>
        <w:rPr>
          <w:rFonts w:ascii="Arial" w:cs="Arial" w:eastAsia="Arial" w:hAnsi="Arial"/>
          <w:b/>
          <w:bCs/>
        </w:rPr>
        <w:t xml:space="preserve">Recurring meta-duty (approve framework / review annually / receive reports) -&gt; General Part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6–15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fill_gap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Interagency WG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varies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THE G-PART STATEMENT: the framework statement each later instrument cross-references. Gating item for Phases 2-4.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Insider / affiliate / related-party — </w:t>
      </w:r>
      <w:r>
        <w:rPr>
          <w:rFonts w:ascii="Arial" w:cs="Arial" w:eastAsia="Arial" w:hAnsi="Arial"/>
          <w:b/>
          <w:bCs/>
        </w:rPr>
        <w:t xml:space="preserve">Coordinate related-party review processes.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Coordination only; no consolidation (distinct statutes).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 appetite statement — </w:t>
      </w:r>
      <w:r>
        <w:rPr>
          <w:rFonts w:ascii="Arial" w:cs="Arial" w:eastAsia="Arial" w:hAnsi="Arial"/>
          <w:b/>
          <w:bCs/>
        </w:rPr>
        <w:t xml:space="preserve">Interagency risk-appetite template + safe harbor that one board-approved statement satisfies all.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 Template published with the framework statement; safe harbor may need a conforming rule note (Phase 3).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BSA/AML program — </w:t>
      </w:r>
      <w:r>
        <w:rPr>
          <w:rFonts w:ascii="Arial" w:cs="Arial" w:eastAsia="Arial" w:hAnsi="Arial"/>
          <w:b/>
          <w:bCs/>
        </w:rPr>
        <w:t xml:space="preserve">Cross-reference manual to the rule; avoid restating. v2.1: resolve the two unreconciled pending rewrites (2024…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FinCEN+FBAs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apa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Reconcile the two pending BSA rewrites before layering compounds; then manual cross-references.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independence (cross-cutting) — </w:t>
      </w:r>
      <w:r>
        <w:rPr>
          <w:rFonts w:ascii="Arial" w:cs="Arial" w:eastAsia="Arial" w:hAnsi="Arial"/>
          <w:b/>
          <w:bCs/>
        </w:rPr>
        <w:t xml:space="preserve">Single cross-referenced prudential independence definition.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6–24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Start early — SEC coordination is the longest pole; finalizes in Phase 3.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training — </w:t>
      </w:r>
      <w:r>
        <w:rPr>
          <w:rFonts w:ascii="Arial" w:cs="Arial" w:eastAsia="Arial" w:hAnsi="Arial"/>
          <w:b/>
          <w:bCs/>
        </w:rPr>
        <w:t xml:space="preserve">One consolidated director-training program covering all topics.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9–18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FRB+OCC+FDIC+FinCEN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Statement; BSA module preserves the statutory training pillar.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Risk-governance framework / strategy — </w:t>
      </w:r>
      <w:r>
        <w:rPr>
          <w:rFonts w:ascii="Arial" w:cs="Arial" w:eastAsia="Arial" w:hAnsi="Arial"/>
          <w:b/>
          <w:bCs/>
        </w:rPr>
        <w:t xml:space="preserve">One enterprise framework approval with an IDI addendum (expanded App. D reliance accommodation)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9–18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plus rule safe harbor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 Statement + safe harbor now; feeds the Phase 4 structural expansion.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Third-party risk management — </w:t>
      </w:r>
      <w:r>
        <w:rPr>
          <w:rFonts w:ascii="Arial" w:cs="Arial" w:eastAsia="Arial" w:hAnsi="Arial"/>
          <w:b/>
          <w:bCs/>
        </w:rPr>
        <w:t xml:space="preserve">Quantitative 'critical activity' threshold for board attention; management approval + aggregate reporting othe…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9–18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Threshold value (principals).  Amends the 2023 interagency guidance; threshold value is a principals decision.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Consumer compliance (CMS) — </w:t>
      </w:r>
      <w:r>
        <w:rPr>
          <w:rFonts w:ascii="Arial" w:cs="Arial" w:eastAsia="Arial" w:hAnsi="Arial"/>
          <w:b/>
          <w:bCs/>
        </w:rPr>
        <w:t xml:space="preserve">Coordinate CMS expectations; CFPB now lightly enforced (2026).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9–18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FBAs+CFPB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non-target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Coordination item.</w:t>
      </w:r>
    </w:p>
    <w:p>
      <w:pPr>
        <w:pStyle w:val="Heading2"/>
      </w:pPr>
      <w:r>
        <w:t xml:space="preserve">Phase 3 — Joint rulemakings (months 12–30)</w:t>
      </w:r>
    </w:p>
    <w:p>
      <w:pPr>
        <w:spacing w:after="120"/>
        <w:rPr>
          <w:i/>
          <w:iCs/>
          <w:color w:val="6B7280"/>
          <w:sz w:val="19"/>
          <w:szCs w:val="19"/>
        </w:rPr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Notice-and-comment work consuming Phase 2's definitions and templates. The independence definition (begun in Phase 2 with the SEC) finalizes here.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Director eligibility &amp; continuity — </w:t>
      </w:r>
      <w:r>
        <w:rPr>
          <w:rFonts w:ascii="Arial" w:cs="Arial" w:eastAsia="Arial" w:hAnsi="Arial"/>
          <w:b/>
          <w:bCs/>
        </w:rPr>
        <w:t xml:space="preserve">Single interagency change-in-director notice procedure.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12–24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Modest joint rulemaking.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Operational resilience / business continuity — </w:t>
      </w:r>
      <w:r>
        <w:rPr>
          <w:rFonts w:ascii="Arial" w:cs="Arial" w:eastAsia="Arial" w:hAnsi="Arial"/>
          <w:b/>
          <w:bCs/>
        </w:rPr>
        <w:t xml:space="preserve">Fold into the enterprise risk-appetite approval.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12–24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codify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Risk-appetite template.  Operational-resilience fold rides the risk-appetite instruments.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 / CRE appointment &amp; compensation — </w:t>
      </w:r>
      <w:r>
        <w:rPr>
          <w:rFonts w:ascii="Arial" w:cs="Arial" w:eastAsia="Arial" w:hAnsi="Arial"/>
          <w:b/>
          <w:bCs/>
        </w:rPr>
        <w:t xml:space="preserve">Consolidate into Reg YY; OCC incorporates by reference.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12–27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standard.  CRO/CRE rides the same Reg YY amendment cycle.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Audit committee &amp; independence — </w:t>
      </w:r>
      <w:r>
        <w:rPr>
          <w:rFonts w:ascii="Arial" w:cs="Arial" w:eastAsia="Arial" w:hAnsi="Arial"/>
          <w:b/>
          <w:bCs/>
        </w:rPr>
        <w:t xml:space="preserve">Single 'independent director' definition; one audit committee satisfies all regimes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interagency statement plus SEC coordination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Independence definition.  Finalizes the Phase 2 definition work into rules/listing-standard cross-refs.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Information security &amp; cybersecurity — </w:t>
      </w:r>
      <w:r>
        <w:rPr>
          <w:rFonts w:ascii="Arial" w:cs="Arial" w:eastAsia="Arial" w:hAnsi="Arial"/>
          <w:b/>
          <w:bCs/>
        </w:rPr>
        <w:t xml:space="preserve">One enterprise info-security program approval; joint SEC/banking statement on cyber oversight. v2.1: the 36-ho…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FRB+OCC+FDIC+SEC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Timeline selection (principals).  Conform four appendices; the incident-timeline choice is a principals decision.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 committee architecture — </w:t>
      </w:r>
      <w:r>
        <w:rPr>
          <w:rFonts w:ascii="Arial" w:cs="Arial" w:eastAsia="Arial" w:hAnsi="Arial"/>
          <w:b/>
          <w:bCs/>
        </w:rPr>
        <w:t xml:space="preserve">One risk-committee standard at the consolidated level + streamlined IDI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12–30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Independence definition.  Joint rulemaking; App. D cross-references Reg YY; certification template from Phase 2.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Credit risk governance — </w:t>
      </w:r>
      <w:r>
        <w:rPr>
          <w:rFonts w:ascii="Arial" w:cs="Arial" w:eastAsia="Arial" w:hAnsi="Arial"/>
          <w:b/>
          <w:bCs/>
        </w:rPr>
        <w:t xml:space="preserve">One interagency real-estate-lending standard; fold ACL/credit-review into the risk-committee credit cycle.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15–30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standard.  Credit cycle folds into the consolidated committee standard.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Risk-governance framework / strategy — </w:t>
      </w:r>
      <w:r>
        <w:rPr>
          <w:rFonts w:ascii="Arial" w:cs="Arial" w:eastAsia="Arial" w:hAnsi="Arial"/>
          <w:b/>
          <w:bCs/>
        </w:rPr>
        <w:t xml:space="preserve">Codify SR 12-17 governance content into Reg YY; retire the letter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15–30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 amendment notice and comment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 Notice-and-comment; the declared guidance-to-rule conversion; retires the letter with a logged signal.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Resolution, recovery &amp; contingency funding — </w:t>
      </w:r>
      <w:r>
        <w:rPr>
          <w:rFonts w:ascii="Arial" w:cs="Arial" w:eastAsia="Arial" w:hAnsi="Arial"/>
          <w:b/>
          <w:bCs/>
        </w:rPr>
        <w:t xml:space="preserve">Single 'resilience planning' board cycle; shared resolution submission with an IDI annex.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15–33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clarify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joint rulemaking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G-Part statement.  Joint rulemaking; FDIC annex preserves the distinct resolvability interest.</w:t>
      </w:r>
    </w:p>
    <w:p>
      <w:pPr>
        <w:pStyle w:val="Heading2"/>
      </w:pPr>
      <w:r>
        <w:t xml:space="preserve">Phase 4 — Structural: vertical HC/IDI reliance (months 24–48)</w:t>
      </w:r>
    </w:p>
    <w:p>
      <w:pPr>
        <w:spacing w:after="120"/>
        <w:rPr>
          <w:i/>
          <w:iCs/>
          <w:color w:val="6B7280"/>
          <w:sz w:val="19"/>
          <w:szCs w:val="19"/>
        </w:rPr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The largest lever. Requires the consolidated enterprise standards from Phases 2–3 to be in force; statutory at the margin.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cross-cutting (largest structural lever) — </w:t>
      </w:r>
      <w:r>
        <w:rPr>
          <w:rFonts w:ascii="Arial" w:cs="Arial" w:eastAsia="Arial" w:hAnsi="Arial"/>
          <w:b/>
          <w:bCs/>
        </w:rPr>
        <w:t xml:space="preserve">Vertical HC/IDI rationalization via expanded reliance accommodation (schema, per mirror pair)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24–48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change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FRB+OCC+FDIC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Instrument: </w:t>
      </w:r>
      <w:r>
        <w:rPr>
          <w:rFonts w:ascii="Arial" w:cs="Arial" w:eastAsia="Arial" w:hAnsi="Arial"/>
          <w:sz w:val="19"/>
          <w:szCs w:val="19"/>
        </w:rPr>
        <w:t xml:space="preserve">rulemaking possibly statutory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ready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Depends on: Risk-committee standard; Risk-appetite template; Enterprise framework statement.  The structural prize; requires consolidated enterprise standards in force first; statutory at the margin.</w:t>
      </w:r>
    </w:p>
    <w:p>
      <w:pPr>
        <w:pStyle w:val="Heading2"/>
      </w:pPr>
      <w:r>
        <w:t xml:space="preserve">Principals' decisions (any time)</w:t>
      </w:r>
    </w:p>
    <w:p>
      <w:pPr>
        <w:spacing w:after="120"/>
        <w:rPr>
          <w:i/>
          <w:iCs/>
          <w:color w:val="6B7280"/>
          <w:sz w:val="19"/>
          <w:szCs w:val="19"/>
        </w:rPr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Items only leadership can decide; each slots into the mechanics above once decided.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3864"/>
        </w:rPr>
        <w:t xml:space="preserve">Incentive compensation — </w:t>
      </w:r>
      <w:r>
        <w:rPr>
          <w:rFonts w:ascii="Arial" w:cs="Arial" w:eastAsia="Arial" w:hAnsi="Arial"/>
          <w:b/>
          <w:bCs/>
        </w:rPr>
        <w:t xml:space="preserve">Finalize one 956 framework or rely on guidance; SEC independence satisfies the prudential element.</w:t>
      </w:r>
    </w:p>
    <w:p>
      <w:p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When: </w:t>
      </w:r>
      <w:r>
        <w:rPr>
          <w:rFonts w:ascii="Arial" w:cs="Arial" w:eastAsia="Arial" w:hAnsi="Arial"/>
          <w:sz w:val="19"/>
          <w:szCs w:val="19"/>
        </w:rPr>
        <w:t xml:space="preserve">months 0–48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Effect: </w:t>
      </w:r>
      <w:r>
        <w:rPr>
          <w:rFonts w:ascii="Arial" w:cs="Arial" w:eastAsia="Arial" w:hAnsi="Arial"/>
          <w:sz w:val="19"/>
          <w:szCs w:val="19"/>
        </w:rPr>
        <w:t xml:space="preserve">n/a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Lead: </w:t>
      </w:r>
      <w:r>
        <w:rPr>
          <w:rFonts w:ascii="Arial" w:cs="Arial" w:eastAsia="Arial" w:hAnsi="Arial"/>
          <w:sz w:val="19"/>
          <w:szCs w:val="19"/>
        </w:rPr>
        <w:t xml:space="preserve">6 agencies (principals)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open branch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Open policy branch; either branch slots into Phase 3 mechanics once decided.</w:t>
      </w:r>
    </w:p>
    <w:p>
      <w:pPr>
        <w:pStyle w:val="Heading1"/>
      </w:pPr>
      <w:r>
        <w:t xml:space="preserve">Dependency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General-Part framework statement gates Phases 2–4: liquidity, risk-appetite, enterprise-framework, SR 12-17 codification, and resilience items all cross-reference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independence definition gates the risk-committee rule and the audit-committee consolidation; it starts in Phase 2 because SEC coordination is the longest pole.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Vertical rationalization (Phase 4) depends on the consolidated risk-committee standard, the risk-appetite template, and the enterprise-framework statement being in force.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Two principals' values are prerequisites inside Phase 2–3 items: the critical-activity threshold (third-party) and the incident-notification timeline (info-security).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Retained and non-target items (Reg O, consumer compliance, BSA program substance, personal liability, source-of-strength) have no implementation action by design.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Reform Roadmap v2.1 (draft) —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bad9c1d30757a3410ab20293ca5d161cb9dd93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2026-07-04T14:02:25.348Z</dcterms:created>
  <dcterms:modified xsi:type="dcterms:W3CDTF">2026-07-04T14:02:25.348Z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